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98DC9" w14:textId="77777777" w:rsidR="002508B4" w:rsidRDefault="002508B4" w:rsidP="002508B4">
      <w:pPr>
        <w:jc w:val="both"/>
        <w:rPr>
          <w:sz w:val="28"/>
          <w:szCs w:val="28"/>
        </w:rPr>
      </w:pPr>
      <w:r>
        <w:rPr>
          <w:sz w:val="28"/>
          <w:szCs w:val="28"/>
        </w:rPr>
        <w:t>Dave Byers</w:t>
      </w:r>
      <w:r>
        <w:rPr>
          <w:rStyle w:val="FootnoteReference"/>
          <w:sz w:val="28"/>
          <w:szCs w:val="28"/>
        </w:rPr>
        <w:footnoteReference w:id="1"/>
      </w:r>
    </w:p>
    <w:p w14:paraId="59D11CCD" w14:textId="77777777" w:rsidR="002508B4" w:rsidRPr="00FD45C7" w:rsidRDefault="002508B4" w:rsidP="002508B4">
      <w:pPr>
        <w:jc w:val="both"/>
        <w:rPr>
          <w:sz w:val="28"/>
          <w:szCs w:val="28"/>
        </w:rPr>
      </w:pPr>
      <w:r>
        <w:rPr>
          <w:sz w:val="28"/>
          <w:szCs w:val="28"/>
        </w:rPr>
        <w:t>Executive Director, Administrative Office of Courts</w:t>
      </w:r>
    </w:p>
    <w:p w14:paraId="464ADAEF" w14:textId="77777777" w:rsidR="002508B4" w:rsidRPr="00FD45C7" w:rsidRDefault="002508B4" w:rsidP="002508B4">
      <w:pPr>
        <w:jc w:val="both"/>
        <w:rPr>
          <w:sz w:val="28"/>
          <w:szCs w:val="28"/>
        </w:rPr>
      </w:pPr>
      <w:r>
        <w:rPr>
          <w:sz w:val="28"/>
          <w:szCs w:val="28"/>
        </w:rPr>
        <w:t>Member</w:t>
      </w:r>
      <w:r w:rsidRPr="00FD45C7">
        <w:rPr>
          <w:sz w:val="28"/>
          <w:szCs w:val="28"/>
        </w:rPr>
        <w:t xml:space="preserve">, </w:t>
      </w:r>
      <w:r>
        <w:rPr>
          <w:sz w:val="28"/>
          <w:szCs w:val="28"/>
        </w:rPr>
        <w:t xml:space="preserve">Task Force on the Delivery of Legal Services </w:t>
      </w:r>
    </w:p>
    <w:p w14:paraId="40BDE355" w14:textId="77777777" w:rsidR="002508B4" w:rsidRPr="00FD45C7" w:rsidRDefault="002508B4" w:rsidP="002508B4">
      <w:pPr>
        <w:rPr>
          <w:sz w:val="28"/>
          <w:szCs w:val="28"/>
        </w:rPr>
      </w:pPr>
      <w:r w:rsidRPr="00FD45C7">
        <w:rPr>
          <w:sz w:val="28"/>
          <w:szCs w:val="28"/>
        </w:rPr>
        <w:t>State Courts Building</w:t>
      </w:r>
    </w:p>
    <w:p w14:paraId="4FC70BEB" w14:textId="77777777" w:rsidR="002508B4" w:rsidRPr="00FD45C7" w:rsidRDefault="002508B4" w:rsidP="002508B4">
      <w:pPr>
        <w:rPr>
          <w:sz w:val="28"/>
          <w:szCs w:val="28"/>
        </w:rPr>
      </w:pPr>
      <w:r w:rsidRPr="00FD45C7">
        <w:rPr>
          <w:sz w:val="28"/>
          <w:szCs w:val="28"/>
        </w:rPr>
        <w:t>1501 West Washington</w:t>
      </w:r>
    </w:p>
    <w:p w14:paraId="2221209F" w14:textId="77777777" w:rsidR="002508B4" w:rsidRPr="00FD45C7" w:rsidRDefault="002508B4" w:rsidP="002508B4">
      <w:pPr>
        <w:rPr>
          <w:sz w:val="28"/>
          <w:szCs w:val="28"/>
        </w:rPr>
      </w:pPr>
      <w:r>
        <w:rPr>
          <w:sz w:val="28"/>
          <w:szCs w:val="28"/>
        </w:rPr>
        <w:t>Phoenix, Arizona </w:t>
      </w:r>
      <w:r w:rsidRPr="00FD45C7">
        <w:rPr>
          <w:sz w:val="28"/>
          <w:szCs w:val="28"/>
        </w:rPr>
        <w:t>85007</w:t>
      </w:r>
    </w:p>
    <w:p w14:paraId="6BED3CF7" w14:textId="1AF29001" w:rsidR="002508B4" w:rsidRPr="00FD45C7" w:rsidRDefault="002508B4" w:rsidP="002508B4">
      <w:pPr>
        <w:rPr>
          <w:sz w:val="28"/>
          <w:szCs w:val="28"/>
        </w:rPr>
      </w:pPr>
      <w:r>
        <w:rPr>
          <w:sz w:val="28"/>
          <w:szCs w:val="28"/>
        </w:rPr>
        <w:t xml:space="preserve">Telephone: </w:t>
      </w:r>
      <w:r w:rsidRPr="00FD45C7">
        <w:rPr>
          <w:sz w:val="28"/>
          <w:szCs w:val="28"/>
        </w:rPr>
        <w:t xml:space="preserve">(602) </w:t>
      </w:r>
      <w:r>
        <w:rPr>
          <w:sz w:val="28"/>
          <w:szCs w:val="28"/>
        </w:rPr>
        <w:t>452-</w:t>
      </w:r>
      <w:r w:rsidR="00FA669B">
        <w:rPr>
          <w:sz w:val="28"/>
          <w:szCs w:val="28"/>
        </w:rPr>
        <w:t>3301</w:t>
      </w:r>
    </w:p>
    <w:p w14:paraId="0748BB55" w14:textId="2159967E" w:rsidR="002508B4" w:rsidRDefault="00FA669B" w:rsidP="002508B4">
      <w:pPr>
        <w:jc w:val="both"/>
        <w:rPr>
          <w:sz w:val="28"/>
          <w:szCs w:val="28"/>
        </w:rPr>
      </w:pPr>
      <w:r>
        <w:rPr>
          <w:sz w:val="28"/>
          <w:szCs w:val="28"/>
        </w:rPr>
        <w:t>Projects2@courts.az.gov</w:t>
      </w:r>
    </w:p>
    <w:p w14:paraId="0C475910" w14:textId="77777777" w:rsidR="002508B4" w:rsidRPr="00FD45C7" w:rsidRDefault="002508B4" w:rsidP="002508B4">
      <w:pPr>
        <w:jc w:val="both"/>
        <w:rPr>
          <w:sz w:val="28"/>
          <w:szCs w:val="28"/>
        </w:rPr>
      </w:pPr>
    </w:p>
    <w:p w14:paraId="28308298" w14:textId="77777777" w:rsidR="002508B4" w:rsidRPr="00FD45C7" w:rsidRDefault="002508B4" w:rsidP="002508B4">
      <w:pPr>
        <w:pStyle w:val="Heading1"/>
        <w:spacing w:line="240" w:lineRule="auto"/>
        <w:rPr>
          <w:rFonts w:ascii="Times New Roman" w:hAnsi="Times New Roman"/>
          <w:bCs/>
          <w:sz w:val="28"/>
          <w:szCs w:val="28"/>
        </w:rPr>
      </w:pPr>
      <w:r w:rsidRPr="00FD45C7">
        <w:rPr>
          <w:rFonts w:ascii="Times New Roman" w:hAnsi="Times New Roman"/>
          <w:bCs/>
          <w:sz w:val="28"/>
          <w:szCs w:val="28"/>
        </w:rPr>
        <w:t>IN THE SUPREME COURT</w:t>
      </w:r>
    </w:p>
    <w:p w14:paraId="680EDB81" w14:textId="77777777" w:rsidR="002508B4" w:rsidRDefault="002508B4" w:rsidP="002508B4">
      <w:pPr>
        <w:pStyle w:val="Heading1"/>
        <w:spacing w:line="240" w:lineRule="auto"/>
        <w:rPr>
          <w:rFonts w:ascii="Times New Roman" w:hAnsi="Times New Roman"/>
          <w:bCs/>
          <w:sz w:val="28"/>
          <w:szCs w:val="28"/>
        </w:rPr>
      </w:pPr>
      <w:r w:rsidRPr="00FD45C7">
        <w:rPr>
          <w:rFonts w:ascii="Times New Roman" w:hAnsi="Times New Roman"/>
          <w:bCs/>
          <w:sz w:val="28"/>
          <w:szCs w:val="28"/>
        </w:rPr>
        <w:t>STATE OF ARIZONA</w:t>
      </w:r>
    </w:p>
    <w:p w14:paraId="1D07DF59" w14:textId="77777777" w:rsidR="002508B4" w:rsidRPr="00FF09E1" w:rsidRDefault="002508B4" w:rsidP="002508B4"/>
    <w:p w14:paraId="521019FF" w14:textId="77777777" w:rsidR="002508B4" w:rsidRPr="00FD45C7" w:rsidRDefault="002508B4" w:rsidP="002508B4">
      <w:pPr>
        <w:rPr>
          <w:sz w:val="28"/>
          <w:szCs w:val="28"/>
        </w:rPr>
      </w:pPr>
    </w:p>
    <w:p w14:paraId="4EC21C1C" w14:textId="77777777" w:rsidR="002508B4" w:rsidRPr="00FD45C7" w:rsidRDefault="002508B4" w:rsidP="002508B4">
      <w:pPr>
        <w:widowControl w:val="0"/>
        <w:autoSpaceDE w:val="0"/>
        <w:autoSpaceDN w:val="0"/>
        <w:adjustRightInd w:val="0"/>
        <w:rPr>
          <w:color w:val="000000"/>
          <w:sz w:val="28"/>
          <w:szCs w:val="28"/>
        </w:rPr>
      </w:pPr>
      <w:r w:rsidRPr="00FD45C7">
        <w:rPr>
          <w:color w:val="000000"/>
          <w:sz w:val="28"/>
          <w:szCs w:val="28"/>
        </w:rPr>
        <w:t xml:space="preserve">In the Matter of                                  </w:t>
      </w:r>
      <w:r>
        <w:rPr>
          <w:color w:val="000000"/>
          <w:sz w:val="28"/>
          <w:szCs w:val="28"/>
        </w:rPr>
        <w:t xml:space="preserve">  </w:t>
      </w:r>
      <w:r w:rsidRPr="00FD45C7">
        <w:rPr>
          <w:color w:val="000000"/>
          <w:sz w:val="28"/>
          <w:szCs w:val="28"/>
        </w:rPr>
        <w:t xml:space="preserve"> )   </w:t>
      </w:r>
    </w:p>
    <w:p w14:paraId="07BD3B29" w14:textId="77777777" w:rsidR="002508B4" w:rsidRPr="00FD45C7" w:rsidRDefault="002508B4" w:rsidP="002508B4">
      <w:pPr>
        <w:widowControl w:val="0"/>
        <w:autoSpaceDE w:val="0"/>
        <w:autoSpaceDN w:val="0"/>
        <w:adjustRightInd w:val="0"/>
        <w:rPr>
          <w:sz w:val="28"/>
          <w:szCs w:val="28"/>
        </w:rPr>
      </w:pPr>
      <w:r w:rsidRPr="00FD45C7">
        <w:rPr>
          <w:color w:val="000000"/>
          <w:sz w:val="28"/>
          <w:szCs w:val="28"/>
        </w:rPr>
        <w:t xml:space="preserve">                                                           </w:t>
      </w:r>
      <w:r>
        <w:rPr>
          <w:color w:val="000000"/>
          <w:sz w:val="28"/>
          <w:szCs w:val="28"/>
        </w:rPr>
        <w:t xml:space="preserve">  </w:t>
      </w:r>
      <w:r w:rsidRPr="00FD45C7">
        <w:rPr>
          <w:color w:val="000000"/>
          <w:sz w:val="28"/>
          <w:szCs w:val="28"/>
        </w:rPr>
        <w:t xml:space="preserve"> )  Arizona Supreme Court No. R-</w:t>
      </w:r>
      <w:r>
        <w:rPr>
          <w:color w:val="000000"/>
          <w:sz w:val="28"/>
          <w:szCs w:val="28"/>
        </w:rPr>
        <w:t>20</w:t>
      </w:r>
      <w:r w:rsidRPr="00FD45C7">
        <w:rPr>
          <w:color w:val="000000"/>
          <w:sz w:val="28"/>
          <w:szCs w:val="28"/>
        </w:rPr>
        <w:t>-___</w:t>
      </w:r>
    </w:p>
    <w:p w14:paraId="01935756" w14:textId="587A0350" w:rsidR="002508B4" w:rsidRPr="00DC54B7" w:rsidRDefault="002508B4" w:rsidP="002508B4">
      <w:pPr>
        <w:widowControl w:val="0"/>
        <w:autoSpaceDE w:val="0"/>
        <w:autoSpaceDN w:val="0"/>
        <w:adjustRightInd w:val="0"/>
        <w:rPr>
          <w:sz w:val="28"/>
          <w:szCs w:val="28"/>
        </w:rPr>
      </w:pPr>
      <w:r w:rsidRPr="00DC54B7">
        <w:rPr>
          <w:color w:val="000000"/>
          <w:sz w:val="28"/>
          <w:szCs w:val="28"/>
        </w:rPr>
        <w:t xml:space="preserve">PETITION TO AMEND </w:t>
      </w:r>
      <w:r>
        <w:rPr>
          <w:color w:val="000000"/>
          <w:sz w:val="28"/>
          <w:szCs w:val="28"/>
        </w:rPr>
        <w:t xml:space="preserve"> </w:t>
      </w:r>
      <w:r w:rsidRPr="00DC54B7">
        <w:rPr>
          <w:color w:val="000000"/>
          <w:sz w:val="28"/>
          <w:szCs w:val="28"/>
        </w:rPr>
        <w:t xml:space="preserve"> </w:t>
      </w:r>
      <w:r w:rsidR="00051E6B">
        <w:rPr>
          <w:color w:val="000000"/>
          <w:sz w:val="28"/>
          <w:szCs w:val="28"/>
        </w:rPr>
        <w:tab/>
      </w:r>
      <w:r w:rsidR="00051E6B">
        <w:rPr>
          <w:color w:val="000000"/>
          <w:sz w:val="28"/>
          <w:szCs w:val="28"/>
        </w:rPr>
        <w:tab/>
      </w:r>
      <w:r w:rsidRPr="00DC54B7">
        <w:rPr>
          <w:color w:val="000000"/>
          <w:sz w:val="28"/>
          <w:szCs w:val="28"/>
        </w:rPr>
        <w:t xml:space="preserve">)                       </w:t>
      </w:r>
    </w:p>
    <w:p w14:paraId="0C8A1DA4" w14:textId="7D51141B" w:rsidR="002508B4" w:rsidRDefault="002508B4" w:rsidP="002508B4">
      <w:pPr>
        <w:widowControl w:val="0"/>
        <w:autoSpaceDE w:val="0"/>
        <w:autoSpaceDN w:val="0"/>
        <w:adjustRightInd w:val="0"/>
        <w:rPr>
          <w:color w:val="000000"/>
          <w:sz w:val="28"/>
          <w:szCs w:val="28"/>
        </w:rPr>
      </w:pPr>
      <w:r w:rsidRPr="00DC54B7">
        <w:rPr>
          <w:color w:val="000000"/>
          <w:sz w:val="28"/>
          <w:szCs w:val="28"/>
        </w:rPr>
        <w:t xml:space="preserve">RULE </w:t>
      </w:r>
      <w:r w:rsidR="00FA669B">
        <w:rPr>
          <w:color w:val="000000"/>
          <w:sz w:val="28"/>
          <w:szCs w:val="28"/>
        </w:rPr>
        <w:t xml:space="preserve">42, </w:t>
      </w:r>
      <w:r w:rsidRPr="00DC54B7">
        <w:rPr>
          <w:color w:val="000000"/>
          <w:sz w:val="28"/>
          <w:szCs w:val="28"/>
        </w:rPr>
        <w:t xml:space="preserve">OF </w:t>
      </w:r>
      <w:r>
        <w:rPr>
          <w:color w:val="000000"/>
          <w:sz w:val="28"/>
          <w:szCs w:val="28"/>
        </w:rPr>
        <w:t>THE SUPREME</w:t>
      </w:r>
      <w:r>
        <w:rPr>
          <w:color w:val="000000"/>
          <w:sz w:val="28"/>
          <w:szCs w:val="28"/>
        </w:rPr>
        <w:tab/>
      </w:r>
      <w:r>
        <w:rPr>
          <w:color w:val="000000"/>
          <w:sz w:val="28"/>
          <w:szCs w:val="28"/>
        </w:rPr>
        <w:tab/>
        <w:t>)</w:t>
      </w:r>
    </w:p>
    <w:p w14:paraId="299FD42E" w14:textId="4EEC40AD" w:rsidR="002508B4" w:rsidRPr="00DC54B7" w:rsidRDefault="002508B4" w:rsidP="002508B4">
      <w:pPr>
        <w:widowControl w:val="0"/>
        <w:autoSpaceDE w:val="0"/>
        <w:autoSpaceDN w:val="0"/>
        <w:adjustRightInd w:val="0"/>
        <w:rPr>
          <w:sz w:val="28"/>
          <w:szCs w:val="28"/>
        </w:rPr>
      </w:pPr>
      <w:r>
        <w:rPr>
          <w:color w:val="000000"/>
          <w:sz w:val="28"/>
          <w:szCs w:val="28"/>
        </w:rPr>
        <w:t xml:space="preserve">COURT </w:t>
      </w:r>
      <w:r w:rsidR="00FA669B">
        <w:rPr>
          <w:color w:val="000000"/>
          <w:sz w:val="28"/>
          <w:szCs w:val="28"/>
        </w:rPr>
        <w:t>RULES</w:t>
      </w:r>
      <w:r w:rsidR="004E4CED">
        <w:rPr>
          <w:color w:val="000000"/>
          <w:sz w:val="28"/>
          <w:szCs w:val="28"/>
        </w:rPr>
        <w:t xml:space="preserve">, </w:t>
      </w:r>
      <w:r w:rsidR="00E66DE6" w:rsidRPr="004E4CED">
        <w:rPr>
          <w:color w:val="000000"/>
          <w:sz w:val="28"/>
          <w:szCs w:val="28"/>
        </w:rPr>
        <w:t xml:space="preserve">ERs </w:t>
      </w:r>
      <w:r w:rsidR="00F0304A" w:rsidRPr="004E4CED">
        <w:rPr>
          <w:color w:val="000000"/>
          <w:sz w:val="28"/>
          <w:szCs w:val="28"/>
        </w:rPr>
        <w:t>7.1</w:t>
      </w:r>
      <w:r w:rsidR="00E66DE6" w:rsidRPr="004E4CED">
        <w:rPr>
          <w:color w:val="000000"/>
          <w:sz w:val="28"/>
          <w:szCs w:val="28"/>
        </w:rPr>
        <w:t xml:space="preserve"> to 7.5</w:t>
      </w:r>
      <w:r w:rsidR="00E66DE6">
        <w:rPr>
          <w:color w:val="000000"/>
          <w:sz w:val="28"/>
          <w:szCs w:val="28"/>
        </w:rPr>
        <w:tab/>
      </w:r>
      <w:r>
        <w:rPr>
          <w:sz w:val="28"/>
          <w:szCs w:val="28"/>
        </w:rPr>
        <w:t>)</w:t>
      </w:r>
    </w:p>
    <w:p w14:paraId="739B9F25" w14:textId="77777777" w:rsidR="002508B4" w:rsidRDefault="002508B4" w:rsidP="002508B4">
      <w:pPr>
        <w:rPr>
          <w:color w:val="000000"/>
          <w:sz w:val="28"/>
          <w:szCs w:val="28"/>
        </w:rPr>
      </w:pPr>
      <w:r w:rsidRPr="00DC54B7">
        <w:rPr>
          <w:color w:val="000000"/>
          <w:sz w:val="28"/>
          <w:szCs w:val="28"/>
        </w:rPr>
        <w:t>____________________________</w:t>
      </w:r>
      <w:r>
        <w:rPr>
          <w:color w:val="000000"/>
          <w:sz w:val="28"/>
          <w:szCs w:val="28"/>
        </w:rPr>
        <w:t>_</w:t>
      </w:r>
      <w:r w:rsidRPr="00DC54B7">
        <w:rPr>
          <w:color w:val="000000"/>
          <w:sz w:val="28"/>
          <w:szCs w:val="28"/>
        </w:rPr>
        <w:t>__)</w:t>
      </w:r>
      <w:r w:rsidRPr="00FD45C7">
        <w:rPr>
          <w:color w:val="000000"/>
          <w:sz w:val="28"/>
          <w:szCs w:val="28"/>
        </w:rPr>
        <w:t xml:space="preserve">         </w:t>
      </w:r>
    </w:p>
    <w:p w14:paraId="34353A01" w14:textId="77777777" w:rsidR="002508B4" w:rsidRDefault="002508B4" w:rsidP="002508B4">
      <w:pPr>
        <w:rPr>
          <w:color w:val="000000"/>
          <w:sz w:val="28"/>
          <w:szCs w:val="28"/>
        </w:rPr>
      </w:pPr>
    </w:p>
    <w:p w14:paraId="78FEF547" w14:textId="77777777" w:rsidR="002508B4" w:rsidRPr="00FD45C7" w:rsidRDefault="002508B4" w:rsidP="002508B4">
      <w:pPr>
        <w:rPr>
          <w:sz w:val="28"/>
          <w:szCs w:val="28"/>
        </w:rPr>
      </w:pPr>
      <w:r w:rsidRPr="00FD45C7">
        <w:rPr>
          <w:color w:val="000000"/>
          <w:sz w:val="28"/>
          <w:szCs w:val="28"/>
        </w:rPr>
        <w:t xml:space="preserve">                   </w:t>
      </w:r>
      <w:bookmarkStart w:id="0" w:name="_GoBack"/>
      <w:bookmarkEnd w:id="0"/>
    </w:p>
    <w:p w14:paraId="6814987B" w14:textId="77777777" w:rsidR="002508B4" w:rsidRPr="00FD45C7" w:rsidRDefault="002508B4" w:rsidP="002508B4">
      <w:pPr>
        <w:rPr>
          <w:sz w:val="28"/>
          <w:szCs w:val="28"/>
        </w:rPr>
      </w:pPr>
    </w:p>
    <w:p w14:paraId="792A91E7" w14:textId="4B9CCDD2" w:rsidR="002508B4" w:rsidRDefault="002508B4" w:rsidP="002508B4">
      <w:pPr>
        <w:pStyle w:val="BodyText"/>
        <w:tabs>
          <w:tab w:val="left" w:pos="711"/>
        </w:tabs>
        <w:spacing w:line="480" w:lineRule="auto"/>
        <w:jc w:val="both"/>
        <w:rPr>
          <w:szCs w:val="28"/>
        </w:rPr>
      </w:pPr>
      <w:r w:rsidRPr="00FD45C7">
        <w:rPr>
          <w:szCs w:val="28"/>
        </w:rPr>
        <w:tab/>
        <w:t>Pursuant to Rule 28, Rules of the Supreme Court</w:t>
      </w:r>
      <w:r>
        <w:rPr>
          <w:szCs w:val="28"/>
        </w:rPr>
        <w:t xml:space="preserve"> of Arizona</w:t>
      </w:r>
      <w:r w:rsidRPr="00FD45C7">
        <w:rPr>
          <w:szCs w:val="28"/>
        </w:rPr>
        <w:t xml:space="preserve">, the </w:t>
      </w:r>
      <w:r>
        <w:rPr>
          <w:szCs w:val="28"/>
        </w:rPr>
        <w:t>Task Force on the Delivery of Legal Services</w:t>
      </w:r>
      <w:r w:rsidRPr="00FD45C7">
        <w:rPr>
          <w:szCs w:val="28"/>
        </w:rPr>
        <w:t xml:space="preserve"> </w:t>
      </w:r>
      <w:r>
        <w:rPr>
          <w:szCs w:val="28"/>
        </w:rPr>
        <w:t xml:space="preserve">(“Task Force”) </w:t>
      </w:r>
      <w:r w:rsidRPr="00FD45C7">
        <w:rPr>
          <w:szCs w:val="28"/>
        </w:rPr>
        <w:t>petition</w:t>
      </w:r>
      <w:r>
        <w:rPr>
          <w:szCs w:val="28"/>
        </w:rPr>
        <w:t>s</w:t>
      </w:r>
      <w:r w:rsidRPr="00FD45C7">
        <w:rPr>
          <w:szCs w:val="28"/>
        </w:rPr>
        <w:t xml:space="preserve"> the Court to amend </w:t>
      </w:r>
      <w:r w:rsidR="00FA669B">
        <w:rPr>
          <w:szCs w:val="28"/>
        </w:rPr>
        <w:t xml:space="preserve">Rule 42 of the </w:t>
      </w:r>
      <w:r w:rsidRPr="00DC54B7">
        <w:rPr>
          <w:szCs w:val="28"/>
        </w:rPr>
        <w:t xml:space="preserve">Arizona Rules of </w:t>
      </w:r>
      <w:r>
        <w:rPr>
          <w:szCs w:val="28"/>
        </w:rPr>
        <w:t>the Supreme Court</w:t>
      </w:r>
      <w:r w:rsidRPr="00DC54B7">
        <w:rPr>
          <w:szCs w:val="28"/>
        </w:rPr>
        <w:t>,</w:t>
      </w:r>
      <w:r>
        <w:rPr>
          <w:szCs w:val="28"/>
        </w:rPr>
        <w:t xml:space="preserve"> as </w:t>
      </w:r>
      <w:r w:rsidRPr="00FD45C7">
        <w:rPr>
          <w:szCs w:val="28"/>
        </w:rPr>
        <w:t>reflected in the attachment</w:t>
      </w:r>
      <w:r>
        <w:rPr>
          <w:szCs w:val="28"/>
        </w:rPr>
        <w:t>s</w:t>
      </w:r>
      <w:r w:rsidRPr="00FD45C7">
        <w:rPr>
          <w:szCs w:val="28"/>
        </w:rPr>
        <w:t xml:space="preserve"> hereto, effective January 1, </w:t>
      </w:r>
      <w:r>
        <w:rPr>
          <w:szCs w:val="28"/>
        </w:rPr>
        <w:t>2021</w:t>
      </w:r>
      <w:r w:rsidRPr="00FD45C7">
        <w:rPr>
          <w:szCs w:val="28"/>
        </w:rPr>
        <w:t>.</w:t>
      </w:r>
    </w:p>
    <w:p w14:paraId="712C4858" w14:textId="0060CE6B" w:rsidR="002508B4" w:rsidRPr="00FD45C7" w:rsidRDefault="00B152B4" w:rsidP="002508B4">
      <w:pPr>
        <w:pStyle w:val="BodyText"/>
        <w:numPr>
          <w:ilvl w:val="0"/>
          <w:numId w:val="1"/>
        </w:numPr>
        <w:tabs>
          <w:tab w:val="left" w:pos="720"/>
        </w:tabs>
        <w:ind w:hanging="1080"/>
        <w:jc w:val="both"/>
        <w:rPr>
          <w:b/>
          <w:bCs/>
          <w:szCs w:val="28"/>
        </w:rPr>
      </w:pPr>
      <w:r w:rsidRPr="00FD45C7">
        <w:rPr>
          <w:b/>
          <w:bCs/>
          <w:szCs w:val="28"/>
        </w:rPr>
        <w:t xml:space="preserve">Introduction </w:t>
      </w:r>
      <w:r>
        <w:rPr>
          <w:b/>
          <w:bCs/>
          <w:szCs w:val="28"/>
        </w:rPr>
        <w:t>a</w:t>
      </w:r>
      <w:r w:rsidRPr="00FD45C7">
        <w:rPr>
          <w:b/>
          <w:bCs/>
          <w:szCs w:val="28"/>
        </w:rPr>
        <w:t>nd Background</w:t>
      </w:r>
      <w:r>
        <w:rPr>
          <w:b/>
          <w:bCs/>
          <w:szCs w:val="28"/>
        </w:rPr>
        <w:t>.</w:t>
      </w:r>
    </w:p>
    <w:p w14:paraId="4AE05ADE" w14:textId="77777777" w:rsidR="002508B4" w:rsidRPr="00FD45C7" w:rsidRDefault="002508B4" w:rsidP="002508B4">
      <w:pPr>
        <w:pStyle w:val="BodyText"/>
        <w:jc w:val="both"/>
        <w:rPr>
          <w:b/>
          <w:bCs/>
          <w:szCs w:val="28"/>
        </w:rPr>
      </w:pPr>
    </w:p>
    <w:p w14:paraId="1C0ADD14" w14:textId="3C841052" w:rsidR="00663FD9" w:rsidRDefault="002508B4" w:rsidP="002508B4">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FE7D74">
        <w:rPr>
          <w:sz w:val="28"/>
          <w:szCs w:val="28"/>
        </w:rPr>
        <w:t xml:space="preserve">Established on </w:t>
      </w:r>
      <w:r>
        <w:rPr>
          <w:sz w:val="28"/>
          <w:szCs w:val="28"/>
        </w:rPr>
        <w:t>November 21, 2018</w:t>
      </w:r>
      <w:r w:rsidRPr="00FE7D74">
        <w:rPr>
          <w:sz w:val="28"/>
          <w:szCs w:val="28"/>
        </w:rPr>
        <w:t xml:space="preserve">, by Arizona Supreme Court </w:t>
      </w:r>
      <w:bookmarkStart w:id="1" w:name="_Hlk498583237"/>
      <w:r w:rsidRPr="00FE7D74">
        <w:rPr>
          <w:sz w:val="28"/>
          <w:szCs w:val="28"/>
        </w:rPr>
        <w:t xml:space="preserve">Administrative Order </w:t>
      </w:r>
      <w:r>
        <w:rPr>
          <w:sz w:val="28"/>
          <w:szCs w:val="28"/>
        </w:rPr>
        <w:t>2018-111</w:t>
      </w:r>
      <w:r w:rsidRPr="00FE7D74">
        <w:rPr>
          <w:sz w:val="28"/>
          <w:szCs w:val="28"/>
        </w:rPr>
        <w:t>,</w:t>
      </w:r>
      <w:bookmarkEnd w:id="1"/>
      <w:r w:rsidRPr="00FE7D74">
        <w:rPr>
          <w:sz w:val="28"/>
          <w:szCs w:val="28"/>
        </w:rPr>
        <w:t xml:space="preserve"> the </w:t>
      </w:r>
      <w:r>
        <w:rPr>
          <w:sz w:val="28"/>
          <w:szCs w:val="28"/>
        </w:rPr>
        <w:t>T</w:t>
      </w:r>
      <w:r w:rsidRPr="00FE7D74">
        <w:rPr>
          <w:sz w:val="28"/>
          <w:szCs w:val="28"/>
        </w:rPr>
        <w:t xml:space="preserve">ask </w:t>
      </w:r>
      <w:r>
        <w:rPr>
          <w:sz w:val="28"/>
          <w:szCs w:val="28"/>
        </w:rPr>
        <w:t>F</w:t>
      </w:r>
      <w:r w:rsidRPr="00FE7D74">
        <w:rPr>
          <w:sz w:val="28"/>
          <w:szCs w:val="28"/>
        </w:rPr>
        <w:t xml:space="preserve">orce was asked to </w:t>
      </w:r>
      <w:r>
        <w:rPr>
          <w:sz w:val="28"/>
          <w:szCs w:val="28"/>
        </w:rPr>
        <w:t>address five charges and to ma</w:t>
      </w:r>
      <w:r w:rsidRPr="00FE7D74">
        <w:rPr>
          <w:sz w:val="28"/>
          <w:szCs w:val="28"/>
        </w:rPr>
        <w:t xml:space="preserve">ke recommendations on each. </w:t>
      </w:r>
      <w:r>
        <w:rPr>
          <w:sz w:val="28"/>
          <w:szCs w:val="28"/>
        </w:rPr>
        <w:t xml:space="preserve"> The Administrative Order gave the chair </w:t>
      </w:r>
      <w:r>
        <w:rPr>
          <w:sz w:val="28"/>
          <w:szCs w:val="28"/>
        </w:rPr>
        <w:lastRenderedPageBreak/>
        <w:t xml:space="preserve">discretion to consider and recommend other rule changes on any topic concerning the delivery of legal services.  </w:t>
      </w:r>
    </w:p>
    <w:p w14:paraId="1FBD32E6" w14:textId="22A2EA54" w:rsidR="00E25BB3" w:rsidRDefault="00E25BB3" w:rsidP="00E25BB3">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FE7D74">
        <w:rPr>
          <w:sz w:val="28"/>
          <w:szCs w:val="28"/>
        </w:rPr>
        <w:t xml:space="preserve">The </w:t>
      </w:r>
      <w:r>
        <w:rPr>
          <w:sz w:val="28"/>
          <w:szCs w:val="28"/>
        </w:rPr>
        <w:t xml:space="preserve">Task Force presented its recommendation to the Arizona Judicial Council (“AJC”) on October 24, 2019.  The </w:t>
      </w:r>
      <w:r w:rsidRPr="00FE7D74">
        <w:rPr>
          <w:sz w:val="28"/>
          <w:szCs w:val="28"/>
        </w:rPr>
        <w:t>Report and Recommendations of the Task Force (</w:t>
      </w:r>
      <w:r w:rsidRPr="00FE7D74">
        <w:rPr>
          <w:i/>
          <w:sz w:val="28"/>
          <w:szCs w:val="28"/>
        </w:rPr>
        <w:t>Report</w:t>
      </w:r>
      <w:r>
        <w:rPr>
          <w:sz w:val="28"/>
          <w:szCs w:val="28"/>
        </w:rPr>
        <w:t xml:space="preserve">), along with other Task Force information, can be found at the Task Force’s webpage: </w:t>
      </w:r>
      <w:hyperlink r:id="rId7" w:history="1">
        <w:r w:rsidRPr="00896C76">
          <w:rPr>
            <w:rStyle w:val="Hyperlink"/>
            <w:sz w:val="28"/>
            <w:szCs w:val="28"/>
          </w:rPr>
          <w:t>https://www.azcourts.gov/cscommittees/Legal-Services-Task-Force</w:t>
        </w:r>
      </w:hyperlink>
      <w:r w:rsidRPr="00896C76">
        <w:rPr>
          <w:sz w:val="28"/>
          <w:szCs w:val="28"/>
        </w:rPr>
        <w:t>.</w:t>
      </w:r>
      <w:r>
        <w:t xml:space="preserve"> </w:t>
      </w:r>
      <w:r>
        <w:rPr>
          <w:sz w:val="28"/>
          <w:szCs w:val="28"/>
        </w:rPr>
        <w:t xml:space="preserve">The AJC </w:t>
      </w:r>
      <w:r w:rsidR="00FA669B">
        <w:rPr>
          <w:sz w:val="28"/>
          <w:szCs w:val="28"/>
        </w:rPr>
        <w:t>approved</w:t>
      </w:r>
      <w:r>
        <w:rPr>
          <w:sz w:val="28"/>
          <w:szCs w:val="28"/>
        </w:rPr>
        <w:t xml:space="preserve"> all recommendations of the Task Force, including the recommendation to amend </w:t>
      </w:r>
      <w:r w:rsidR="004E4CED">
        <w:rPr>
          <w:sz w:val="28"/>
          <w:szCs w:val="28"/>
        </w:rPr>
        <w:t xml:space="preserve">ethical rules (ERs) </w:t>
      </w:r>
      <w:r w:rsidR="001F4BB3">
        <w:rPr>
          <w:sz w:val="28"/>
          <w:szCs w:val="28"/>
        </w:rPr>
        <w:t xml:space="preserve">7.1 through 7.5 </w:t>
      </w:r>
      <w:r w:rsidR="00FA669B">
        <w:rPr>
          <w:sz w:val="28"/>
          <w:szCs w:val="28"/>
        </w:rPr>
        <w:t xml:space="preserve">of Supreme Court Rule 42, which was </w:t>
      </w:r>
      <w:r>
        <w:rPr>
          <w:sz w:val="28"/>
          <w:szCs w:val="28"/>
        </w:rPr>
        <w:t xml:space="preserve">Recommendation 2 of the report.  </w:t>
      </w:r>
    </w:p>
    <w:p w14:paraId="6AEE9142" w14:textId="6DFA985E" w:rsidR="00E66DE6" w:rsidRDefault="00C30081" w:rsidP="00C30081">
      <w:pPr>
        <w:pStyle w:val="BodyText"/>
        <w:spacing w:line="480" w:lineRule="auto"/>
        <w:jc w:val="both"/>
        <w:rPr>
          <w:szCs w:val="28"/>
        </w:rPr>
      </w:pPr>
      <w:r>
        <w:rPr>
          <w:szCs w:val="28"/>
        </w:rPr>
        <w:tab/>
      </w:r>
      <w:r w:rsidR="004E4CED">
        <w:rPr>
          <w:szCs w:val="28"/>
        </w:rPr>
        <w:t>A</w:t>
      </w:r>
      <w:r w:rsidR="00E66DE6">
        <w:rPr>
          <w:szCs w:val="28"/>
        </w:rPr>
        <w:t xml:space="preserve"> clean version of the proposed amendments for ERs 7.1 through 7.5 is attached at Appendix </w:t>
      </w:r>
      <w:r w:rsidR="004E4CED">
        <w:rPr>
          <w:szCs w:val="28"/>
        </w:rPr>
        <w:t>1A</w:t>
      </w:r>
      <w:r w:rsidR="00E66DE6">
        <w:rPr>
          <w:szCs w:val="28"/>
        </w:rPr>
        <w:t xml:space="preserve">, and a </w:t>
      </w:r>
      <w:r w:rsidR="004E4CED">
        <w:rPr>
          <w:szCs w:val="28"/>
        </w:rPr>
        <w:t>redline</w:t>
      </w:r>
      <w:r w:rsidR="00E66DE6">
        <w:rPr>
          <w:szCs w:val="28"/>
        </w:rPr>
        <w:t xml:space="preserve"> version of the proposed amendments is attached at Appendix </w:t>
      </w:r>
      <w:r w:rsidR="004E4CED">
        <w:rPr>
          <w:szCs w:val="28"/>
        </w:rPr>
        <w:t>1B</w:t>
      </w:r>
      <w:r w:rsidR="00E66DE6">
        <w:rPr>
          <w:szCs w:val="28"/>
        </w:rPr>
        <w:t>.</w:t>
      </w:r>
    </w:p>
    <w:p w14:paraId="7FE3F523" w14:textId="34A059AD" w:rsidR="00663FD9" w:rsidRPr="0083172F" w:rsidRDefault="00E737AD" w:rsidP="00663FD9">
      <w:pPr>
        <w:pStyle w:val="Heading3"/>
        <w:spacing w:before="0" w:after="120" w:line="240" w:lineRule="auto"/>
        <w:ind w:left="360" w:hanging="360"/>
        <w:rPr>
          <w:rFonts w:ascii="Times New Roman" w:hAnsi="Times New Roman" w:cs="Times New Roman"/>
          <w:b/>
          <w:sz w:val="28"/>
          <w:szCs w:val="28"/>
        </w:rPr>
      </w:pPr>
      <w:bookmarkStart w:id="2" w:name="_Toc21078809"/>
      <w:r>
        <w:rPr>
          <w:rStyle w:val="Heading3Char"/>
          <w:rFonts w:ascii="Times New Roman" w:hAnsi="Times New Roman" w:cs="Times New Roman"/>
          <w:b/>
          <w:color w:val="auto"/>
          <w:sz w:val="28"/>
          <w:szCs w:val="28"/>
        </w:rPr>
        <w:t>II</w:t>
      </w:r>
      <w:r w:rsidR="00663FD9" w:rsidRPr="0083172F">
        <w:rPr>
          <w:rStyle w:val="Heading3Char"/>
          <w:rFonts w:ascii="Times New Roman" w:hAnsi="Times New Roman" w:cs="Times New Roman"/>
          <w:b/>
          <w:color w:val="auto"/>
          <w:sz w:val="28"/>
          <w:szCs w:val="28"/>
        </w:rPr>
        <w:t xml:space="preserve">.  </w:t>
      </w:r>
      <w:r w:rsidR="00552C8F">
        <w:rPr>
          <w:rStyle w:val="Heading3Char"/>
          <w:rFonts w:ascii="Times New Roman" w:hAnsi="Times New Roman" w:cs="Times New Roman"/>
          <w:b/>
          <w:color w:val="auto"/>
          <w:sz w:val="28"/>
          <w:szCs w:val="28"/>
        </w:rPr>
        <w:tab/>
      </w:r>
      <w:r w:rsidR="00663FD9" w:rsidRPr="0083172F">
        <w:rPr>
          <w:rStyle w:val="Heading3Char"/>
          <w:rFonts w:ascii="Times New Roman" w:hAnsi="Times New Roman" w:cs="Times New Roman"/>
          <w:b/>
          <w:color w:val="auto"/>
          <w:sz w:val="28"/>
          <w:szCs w:val="28"/>
        </w:rPr>
        <w:t>Summary of Proposed Amendments to ERs</w:t>
      </w:r>
      <w:r w:rsidR="004E4CED">
        <w:rPr>
          <w:rStyle w:val="Heading3Char"/>
          <w:rFonts w:ascii="Times New Roman" w:hAnsi="Times New Roman" w:cs="Times New Roman"/>
          <w:b/>
          <w:color w:val="auto"/>
          <w:sz w:val="28"/>
          <w:szCs w:val="28"/>
        </w:rPr>
        <w:t xml:space="preserve"> 7.1 through 7.5</w:t>
      </w:r>
      <w:bookmarkEnd w:id="2"/>
      <w:r>
        <w:rPr>
          <w:rStyle w:val="Heading3Char"/>
          <w:rFonts w:ascii="Times New Roman" w:hAnsi="Times New Roman" w:cs="Times New Roman"/>
          <w:b/>
          <w:color w:val="auto"/>
          <w:sz w:val="28"/>
          <w:szCs w:val="28"/>
        </w:rPr>
        <w:t>.</w:t>
      </w:r>
      <w:r w:rsidRPr="0083172F">
        <w:rPr>
          <w:rStyle w:val="Heading3Char"/>
          <w:rFonts w:ascii="Times New Roman" w:hAnsi="Times New Roman" w:cs="Times New Roman"/>
          <w:b/>
          <w:color w:val="auto"/>
          <w:sz w:val="28"/>
          <w:szCs w:val="28"/>
        </w:rPr>
        <w:t xml:space="preserve"> </w:t>
      </w:r>
    </w:p>
    <w:p w14:paraId="2E2754B4" w14:textId="3C7D76D1" w:rsidR="00663FD9" w:rsidRPr="0083172F" w:rsidRDefault="00663FD9" w:rsidP="00663FD9">
      <w:pPr>
        <w:spacing w:line="480" w:lineRule="auto"/>
        <w:jc w:val="both"/>
        <w:rPr>
          <w:sz w:val="28"/>
          <w:szCs w:val="28"/>
        </w:rPr>
      </w:pPr>
      <w:r w:rsidRPr="0083172F">
        <w:rPr>
          <w:sz w:val="28"/>
          <w:szCs w:val="28"/>
        </w:rPr>
        <w:tab/>
        <w:t xml:space="preserve">The proposed amendments </w:t>
      </w:r>
      <w:r w:rsidR="00AC589A">
        <w:rPr>
          <w:sz w:val="28"/>
          <w:szCs w:val="28"/>
        </w:rPr>
        <w:t xml:space="preserve">address lawyer advertising and </w:t>
      </w:r>
      <w:r w:rsidRPr="0083172F">
        <w:rPr>
          <w:sz w:val="28"/>
          <w:szCs w:val="28"/>
        </w:rPr>
        <w:t xml:space="preserve">incorporate many of the 2018 ABA Model Rule amendments and fulfill the </w:t>
      </w:r>
      <w:r w:rsidR="00FA669B">
        <w:rPr>
          <w:sz w:val="28"/>
          <w:szCs w:val="28"/>
        </w:rPr>
        <w:t>T</w:t>
      </w:r>
      <w:r w:rsidRPr="0083172F">
        <w:rPr>
          <w:sz w:val="28"/>
          <w:szCs w:val="28"/>
        </w:rPr>
        <w:t xml:space="preserve">ask </w:t>
      </w:r>
      <w:r w:rsidR="00FA669B">
        <w:rPr>
          <w:sz w:val="28"/>
          <w:szCs w:val="28"/>
        </w:rPr>
        <w:t>F</w:t>
      </w:r>
      <w:r w:rsidRPr="0083172F">
        <w:rPr>
          <w:sz w:val="28"/>
          <w:szCs w:val="28"/>
        </w:rPr>
        <w:t xml:space="preserve">orce’s charge to identify issues and improvements in the delivery of legal services.  As evidenced by Recommendation </w:t>
      </w:r>
      <w:r w:rsidR="00AC589A">
        <w:rPr>
          <w:sz w:val="28"/>
          <w:szCs w:val="28"/>
        </w:rPr>
        <w:t>2</w:t>
      </w:r>
      <w:r w:rsidRPr="0083172F">
        <w:rPr>
          <w:sz w:val="28"/>
          <w:szCs w:val="28"/>
        </w:rPr>
        <w:t xml:space="preserve">, the </w:t>
      </w:r>
      <w:r w:rsidR="00AC589A">
        <w:rPr>
          <w:sz w:val="28"/>
          <w:szCs w:val="28"/>
        </w:rPr>
        <w:t>T</w:t>
      </w:r>
      <w:r w:rsidRPr="0083172F">
        <w:rPr>
          <w:sz w:val="28"/>
          <w:szCs w:val="28"/>
        </w:rPr>
        <w:t xml:space="preserve">ask </w:t>
      </w:r>
      <w:r w:rsidR="00AC589A">
        <w:rPr>
          <w:sz w:val="28"/>
          <w:szCs w:val="28"/>
        </w:rPr>
        <w:t>F</w:t>
      </w:r>
      <w:r w:rsidRPr="0083172F">
        <w:rPr>
          <w:sz w:val="28"/>
          <w:szCs w:val="28"/>
        </w:rPr>
        <w:t xml:space="preserve">orce recommends eliminating or amending ethical rules that impede lawyers’ </w:t>
      </w:r>
      <w:r w:rsidR="00AC589A">
        <w:rPr>
          <w:sz w:val="28"/>
          <w:szCs w:val="28"/>
        </w:rPr>
        <w:t xml:space="preserve">ability </w:t>
      </w:r>
      <w:r w:rsidRPr="0083172F">
        <w:rPr>
          <w:sz w:val="28"/>
          <w:szCs w:val="28"/>
        </w:rPr>
        <w:t>to provide cost-effective legal services.</w:t>
      </w:r>
    </w:p>
    <w:p w14:paraId="35E94E50" w14:textId="3443F34A" w:rsidR="00663FD9" w:rsidRPr="0083172F" w:rsidRDefault="00663FD9" w:rsidP="00663FD9">
      <w:pPr>
        <w:spacing w:line="480" w:lineRule="auto"/>
        <w:jc w:val="both"/>
        <w:rPr>
          <w:sz w:val="28"/>
          <w:szCs w:val="28"/>
        </w:rPr>
      </w:pPr>
      <w:r w:rsidRPr="0083172F">
        <w:rPr>
          <w:sz w:val="28"/>
          <w:szCs w:val="28"/>
        </w:rPr>
        <w:tab/>
        <w:t>The proposed amendments to the</w:t>
      </w:r>
      <w:r w:rsidR="00AC589A">
        <w:rPr>
          <w:sz w:val="28"/>
          <w:szCs w:val="28"/>
        </w:rPr>
        <w:t>se ethical rules</w:t>
      </w:r>
      <w:r w:rsidRPr="0083172F">
        <w:rPr>
          <w:sz w:val="28"/>
          <w:szCs w:val="28"/>
        </w:rPr>
        <w:t xml:space="preserve"> would: </w:t>
      </w:r>
    </w:p>
    <w:p w14:paraId="526E337F" w14:textId="77777777" w:rsidR="00663FD9" w:rsidRPr="0083172F" w:rsidRDefault="00663FD9" w:rsidP="00663FD9">
      <w:pPr>
        <w:pStyle w:val="ListParagraph"/>
        <w:numPr>
          <w:ilvl w:val="0"/>
          <w:numId w:val="4"/>
        </w:numPr>
        <w:spacing w:line="480" w:lineRule="auto"/>
        <w:ind w:left="720"/>
        <w:contextualSpacing/>
        <w:jc w:val="both"/>
        <w:rPr>
          <w:sz w:val="28"/>
          <w:szCs w:val="28"/>
        </w:rPr>
      </w:pPr>
      <w:r w:rsidRPr="0083172F">
        <w:rPr>
          <w:sz w:val="28"/>
          <w:szCs w:val="28"/>
        </w:rPr>
        <w:lastRenderedPageBreak/>
        <w:t>retain the rules’ primary regulatory mandate of refraining from making false and misleading communications;</w:t>
      </w:r>
    </w:p>
    <w:p w14:paraId="68BA6035" w14:textId="77777777" w:rsidR="00663FD9" w:rsidRPr="0083172F" w:rsidRDefault="00663FD9" w:rsidP="00663FD9">
      <w:pPr>
        <w:pStyle w:val="ListParagraph"/>
        <w:numPr>
          <w:ilvl w:val="0"/>
          <w:numId w:val="4"/>
        </w:numPr>
        <w:spacing w:line="480" w:lineRule="auto"/>
        <w:ind w:left="720"/>
        <w:contextualSpacing/>
        <w:jc w:val="both"/>
        <w:rPr>
          <w:sz w:val="28"/>
          <w:szCs w:val="28"/>
        </w:rPr>
      </w:pPr>
      <w:r w:rsidRPr="0083172F">
        <w:rPr>
          <w:sz w:val="28"/>
          <w:szCs w:val="28"/>
        </w:rPr>
        <w:t xml:space="preserve">set forth the requirements for who may identify themselves as a “certified specialist” in an area of law; </w:t>
      </w:r>
    </w:p>
    <w:p w14:paraId="5109BF9F" w14:textId="77777777" w:rsidR="00663FD9" w:rsidRPr="0083172F" w:rsidRDefault="00663FD9" w:rsidP="00663FD9">
      <w:pPr>
        <w:pStyle w:val="ListParagraph"/>
        <w:numPr>
          <w:ilvl w:val="0"/>
          <w:numId w:val="4"/>
        </w:numPr>
        <w:spacing w:line="480" w:lineRule="auto"/>
        <w:ind w:left="720"/>
        <w:contextualSpacing/>
        <w:jc w:val="both"/>
        <w:rPr>
          <w:sz w:val="28"/>
          <w:szCs w:val="28"/>
        </w:rPr>
      </w:pPr>
      <w:r w:rsidRPr="0083172F">
        <w:rPr>
          <w:sz w:val="28"/>
          <w:szCs w:val="28"/>
        </w:rPr>
        <w:t xml:space="preserve">maintain reasonable restrictions on direct solicitation of specific potential clients; and </w:t>
      </w:r>
    </w:p>
    <w:p w14:paraId="7E0925F4" w14:textId="77777777" w:rsidR="00663FD9" w:rsidRPr="0083172F" w:rsidRDefault="00663FD9" w:rsidP="00663FD9">
      <w:pPr>
        <w:pStyle w:val="ListParagraph"/>
        <w:numPr>
          <w:ilvl w:val="0"/>
          <w:numId w:val="4"/>
        </w:numPr>
        <w:spacing w:line="480" w:lineRule="auto"/>
        <w:ind w:left="720"/>
        <w:contextualSpacing/>
        <w:jc w:val="both"/>
        <w:rPr>
          <w:sz w:val="28"/>
          <w:szCs w:val="28"/>
        </w:rPr>
      </w:pPr>
      <w:r w:rsidRPr="0083172F">
        <w:rPr>
          <w:sz w:val="28"/>
          <w:szCs w:val="28"/>
        </w:rPr>
        <w:t>eliminate obsolete and anticompetitive provisions that unreasonably restrict the dissemination of truthful advertising.</w:t>
      </w:r>
    </w:p>
    <w:p w14:paraId="4001F0C2" w14:textId="00A04CDE" w:rsidR="00663FD9" w:rsidRPr="0083172F" w:rsidRDefault="00663FD9" w:rsidP="00663FD9">
      <w:pPr>
        <w:spacing w:line="480" w:lineRule="auto"/>
        <w:jc w:val="both"/>
        <w:rPr>
          <w:sz w:val="28"/>
          <w:szCs w:val="28"/>
        </w:rPr>
      </w:pPr>
      <w:r w:rsidRPr="0083172F">
        <w:rPr>
          <w:sz w:val="28"/>
          <w:szCs w:val="28"/>
        </w:rPr>
        <w:tab/>
        <w:t xml:space="preserve">The most significant amendment, which goes beyond the 2018 ABA Model Rule amendments, would eliminate current ER 7.2(b)’s prohibition against giving </w:t>
      </w:r>
      <w:r w:rsidRPr="0083172F">
        <w:rPr>
          <w:i/>
          <w:iCs/>
          <w:sz w:val="28"/>
          <w:szCs w:val="28"/>
        </w:rPr>
        <w:t xml:space="preserve">anyone </w:t>
      </w:r>
      <w:r w:rsidRPr="0083172F">
        <w:rPr>
          <w:sz w:val="28"/>
          <w:szCs w:val="28"/>
        </w:rPr>
        <w:t>anything of “value” for recommending a lawyer or referring a potential client to a lawyer.  Anecdotally, it has been observed that this provision is violated daily because, taken literally, this provision prohibits taking an existing client golfing to say thank you for a referral or giving a firm paralegal a gift card or sending flowers for referring a family member to the firm.  Similarly, there are many ethics opinions issued both in Arizona</w:t>
      </w:r>
      <w:r w:rsidRPr="0083172F">
        <w:rPr>
          <w:rStyle w:val="FootnoteReference"/>
          <w:sz w:val="28"/>
          <w:szCs w:val="28"/>
        </w:rPr>
        <w:footnoteReference w:id="2"/>
      </w:r>
      <w:r w:rsidRPr="0083172F">
        <w:rPr>
          <w:sz w:val="28"/>
          <w:szCs w:val="28"/>
        </w:rPr>
        <w:t xml:space="preserve"> and around the United States that provide convoluted attempts to distinguish between what is permissible “group advertising” versus what is an impermissible “referral service.”  Not only do these technical interpretations serve no productive regulatory purpose, but the unnecessary complexity in the </w:t>
      </w:r>
      <w:r w:rsidRPr="0083172F">
        <w:rPr>
          <w:sz w:val="28"/>
          <w:szCs w:val="28"/>
        </w:rPr>
        <w:lastRenderedPageBreak/>
        <w:t xml:space="preserve">regulations stifles lawyers’ </w:t>
      </w:r>
      <w:r w:rsidR="00AC589A">
        <w:rPr>
          <w:sz w:val="28"/>
          <w:szCs w:val="28"/>
        </w:rPr>
        <w:t>ability</w:t>
      </w:r>
      <w:r w:rsidRPr="0083172F">
        <w:rPr>
          <w:sz w:val="28"/>
          <w:szCs w:val="28"/>
        </w:rPr>
        <w:t xml:space="preserve"> to embrace more efficient online marketing platforms for fear the website or service may be deemed a for-profit referral service. </w:t>
      </w:r>
    </w:p>
    <w:p w14:paraId="257E2AB4" w14:textId="77777777" w:rsidR="00663FD9" w:rsidRPr="0083172F" w:rsidRDefault="00663FD9" w:rsidP="00663FD9">
      <w:pPr>
        <w:spacing w:line="480" w:lineRule="auto"/>
        <w:jc w:val="both"/>
        <w:rPr>
          <w:sz w:val="28"/>
          <w:szCs w:val="28"/>
        </w:rPr>
      </w:pPr>
      <w:r w:rsidRPr="0083172F">
        <w:rPr>
          <w:sz w:val="28"/>
          <w:szCs w:val="28"/>
        </w:rPr>
        <w:tab/>
        <w:t xml:space="preserve">Rule 7.2(b)’s prohibition against “giving anything of value” exists although there is no quantifiable data evidencing that </w:t>
      </w:r>
      <w:r w:rsidRPr="0083172F">
        <w:rPr>
          <w:i/>
          <w:iCs/>
          <w:sz w:val="28"/>
          <w:szCs w:val="28"/>
        </w:rPr>
        <w:t xml:space="preserve">for-profit </w:t>
      </w:r>
      <w:r w:rsidRPr="0083172F">
        <w:rPr>
          <w:sz w:val="28"/>
          <w:szCs w:val="28"/>
        </w:rPr>
        <w:t>referral services or even paying for referrals confuses or harms consumers.  Consumers do not expect online marketing platforms to be nonprofit operations – which are the only referral services permissible under the current regulatory framework.  Note that Florida, one of the most restrictive lawyer advertising jurisdictions in the country, already permits for-profit referral services.</w:t>
      </w:r>
    </w:p>
    <w:p w14:paraId="4FE15776" w14:textId="32926125" w:rsidR="00E66DE6" w:rsidRDefault="004E4CED" w:rsidP="004E4CED">
      <w:pPr>
        <w:spacing w:line="480" w:lineRule="auto"/>
        <w:jc w:val="both"/>
        <w:rPr>
          <w:b/>
          <w:i/>
          <w:sz w:val="28"/>
          <w:szCs w:val="28"/>
        </w:rPr>
      </w:pPr>
      <w:r>
        <w:rPr>
          <w:sz w:val="28"/>
          <w:szCs w:val="28"/>
        </w:rPr>
        <w:tab/>
      </w:r>
      <w:r w:rsidR="00663FD9" w:rsidRPr="0083172F">
        <w:rPr>
          <w:sz w:val="28"/>
          <w:szCs w:val="28"/>
        </w:rPr>
        <w:t xml:space="preserve">The following summarizes </w:t>
      </w:r>
      <w:r>
        <w:rPr>
          <w:sz w:val="28"/>
          <w:szCs w:val="28"/>
        </w:rPr>
        <w:t>the</w:t>
      </w:r>
      <w:r w:rsidR="00663FD9" w:rsidRPr="0083172F">
        <w:rPr>
          <w:sz w:val="28"/>
          <w:szCs w:val="28"/>
        </w:rPr>
        <w:t xml:space="preserve"> changes</w:t>
      </w:r>
      <w:r>
        <w:rPr>
          <w:sz w:val="28"/>
          <w:szCs w:val="28"/>
        </w:rPr>
        <w:t xml:space="preserve"> proposed for each ER</w:t>
      </w:r>
      <w:r w:rsidR="00663FD9" w:rsidRPr="0083172F">
        <w:rPr>
          <w:sz w:val="28"/>
          <w:szCs w:val="28"/>
        </w:rPr>
        <w:t>.</w:t>
      </w:r>
    </w:p>
    <w:p w14:paraId="4AFF007A" w14:textId="7AE21F8D" w:rsidR="00663FD9" w:rsidRPr="0083172F" w:rsidRDefault="00663FD9" w:rsidP="00663FD9">
      <w:pPr>
        <w:spacing w:after="120"/>
        <w:rPr>
          <w:b/>
          <w:i/>
          <w:sz w:val="28"/>
          <w:szCs w:val="28"/>
        </w:rPr>
      </w:pPr>
      <w:r w:rsidRPr="0083172F">
        <w:rPr>
          <w:b/>
          <w:i/>
          <w:sz w:val="28"/>
          <w:szCs w:val="28"/>
        </w:rPr>
        <w:t xml:space="preserve">ER </w:t>
      </w:r>
      <w:proofErr w:type="gramStart"/>
      <w:r w:rsidRPr="0083172F">
        <w:rPr>
          <w:b/>
          <w:i/>
          <w:sz w:val="28"/>
          <w:szCs w:val="28"/>
        </w:rPr>
        <w:t>7.1  Communications</w:t>
      </w:r>
      <w:proofErr w:type="gramEnd"/>
      <w:r w:rsidRPr="0083172F">
        <w:rPr>
          <w:b/>
          <w:i/>
          <w:sz w:val="28"/>
          <w:szCs w:val="28"/>
        </w:rPr>
        <w:t xml:space="preserve"> Concerning a Lawyer’s Services</w:t>
      </w:r>
    </w:p>
    <w:p w14:paraId="33C23830" w14:textId="144C1F6C" w:rsidR="00663FD9" w:rsidRPr="0083172F" w:rsidRDefault="00663FD9" w:rsidP="00663FD9">
      <w:pPr>
        <w:spacing w:line="480" w:lineRule="auto"/>
        <w:jc w:val="both"/>
        <w:rPr>
          <w:sz w:val="28"/>
          <w:szCs w:val="28"/>
        </w:rPr>
      </w:pPr>
      <w:r w:rsidRPr="0083172F">
        <w:rPr>
          <w:sz w:val="28"/>
          <w:szCs w:val="28"/>
        </w:rPr>
        <w:tab/>
        <w:t xml:space="preserve">The amended rule retains the existing prohibition against “false and misleading” communications about a lawyer’s services.  Most bar regulators in the United States have expressed the view that this provision is the rule primarily relied on to regulate lawyer advertising.  The current requirements for identifying a lawyer as a “certified specialist” were moved from current ER 7.4 into new ER 7.1(b) and the proposed amendment updates the language from restricting use of the term “specialist” to restricting only the use of the phrase “certified specialist,” consistent with the ABA Model Rule.  This change avoids constitutional challenges to the overly restrictive prohibition in current ER 7.4, which limits use of the term </w:t>
      </w:r>
      <w:r w:rsidRPr="0083172F">
        <w:rPr>
          <w:sz w:val="28"/>
          <w:szCs w:val="28"/>
        </w:rPr>
        <w:lastRenderedPageBreak/>
        <w:t>“specialist.”  The proposed changes would also bring Arizona’s rule in line with the ABA Model Rule language in noting that lawyers may not identify themselves as “</w:t>
      </w:r>
      <w:r w:rsidRPr="0083172F">
        <w:rPr>
          <w:i/>
          <w:iCs/>
          <w:sz w:val="28"/>
          <w:szCs w:val="28"/>
        </w:rPr>
        <w:t xml:space="preserve">certified </w:t>
      </w:r>
      <w:r w:rsidRPr="0083172F">
        <w:rPr>
          <w:sz w:val="28"/>
          <w:szCs w:val="28"/>
        </w:rPr>
        <w:t xml:space="preserve">specialists” unless they comply with the requirements set forth in </w:t>
      </w:r>
      <w:r w:rsidR="00206633">
        <w:rPr>
          <w:sz w:val="28"/>
          <w:szCs w:val="28"/>
        </w:rPr>
        <w:t>c</w:t>
      </w:r>
      <w:r w:rsidRPr="0083172F">
        <w:rPr>
          <w:sz w:val="28"/>
          <w:szCs w:val="28"/>
        </w:rPr>
        <w:t xml:space="preserve">ourt rules.  The reference in new ER 7.1(b) to new criteria for certified specialist </w:t>
      </w:r>
      <w:r w:rsidR="00231CDD">
        <w:rPr>
          <w:sz w:val="28"/>
          <w:szCs w:val="28"/>
        </w:rPr>
        <w:t>is</w:t>
      </w:r>
      <w:r w:rsidR="00231CDD" w:rsidRPr="0083172F">
        <w:rPr>
          <w:sz w:val="28"/>
          <w:szCs w:val="28"/>
        </w:rPr>
        <w:t xml:space="preserve"> </w:t>
      </w:r>
      <w:r w:rsidRPr="0083172F">
        <w:rPr>
          <w:sz w:val="28"/>
          <w:szCs w:val="28"/>
        </w:rPr>
        <w:t>contained in Supreme Court Rule 44, and this cross-reference will assist lawyers researching Arizona’s certified specialist advertising requirements.  Explanatory comments from current ER 7.4 have been moved to the comments of ER 7.1 to reassure patent attorneys that their specialization is still recognized.</w:t>
      </w:r>
    </w:p>
    <w:p w14:paraId="3CF26A8C" w14:textId="475E3E70" w:rsidR="00663FD9" w:rsidRPr="0083172F" w:rsidRDefault="00663FD9" w:rsidP="00663FD9">
      <w:pPr>
        <w:spacing w:line="480" w:lineRule="auto"/>
        <w:jc w:val="both"/>
        <w:rPr>
          <w:sz w:val="28"/>
          <w:szCs w:val="28"/>
        </w:rPr>
      </w:pPr>
      <w:r w:rsidRPr="0083172F">
        <w:rPr>
          <w:sz w:val="28"/>
          <w:szCs w:val="28"/>
        </w:rPr>
        <w:tab/>
        <w:t xml:space="preserve">The amendments also move the requirement that all communications must contain the name of a lawyer or law firm and some “contact” information from ER 7.2(c) into new ER 7.1(c).  Comments to 7.1 also now include explanatory comments regarding law firm names that were in current ER 7.5.  This is consistent with the 2018 Amendments to the ABA Model Rules of Professional Conduct and clarifies that disbarred lawyers’ names and names of lawyers on disability inactive status </w:t>
      </w:r>
      <w:r w:rsidR="00206633">
        <w:rPr>
          <w:sz w:val="28"/>
          <w:szCs w:val="28"/>
        </w:rPr>
        <w:t>must be removed from</w:t>
      </w:r>
      <w:r w:rsidRPr="0083172F">
        <w:rPr>
          <w:sz w:val="28"/>
          <w:szCs w:val="28"/>
        </w:rPr>
        <w:t xml:space="preserve"> a firm name.  </w:t>
      </w:r>
    </w:p>
    <w:p w14:paraId="3AEE3FEC" w14:textId="382606B1" w:rsidR="00663FD9" w:rsidRPr="0083172F" w:rsidRDefault="00663FD9" w:rsidP="00663FD9">
      <w:pPr>
        <w:spacing w:after="120"/>
        <w:rPr>
          <w:b/>
          <w:i/>
          <w:sz w:val="28"/>
          <w:szCs w:val="28"/>
        </w:rPr>
      </w:pPr>
      <w:r w:rsidRPr="0083172F">
        <w:rPr>
          <w:b/>
          <w:i/>
          <w:sz w:val="28"/>
          <w:szCs w:val="28"/>
        </w:rPr>
        <w:t xml:space="preserve">ER 7.2   </w:t>
      </w:r>
    </w:p>
    <w:p w14:paraId="61170A03" w14:textId="1428232C" w:rsidR="00663FD9" w:rsidRPr="0083172F" w:rsidRDefault="00663FD9" w:rsidP="00663FD9">
      <w:pPr>
        <w:spacing w:line="480" w:lineRule="auto"/>
        <w:jc w:val="both"/>
        <w:rPr>
          <w:b/>
          <w:bCs/>
          <w:sz w:val="28"/>
          <w:szCs w:val="28"/>
          <w:u w:val="single"/>
        </w:rPr>
      </w:pPr>
      <w:r w:rsidRPr="0083172F">
        <w:rPr>
          <w:sz w:val="28"/>
          <w:szCs w:val="28"/>
        </w:rPr>
        <w:tab/>
        <w:t xml:space="preserve">Current ER 7.2 sets forth specific rules concerning lawyer advertising.  The </w:t>
      </w:r>
      <w:r w:rsidR="00206633">
        <w:rPr>
          <w:sz w:val="28"/>
          <w:szCs w:val="28"/>
        </w:rPr>
        <w:t>T</w:t>
      </w:r>
      <w:r w:rsidRPr="0083172F">
        <w:rPr>
          <w:sz w:val="28"/>
          <w:szCs w:val="28"/>
        </w:rPr>
        <w:t xml:space="preserve">ask </w:t>
      </w:r>
      <w:r w:rsidR="00206633">
        <w:rPr>
          <w:sz w:val="28"/>
          <w:szCs w:val="28"/>
        </w:rPr>
        <w:t>F</w:t>
      </w:r>
      <w:r w:rsidRPr="0083172F">
        <w:rPr>
          <w:sz w:val="28"/>
          <w:szCs w:val="28"/>
        </w:rPr>
        <w:t xml:space="preserve">orce recommends deleting </w:t>
      </w:r>
      <w:r w:rsidR="0018418C">
        <w:rPr>
          <w:sz w:val="28"/>
          <w:szCs w:val="28"/>
        </w:rPr>
        <w:t>this</w:t>
      </w:r>
      <w:r w:rsidRPr="0083172F">
        <w:rPr>
          <w:sz w:val="28"/>
          <w:szCs w:val="28"/>
        </w:rPr>
        <w:t xml:space="preserve"> rule and moving the substance of current ER 7.2(c) to new ER 7.1(c).  </w:t>
      </w:r>
      <w:r w:rsidR="0018418C">
        <w:rPr>
          <w:sz w:val="28"/>
          <w:szCs w:val="28"/>
        </w:rPr>
        <w:t>C</w:t>
      </w:r>
      <w:r w:rsidRPr="0083172F">
        <w:rPr>
          <w:sz w:val="28"/>
          <w:szCs w:val="28"/>
        </w:rPr>
        <w:t xml:space="preserve">onsumer protection afforded by current ER 7.2 can be provided by less non-competitive provisions.  For instance, the rules on conflicts of </w:t>
      </w:r>
      <w:r w:rsidRPr="0083172F">
        <w:rPr>
          <w:sz w:val="28"/>
          <w:szCs w:val="28"/>
        </w:rPr>
        <w:lastRenderedPageBreak/>
        <w:t>interest, including ERs 1.7, 1.8, and 1.10, protect clients/consumers because they restrict a lawyer’s (and firm’s) representation of a client if the lawyer’s own interests could “materially limit” the lawyer’s independent professional judgment in representing the client.  Thus, a lawyer cannot be “forced” to represent a client simply because the</w:t>
      </w:r>
      <w:r w:rsidR="0018418C">
        <w:rPr>
          <w:sz w:val="28"/>
          <w:szCs w:val="28"/>
        </w:rPr>
        <w:t xml:space="preserve"> client</w:t>
      </w:r>
      <w:r w:rsidRPr="0083172F">
        <w:rPr>
          <w:sz w:val="28"/>
          <w:szCs w:val="28"/>
        </w:rPr>
        <w:t xml:space="preserve"> </w:t>
      </w:r>
      <w:r w:rsidR="0018418C">
        <w:rPr>
          <w:sz w:val="28"/>
          <w:szCs w:val="28"/>
        </w:rPr>
        <w:t>was</w:t>
      </w:r>
      <w:r w:rsidRPr="0083172F">
        <w:rPr>
          <w:sz w:val="28"/>
          <w:szCs w:val="28"/>
        </w:rPr>
        <w:t xml:space="preserve"> referred by someone who</w:t>
      </w:r>
      <w:r w:rsidR="0018418C">
        <w:rPr>
          <w:sz w:val="28"/>
          <w:szCs w:val="28"/>
        </w:rPr>
        <w:t>m</w:t>
      </w:r>
      <w:r w:rsidRPr="0083172F">
        <w:rPr>
          <w:sz w:val="28"/>
          <w:szCs w:val="28"/>
        </w:rPr>
        <w:t xml:space="preserve"> the lawyer pays as a referral source.  The conflict of interest rules control who and how a lawyer may represent a client, and such representations must be free of any conflict that could materially limit the lawyer’s objectivity.  </w:t>
      </w:r>
      <w:r w:rsidR="0018418C">
        <w:rPr>
          <w:sz w:val="28"/>
          <w:szCs w:val="28"/>
        </w:rPr>
        <w:t>Additionally,</w:t>
      </w:r>
      <w:r w:rsidRPr="0083172F">
        <w:rPr>
          <w:sz w:val="28"/>
          <w:szCs w:val="28"/>
        </w:rPr>
        <w:t xml:space="preserve"> disclosures revealing that a lawyer will pay referral fees sufficiently informs consumers about the referral system.  Such disclosures may be required to comply with ER 7.1’s “false and misleading” standard to assure that adequate information is conveyed to website visitors or referral sources about the fact that the site is not a nonprofit</w:t>
      </w:r>
      <w:r w:rsidRPr="0083172F">
        <w:rPr>
          <w:i/>
          <w:iCs/>
          <w:sz w:val="28"/>
          <w:szCs w:val="28"/>
        </w:rPr>
        <w:t xml:space="preserve"> </w:t>
      </w:r>
      <w:r w:rsidRPr="0083172F">
        <w:rPr>
          <w:sz w:val="28"/>
          <w:szCs w:val="28"/>
        </w:rPr>
        <w:t>operation.</w:t>
      </w:r>
    </w:p>
    <w:p w14:paraId="4BE807A8" w14:textId="77777777" w:rsidR="00663FD9" w:rsidRPr="0083172F" w:rsidRDefault="00663FD9" w:rsidP="00663FD9">
      <w:pPr>
        <w:spacing w:after="120"/>
        <w:rPr>
          <w:b/>
          <w:i/>
          <w:sz w:val="28"/>
          <w:szCs w:val="28"/>
        </w:rPr>
      </w:pPr>
      <w:r w:rsidRPr="0083172F">
        <w:rPr>
          <w:b/>
          <w:i/>
          <w:sz w:val="28"/>
          <w:szCs w:val="28"/>
        </w:rPr>
        <w:t>ER 7.3  Solicitation of Clients</w:t>
      </w:r>
    </w:p>
    <w:p w14:paraId="1F7A8775" w14:textId="63495BC2" w:rsidR="00663FD9" w:rsidRPr="0083172F" w:rsidRDefault="00663FD9" w:rsidP="00663FD9">
      <w:pPr>
        <w:spacing w:line="480" w:lineRule="auto"/>
        <w:jc w:val="both"/>
        <w:rPr>
          <w:sz w:val="28"/>
          <w:szCs w:val="28"/>
        </w:rPr>
      </w:pPr>
      <w:r w:rsidRPr="0083172F">
        <w:rPr>
          <w:sz w:val="28"/>
          <w:szCs w:val="28"/>
        </w:rPr>
        <w:tab/>
        <w:t xml:space="preserve">Consistent with the 2018 Amendments to the ABA Model Rules, the title of this rule was modified, and a definition of “solicitation” was added.  This rule governs </w:t>
      </w:r>
      <w:r w:rsidRPr="0083172F">
        <w:rPr>
          <w:iCs/>
          <w:sz w:val="28"/>
          <w:szCs w:val="28"/>
        </w:rPr>
        <w:t>direct</w:t>
      </w:r>
      <w:r w:rsidRPr="0083172F">
        <w:rPr>
          <w:i/>
          <w:iCs/>
          <w:sz w:val="28"/>
          <w:szCs w:val="28"/>
        </w:rPr>
        <w:t xml:space="preserve"> </w:t>
      </w:r>
      <w:r w:rsidRPr="0083172F">
        <w:rPr>
          <w:sz w:val="28"/>
          <w:szCs w:val="28"/>
        </w:rPr>
        <w:t xml:space="preserve">marketing to individuals with specific needs for legal services, as opposed to general advertising on billboards, business cards, print advertisements, television commercials, websites, and the like.  The proposed amendments are narrowly tailored to protect consumers who need legal services </w:t>
      </w:r>
      <w:proofErr w:type="gramStart"/>
      <w:r w:rsidRPr="0083172F">
        <w:rPr>
          <w:sz w:val="28"/>
          <w:szCs w:val="28"/>
        </w:rPr>
        <w:t>in particular matters</w:t>
      </w:r>
      <w:proofErr w:type="gramEnd"/>
      <w:r w:rsidRPr="0083172F">
        <w:rPr>
          <w:sz w:val="28"/>
          <w:szCs w:val="28"/>
        </w:rPr>
        <w:t xml:space="preserve"> from overreaching by lawyers.  The amendments would preclude, for example, </w:t>
      </w:r>
      <w:r w:rsidRPr="0083172F">
        <w:rPr>
          <w:sz w:val="28"/>
          <w:szCs w:val="28"/>
        </w:rPr>
        <w:lastRenderedPageBreak/>
        <w:t xml:space="preserve">solicitation letters sent to homeowners in a community where there are known construction defects, car accident victims, members of a neighborhood that has been affected by an environmental hazard, and individuals charged with crimes.  </w:t>
      </w:r>
      <w:r w:rsidR="0018418C">
        <w:rPr>
          <w:sz w:val="28"/>
          <w:szCs w:val="28"/>
        </w:rPr>
        <w:t>As re-defined, “s</w:t>
      </w:r>
      <w:r w:rsidRPr="0083172F">
        <w:rPr>
          <w:sz w:val="28"/>
          <w:szCs w:val="28"/>
        </w:rPr>
        <w:t>olicitation</w:t>
      </w:r>
      <w:r w:rsidR="0018418C">
        <w:rPr>
          <w:sz w:val="28"/>
          <w:szCs w:val="28"/>
        </w:rPr>
        <w:t>”</w:t>
      </w:r>
      <w:r w:rsidRPr="0083172F">
        <w:rPr>
          <w:sz w:val="28"/>
          <w:szCs w:val="28"/>
        </w:rPr>
        <w:t xml:space="preserve"> would </w:t>
      </w:r>
      <w:r w:rsidRPr="0083172F">
        <w:rPr>
          <w:i/>
          <w:iCs/>
          <w:sz w:val="28"/>
          <w:szCs w:val="28"/>
        </w:rPr>
        <w:t xml:space="preserve">not </w:t>
      </w:r>
      <w:r w:rsidRPr="0083172F">
        <w:rPr>
          <w:sz w:val="28"/>
          <w:szCs w:val="28"/>
        </w:rPr>
        <w:t xml:space="preserve">include sending a letter to everyone in a certain zip code simply to introduce a law firm to a general community that does not have a specific legal need (such as an estate planning firm sending letters to everyone in Paradise Valley or a family law attorney sending announcement postcards to all businesses in her business complex, announcing the opening of her office).  </w:t>
      </w:r>
      <w:r w:rsidR="0018418C">
        <w:rPr>
          <w:sz w:val="28"/>
          <w:szCs w:val="28"/>
        </w:rPr>
        <w:t>The definition of “s</w:t>
      </w:r>
      <w:r w:rsidRPr="0083172F">
        <w:rPr>
          <w:sz w:val="28"/>
          <w:szCs w:val="28"/>
        </w:rPr>
        <w:t>olicitation</w:t>
      </w:r>
      <w:r w:rsidR="0018418C">
        <w:rPr>
          <w:sz w:val="28"/>
          <w:szCs w:val="28"/>
        </w:rPr>
        <w:t>”</w:t>
      </w:r>
      <w:r w:rsidRPr="0083172F">
        <w:rPr>
          <w:sz w:val="28"/>
          <w:szCs w:val="28"/>
        </w:rPr>
        <w:t xml:space="preserve"> also would exempt class action court or rule-required notifications.</w:t>
      </w:r>
    </w:p>
    <w:p w14:paraId="3AAB5BA9" w14:textId="3690082A" w:rsidR="00663FD9" w:rsidRPr="0083172F" w:rsidRDefault="00663FD9" w:rsidP="00663FD9">
      <w:pPr>
        <w:spacing w:line="480" w:lineRule="auto"/>
        <w:jc w:val="both"/>
        <w:rPr>
          <w:sz w:val="28"/>
          <w:szCs w:val="28"/>
        </w:rPr>
      </w:pPr>
      <w:r w:rsidRPr="0083172F">
        <w:rPr>
          <w:sz w:val="28"/>
          <w:szCs w:val="28"/>
        </w:rPr>
        <w:tab/>
        <w:t xml:space="preserve">ER 7.3 retains the prohibition against in-person (face to face or door-to-door) and real-time electronic (such as telephone calls or Facetime) solicitation, unless the prospective client falls within certain categories of individuals not likely to be overwhelmed by a lawyer’s advocacy/solicitation skills, such as other lawyers, a former client, or a family member or friend of the lawyer.  And even for these categories of prospective clients, a lawyer cannot solicit them (or anyone) if they have made known that they do not want to be solicited or the communication involves coercion, harassment, or duress.  At the same time, an amendment to ER 7.3 adds an exception to the prohibition against in-person solicitation for communications directly with business people who regularly hire lawyers for </w:t>
      </w:r>
      <w:r w:rsidRPr="0083172F">
        <w:rPr>
          <w:sz w:val="28"/>
          <w:szCs w:val="28"/>
        </w:rPr>
        <w:lastRenderedPageBreak/>
        <w:t xml:space="preserve">business legal services, consistent with the 2018 Amendments to the ABA Model Rules.  The </w:t>
      </w:r>
      <w:r w:rsidR="00DC62D2">
        <w:rPr>
          <w:sz w:val="28"/>
          <w:szCs w:val="28"/>
        </w:rPr>
        <w:t>T</w:t>
      </w:r>
      <w:r w:rsidRPr="0083172F">
        <w:rPr>
          <w:sz w:val="28"/>
          <w:szCs w:val="28"/>
        </w:rPr>
        <w:t xml:space="preserve">ask </w:t>
      </w:r>
      <w:r w:rsidR="00DC62D2">
        <w:rPr>
          <w:sz w:val="28"/>
          <w:szCs w:val="28"/>
        </w:rPr>
        <w:t>F</w:t>
      </w:r>
      <w:r w:rsidRPr="0083172F">
        <w:rPr>
          <w:sz w:val="28"/>
          <w:szCs w:val="28"/>
        </w:rPr>
        <w:t>orce notes that this language was vetted extensively through ABA entities and Bar regulators to assure that the language could not be misinterpreted to mean, for instance, that a lawyer could call someone who regularly hires business lawyers to solicit business for criminal defense, bankruptcy, or family law matters.  The language in the proposed amendment limits this category of prospective client to only those who regularly retain counsel for business purposes and therefore are experienced at receiving calls, emails, and meetings with lawyers seeking to represent their companies.</w:t>
      </w:r>
    </w:p>
    <w:p w14:paraId="5AE83929" w14:textId="77777777" w:rsidR="00663FD9" w:rsidRPr="0083172F" w:rsidRDefault="00663FD9" w:rsidP="00663FD9">
      <w:pPr>
        <w:spacing w:line="480" w:lineRule="auto"/>
        <w:jc w:val="both"/>
        <w:rPr>
          <w:sz w:val="28"/>
          <w:szCs w:val="28"/>
        </w:rPr>
      </w:pPr>
      <w:r w:rsidRPr="0083172F">
        <w:rPr>
          <w:sz w:val="28"/>
          <w:szCs w:val="28"/>
        </w:rPr>
        <w:tab/>
        <w:t xml:space="preserve">The proposed amendments delete the current Rule’s “ADVERTISING MATERIAL” notation requirement for envelopes (and filing requirement), consistent with the 2018 Amendments to the ABA Model Rules.  Several jurisdictions, including, for instance, the District of Columbia, Massachusetts, Maine, Pennsylvania, North Dakota, Oregon, and Washington either have never had a notation requirement or deleted the requirement years ago.  None of these jurisdictions indicate any consumer confusion in receiving written communications from lawyers.  Nor is there any empirical evidence to indicate that the notation serves a necessary purpose in alerting consumers to the contents of an envelope.  Given the changes in technology and methods of direct marketing consumers receive on a regular basis, there is far less likelihood of a consumer being confused about the </w:t>
      </w:r>
      <w:r w:rsidRPr="0083172F">
        <w:rPr>
          <w:sz w:val="28"/>
          <w:szCs w:val="28"/>
        </w:rPr>
        <w:lastRenderedPageBreak/>
        <w:t>purpose of a direct mail solicitation letter or email today, than perhaps existed in 1985 when the notation requirement was adopted.</w:t>
      </w:r>
    </w:p>
    <w:p w14:paraId="19E5C0C6" w14:textId="4E9604DB" w:rsidR="00663FD9" w:rsidRPr="0083172F" w:rsidRDefault="00663FD9" w:rsidP="00663FD9">
      <w:pPr>
        <w:spacing w:after="120"/>
        <w:rPr>
          <w:b/>
          <w:i/>
          <w:sz w:val="28"/>
          <w:szCs w:val="28"/>
        </w:rPr>
      </w:pPr>
      <w:r w:rsidRPr="0083172F">
        <w:rPr>
          <w:b/>
          <w:i/>
          <w:sz w:val="28"/>
          <w:szCs w:val="28"/>
        </w:rPr>
        <w:t xml:space="preserve">ER 7.4 </w:t>
      </w:r>
    </w:p>
    <w:p w14:paraId="7DB4101C" w14:textId="26278EDC" w:rsidR="00E66DE6" w:rsidRDefault="00663FD9" w:rsidP="004E4CED">
      <w:pPr>
        <w:spacing w:line="480" w:lineRule="auto"/>
        <w:jc w:val="both"/>
        <w:rPr>
          <w:b/>
          <w:i/>
          <w:sz w:val="28"/>
          <w:szCs w:val="28"/>
        </w:rPr>
      </w:pPr>
      <w:r w:rsidRPr="0083172F">
        <w:rPr>
          <w:sz w:val="28"/>
          <w:szCs w:val="28"/>
        </w:rPr>
        <w:tab/>
        <w:t>Current ER 7.4 concerns a lawyer</w:t>
      </w:r>
      <w:r w:rsidR="00AC589A">
        <w:rPr>
          <w:sz w:val="28"/>
          <w:szCs w:val="28"/>
        </w:rPr>
        <w:t>’</w:t>
      </w:r>
      <w:r w:rsidRPr="0083172F">
        <w:rPr>
          <w:sz w:val="28"/>
          <w:szCs w:val="28"/>
        </w:rPr>
        <w:t xml:space="preserve">s </w:t>
      </w:r>
      <w:r w:rsidR="00AC589A">
        <w:rPr>
          <w:sz w:val="28"/>
          <w:szCs w:val="28"/>
        </w:rPr>
        <w:t>ability</w:t>
      </w:r>
      <w:r w:rsidRPr="0083172F">
        <w:rPr>
          <w:sz w:val="28"/>
          <w:szCs w:val="28"/>
        </w:rPr>
        <w:t xml:space="preserve"> to communicate </w:t>
      </w:r>
      <w:r w:rsidR="0018418C">
        <w:rPr>
          <w:sz w:val="28"/>
          <w:szCs w:val="28"/>
        </w:rPr>
        <w:t>the lawyer’s</w:t>
      </w:r>
      <w:r w:rsidRPr="0083172F">
        <w:rPr>
          <w:sz w:val="28"/>
          <w:szCs w:val="28"/>
        </w:rPr>
        <w:t xml:space="preserve"> fields of practice.  As noted previously, the requirements for identifying a lawyer as a “certified specialist” was moved to new ER 7.1(b).  Comments to ER 7.4 regarding patent attorneys were moved to ER 7.1.  The remainder of ER 7.4 has been deleted as duplicative of proposed ER 7.1.</w:t>
      </w:r>
    </w:p>
    <w:p w14:paraId="7A007075" w14:textId="56A06463" w:rsidR="00663FD9" w:rsidRPr="0083172F" w:rsidRDefault="00663FD9" w:rsidP="00663FD9">
      <w:pPr>
        <w:spacing w:after="120"/>
        <w:rPr>
          <w:b/>
          <w:i/>
          <w:sz w:val="28"/>
          <w:szCs w:val="28"/>
        </w:rPr>
      </w:pPr>
      <w:r w:rsidRPr="0083172F">
        <w:rPr>
          <w:b/>
          <w:i/>
          <w:sz w:val="28"/>
          <w:szCs w:val="28"/>
        </w:rPr>
        <w:t xml:space="preserve">ER 7.5 </w:t>
      </w:r>
    </w:p>
    <w:p w14:paraId="3CA384E8" w14:textId="5AA29E4A" w:rsidR="004E4CED" w:rsidRDefault="00663FD9" w:rsidP="004E4CED">
      <w:pPr>
        <w:spacing w:line="480" w:lineRule="auto"/>
        <w:jc w:val="both"/>
        <w:rPr>
          <w:sz w:val="28"/>
          <w:szCs w:val="28"/>
        </w:rPr>
      </w:pPr>
      <w:r w:rsidRPr="0083172F">
        <w:rPr>
          <w:sz w:val="28"/>
          <w:szCs w:val="28"/>
        </w:rPr>
        <w:tab/>
        <w:t xml:space="preserve">Current ER 7.5 concerns firm names and letterheads.  The ABA deleted ER 7.5 as unnecessary, given that ER 7.5 simply described information in a firm name that might be false or misleading.  The </w:t>
      </w:r>
      <w:r w:rsidR="0018418C">
        <w:rPr>
          <w:sz w:val="28"/>
          <w:szCs w:val="28"/>
        </w:rPr>
        <w:t>T</w:t>
      </w:r>
      <w:r w:rsidRPr="0083172F">
        <w:rPr>
          <w:sz w:val="28"/>
          <w:szCs w:val="28"/>
        </w:rPr>
        <w:t xml:space="preserve">ask </w:t>
      </w:r>
      <w:r w:rsidR="0018418C">
        <w:rPr>
          <w:sz w:val="28"/>
          <w:szCs w:val="28"/>
        </w:rPr>
        <w:t>F</w:t>
      </w:r>
      <w:r w:rsidRPr="0083172F">
        <w:rPr>
          <w:sz w:val="28"/>
          <w:szCs w:val="28"/>
        </w:rPr>
        <w:t xml:space="preserve">orce recommends deleting ER 7.5 because it is not needed to regulate law firm names.  ER 7.1 is </w:t>
      </w:r>
      <w:proofErr w:type="gramStart"/>
      <w:r w:rsidRPr="0083172F">
        <w:rPr>
          <w:sz w:val="28"/>
          <w:szCs w:val="28"/>
        </w:rPr>
        <w:t>sufficient</w:t>
      </w:r>
      <w:proofErr w:type="gramEnd"/>
      <w:r w:rsidRPr="0083172F">
        <w:rPr>
          <w:sz w:val="28"/>
          <w:szCs w:val="28"/>
        </w:rPr>
        <w:t xml:space="preserve"> and </w:t>
      </w:r>
      <w:r w:rsidR="0018418C">
        <w:rPr>
          <w:sz w:val="28"/>
          <w:szCs w:val="28"/>
        </w:rPr>
        <w:t xml:space="preserve">is </w:t>
      </w:r>
      <w:r w:rsidRPr="0083172F">
        <w:rPr>
          <w:sz w:val="28"/>
          <w:szCs w:val="28"/>
        </w:rPr>
        <w:t xml:space="preserve">the more commonly used regulation.  As previously explained, the </w:t>
      </w:r>
      <w:r w:rsidR="0018418C">
        <w:rPr>
          <w:sz w:val="28"/>
          <w:szCs w:val="28"/>
        </w:rPr>
        <w:t>T</w:t>
      </w:r>
      <w:r w:rsidRPr="0083172F">
        <w:rPr>
          <w:sz w:val="28"/>
          <w:szCs w:val="28"/>
        </w:rPr>
        <w:t xml:space="preserve">ask </w:t>
      </w:r>
      <w:r w:rsidR="0018418C">
        <w:rPr>
          <w:sz w:val="28"/>
          <w:szCs w:val="28"/>
        </w:rPr>
        <w:t>F</w:t>
      </w:r>
      <w:r w:rsidRPr="0083172F">
        <w:rPr>
          <w:sz w:val="28"/>
          <w:szCs w:val="28"/>
        </w:rPr>
        <w:t xml:space="preserve">orce recommends moving ER 7.5’s comments to ER 7.1. </w:t>
      </w:r>
    </w:p>
    <w:p w14:paraId="4FC582BE" w14:textId="40CEBAB9" w:rsidR="002508B4" w:rsidRPr="004E4CED" w:rsidRDefault="004E4CED" w:rsidP="004E4CED">
      <w:pPr>
        <w:spacing w:line="480" w:lineRule="auto"/>
        <w:jc w:val="both"/>
        <w:rPr>
          <w:sz w:val="28"/>
          <w:szCs w:val="28"/>
        </w:rPr>
      </w:pPr>
      <w:r>
        <w:rPr>
          <w:b/>
          <w:sz w:val="28"/>
          <w:szCs w:val="28"/>
        </w:rPr>
        <w:t xml:space="preserve">III. </w:t>
      </w:r>
      <w:r>
        <w:rPr>
          <w:b/>
          <w:sz w:val="28"/>
          <w:szCs w:val="28"/>
        </w:rPr>
        <w:tab/>
      </w:r>
      <w:r w:rsidR="00E66DE6" w:rsidRPr="004E4CED">
        <w:rPr>
          <w:b/>
          <w:sz w:val="28"/>
          <w:szCs w:val="28"/>
        </w:rPr>
        <w:t>Conclusion</w:t>
      </w:r>
    </w:p>
    <w:p w14:paraId="67359D6B" w14:textId="77777777" w:rsidR="002508B4" w:rsidRPr="00FD45C7" w:rsidRDefault="002508B4" w:rsidP="002508B4">
      <w:pPr>
        <w:spacing w:line="480" w:lineRule="auto"/>
        <w:ind w:firstLine="720"/>
        <w:jc w:val="both"/>
        <w:rPr>
          <w:bCs/>
          <w:sz w:val="28"/>
          <w:szCs w:val="28"/>
        </w:rPr>
      </w:pPr>
      <w:r w:rsidRPr="00FD45C7">
        <w:rPr>
          <w:bCs/>
          <w:sz w:val="28"/>
          <w:szCs w:val="28"/>
        </w:rPr>
        <w:t>Petitioner respectfully request</w:t>
      </w:r>
      <w:r>
        <w:rPr>
          <w:bCs/>
          <w:sz w:val="28"/>
          <w:szCs w:val="28"/>
        </w:rPr>
        <w:t>s</w:t>
      </w:r>
      <w:r w:rsidRPr="00FD45C7">
        <w:rPr>
          <w:bCs/>
          <w:sz w:val="28"/>
          <w:szCs w:val="28"/>
        </w:rPr>
        <w:t xml:space="preserve"> that the Court consider this petition and proposed rule change</w:t>
      </w:r>
      <w:r>
        <w:rPr>
          <w:bCs/>
          <w:sz w:val="28"/>
          <w:szCs w:val="28"/>
        </w:rPr>
        <w:t>s</w:t>
      </w:r>
      <w:r w:rsidRPr="00FD45C7">
        <w:rPr>
          <w:bCs/>
          <w:sz w:val="28"/>
          <w:szCs w:val="28"/>
        </w:rPr>
        <w:t xml:space="preserve"> at its earliest convenience. Petitioner additionally request</w:t>
      </w:r>
      <w:r>
        <w:rPr>
          <w:bCs/>
          <w:sz w:val="28"/>
          <w:szCs w:val="28"/>
        </w:rPr>
        <w:t>s</w:t>
      </w:r>
      <w:r w:rsidRPr="00FD45C7">
        <w:rPr>
          <w:bCs/>
          <w:sz w:val="28"/>
          <w:szCs w:val="28"/>
        </w:rPr>
        <w:t xml:space="preserve"> that the petition be circulated for public comment, and that the Court adopt the proposed rule</w:t>
      </w:r>
      <w:r>
        <w:rPr>
          <w:bCs/>
          <w:sz w:val="28"/>
          <w:szCs w:val="28"/>
        </w:rPr>
        <w:t>s</w:t>
      </w:r>
      <w:r w:rsidRPr="00FD45C7">
        <w:rPr>
          <w:bCs/>
          <w:sz w:val="28"/>
          <w:szCs w:val="28"/>
        </w:rPr>
        <w:t xml:space="preserve"> as </w:t>
      </w:r>
      <w:r>
        <w:rPr>
          <w:bCs/>
          <w:sz w:val="28"/>
          <w:szCs w:val="28"/>
        </w:rPr>
        <w:t>they</w:t>
      </w:r>
      <w:r w:rsidRPr="00FD45C7">
        <w:rPr>
          <w:bCs/>
          <w:sz w:val="28"/>
          <w:szCs w:val="28"/>
        </w:rPr>
        <w:t xml:space="preserve"> currently appear, or as modified considering comments received, with an effective date of January 1, </w:t>
      </w:r>
      <w:r>
        <w:rPr>
          <w:bCs/>
          <w:sz w:val="28"/>
          <w:szCs w:val="28"/>
        </w:rPr>
        <w:t>2021</w:t>
      </w:r>
      <w:r w:rsidRPr="00FD45C7">
        <w:rPr>
          <w:bCs/>
          <w:sz w:val="28"/>
          <w:szCs w:val="28"/>
        </w:rPr>
        <w:t>.</w:t>
      </w:r>
    </w:p>
    <w:p w14:paraId="0EE50F61" w14:textId="39B03C3F" w:rsidR="002508B4" w:rsidRPr="00FD45C7" w:rsidRDefault="002508B4" w:rsidP="002508B4">
      <w:pPr>
        <w:ind w:firstLine="720"/>
        <w:jc w:val="both"/>
        <w:rPr>
          <w:sz w:val="28"/>
          <w:szCs w:val="28"/>
        </w:rPr>
      </w:pPr>
      <w:r w:rsidRPr="00FD45C7">
        <w:rPr>
          <w:sz w:val="28"/>
          <w:szCs w:val="28"/>
        </w:rPr>
        <w:lastRenderedPageBreak/>
        <w:t xml:space="preserve">DATED this </w:t>
      </w:r>
      <w:r w:rsidR="002E288D">
        <w:rPr>
          <w:sz w:val="28"/>
          <w:szCs w:val="28"/>
        </w:rPr>
        <w:t xml:space="preserve">10th </w:t>
      </w:r>
      <w:r w:rsidRPr="00FD45C7">
        <w:rPr>
          <w:sz w:val="28"/>
          <w:szCs w:val="28"/>
        </w:rPr>
        <w:t xml:space="preserve">day of </w:t>
      </w:r>
      <w:proofErr w:type="gramStart"/>
      <w:r w:rsidR="002E288D">
        <w:rPr>
          <w:sz w:val="28"/>
          <w:szCs w:val="28"/>
        </w:rPr>
        <w:t>January,</w:t>
      </w:r>
      <w:proofErr w:type="gramEnd"/>
      <w:r w:rsidR="002E288D">
        <w:rPr>
          <w:sz w:val="28"/>
          <w:szCs w:val="28"/>
        </w:rPr>
        <w:t xml:space="preserve"> </w:t>
      </w:r>
      <w:r w:rsidRPr="00FD45C7">
        <w:rPr>
          <w:sz w:val="28"/>
          <w:szCs w:val="28"/>
        </w:rPr>
        <w:t>2</w:t>
      </w:r>
      <w:r>
        <w:rPr>
          <w:sz w:val="28"/>
          <w:szCs w:val="28"/>
        </w:rPr>
        <w:t>0</w:t>
      </w:r>
      <w:r w:rsidR="002E288D">
        <w:rPr>
          <w:sz w:val="28"/>
          <w:szCs w:val="28"/>
        </w:rPr>
        <w:t>20</w:t>
      </w:r>
      <w:r w:rsidRPr="00FD45C7">
        <w:rPr>
          <w:sz w:val="28"/>
          <w:szCs w:val="28"/>
        </w:rPr>
        <w:t>.</w:t>
      </w:r>
    </w:p>
    <w:p w14:paraId="048BB93C" w14:textId="2801A366" w:rsidR="002508B4" w:rsidRDefault="002E288D" w:rsidP="002E288D">
      <w:pPr>
        <w:tabs>
          <w:tab w:val="left" w:pos="2475"/>
        </w:tabs>
        <w:jc w:val="both"/>
        <w:rPr>
          <w:sz w:val="28"/>
          <w:szCs w:val="28"/>
        </w:rPr>
      </w:pPr>
      <w:r>
        <w:rPr>
          <w:sz w:val="28"/>
          <w:szCs w:val="28"/>
        </w:rPr>
        <w:tab/>
      </w:r>
    </w:p>
    <w:p w14:paraId="7F4DE0B9" w14:textId="77777777" w:rsidR="002508B4" w:rsidRPr="00FD45C7" w:rsidRDefault="002508B4" w:rsidP="002508B4">
      <w:pPr>
        <w:jc w:val="both"/>
        <w:rPr>
          <w:sz w:val="28"/>
          <w:szCs w:val="28"/>
        </w:rPr>
      </w:pPr>
    </w:p>
    <w:p w14:paraId="69B326AB" w14:textId="77777777" w:rsidR="002508B4" w:rsidRPr="00FE507E" w:rsidRDefault="002508B4" w:rsidP="002508B4">
      <w:pPr>
        <w:jc w:val="both"/>
        <w:rPr>
          <w:sz w:val="28"/>
          <w:szCs w:val="28"/>
        </w:rPr>
      </w:pPr>
      <w:r w:rsidRPr="00FD45C7">
        <w:rPr>
          <w:sz w:val="28"/>
          <w:szCs w:val="28"/>
        </w:rPr>
        <w:t xml:space="preserve">                                             </w:t>
      </w:r>
      <w:r>
        <w:rPr>
          <w:sz w:val="28"/>
          <w:szCs w:val="28"/>
        </w:rPr>
        <w:tab/>
      </w:r>
      <w:r w:rsidRPr="00FD45C7">
        <w:rPr>
          <w:sz w:val="28"/>
          <w:szCs w:val="28"/>
        </w:rPr>
        <w:t xml:space="preserve">   </w:t>
      </w:r>
      <w:r w:rsidRPr="00FE507E">
        <w:rPr>
          <w:sz w:val="28"/>
          <w:szCs w:val="28"/>
        </w:rPr>
        <w:t>___/s/______________________</w:t>
      </w:r>
    </w:p>
    <w:p w14:paraId="18DF6BEE" w14:textId="77777777" w:rsidR="002508B4" w:rsidRPr="00FD45C7" w:rsidRDefault="002508B4" w:rsidP="002508B4">
      <w:pPr>
        <w:jc w:val="both"/>
        <w:rPr>
          <w:sz w:val="28"/>
          <w:szCs w:val="28"/>
        </w:rPr>
      </w:pPr>
      <w:r w:rsidRPr="00FD45C7">
        <w:rPr>
          <w:sz w:val="28"/>
          <w:szCs w:val="28"/>
        </w:rPr>
        <w:t xml:space="preserve">                                             </w:t>
      </w:r>
      <w:r>
        <w:rPr>
          <w:sz w:val="28"/>
          <w:szCs w:val="28"/>
        </w:rPr>
        <w:tab/>
      </w:r>
      <w:r w:rsidRPr="00FD45C7">
        <w:rPr>
          <w:sz w:val="28"/>
          <w:szCs w:val="28"/>
        </w:rPr>
        <w:t xml:space="preserve">   </w:t>
      </w:r>
      <w:r>
        <w:rPr>
          <w:sz w:val="28"/>
          <w:szCs w:val="28"/>
        </w:rPr>
        <w:t>Dave Byers</w:t>
      </w:r>
    </w:p>
    <w:p w14:paraId="4E3C3BF6" w14:textId="2B9F75E5" w:rsidR="002508B4" w:rsidRDefault="00202B88" w:rsidP="002508B4">
      <w:pPr>
        <w:ind w:left="3810"/>
        <w:jc w:val="both"/>
        <w:rPr>
          <w:sz w:val="28"/>
          <w:szCs w:val="28"/>
        </w:rPr>
      </w:pPr>
      <w:r>
        <w:rPr>
          <w:sz w:val="28"/>
          <w:szCs w:val="28"/>
        </w:rPr>
        <w:t>Administrative</w:t>
      </w:r>
      <w:r w:rsidR="002508B4">
        <w:rPr>
          <w:sz w:val="28"/>
          <w:szCs w:val="28"/>
        </w:rPr>
        <w:t xml:space="preserve"> Director</w:t>
      </w:r>
    </w:p>
    <w:p w14:paraId="77D5368A" w14:textId="080953CD" w:rsidR="002508B4" w:rsidRDefault="002508B4" w:rsidP="002508B4">
      <w:pPr>
        <w:ind w:left="3810"/>
        <w:jc w:val="both"/>
        <w:rPr>
          <w:sz w:val="28"/>
          <w:szCs w:val="28"/>
        </w:rPr>
      </w:pPr>
      <w:r>
        <w:rPr>
          <w:sz w:val="28"/>
          <w:szCs w:val="28"/>
        </w:rPr>
        <w:t>Arizona Administrative Office of Courts</w:t>
      </w:r>
    </w:p>
    <w:p w14:paraId="09755155" w14:textId="5961A344" w:rsidR="00202B88" w:rsidRPr="00FD45C7" w:rsidRDefault="00505164" w:rsidP="00231CDD">
      <w:pPr>
        <w:ind w:left="3600"/>
        <w:rPr>
          <w:sz w:val="28"/>
          <w:szCs w:val="28"/>
        </w:rPr>
      </w:pPr>
      <w:r>
        <w:rPr>
          <w:sz w:val="28"/>
          <w:szCs w:val="28"/>
        </w:rPr>
        <w:t xml:space="preserve">   </w:t>
      </w:r>
      <w:r w:rsidR="00202B88" w:rsidRPr="00FD45C7">
        <w:rPr>
          <w:sz w:val="28"/>
          <w:szCs w:val="28"/>
        </w:rPr>
        <w:t>State Courts Building</w:t>
      </w:r>
    </w:p>
    <w:p w14:paraId="74BDEE49" w14:textId="13AFA32F" w:rsidR="00202B88" w:rsidRPr="00FD45C7" w:rsidRDefault="00505164" w:rsidP="00231CDD">
      <w:pPr>
        <w:ind w:left="3600"/>
        <w:rPr>
          <w:sz w:val="28"/>
          <w:szCs w:val="28"/>
        </w:rPr>
      </w:pPr>
      <w:r>
        <w:rPr>
          <w:sz w:val="28"/>
          <w:szCs w:val="28"/>
        </w:rPr>
        <w:t xml:space="preserve">   </w:t>
      </w:r>
      <w:r w:rsidR="00202B88" w:rsidRPr="00FD45C7">
        <w:rPr>
          <w:sz w:val="28"/>
          <w:szCs w:val="28"/>
        </w:rPr>
        <w:t>1501 West Washington</w:t>
      </w:r>
    </w:p>
    <w:p w14:paraId="356B6081" w14:textId="5D4C2266" w:rsidR="00202B88" w:rsidRPr="00FD45C7" w:rsidRDefault="00505164" w:rsidP="00231CDD">
      <w:pPr>
        <w:ind w:left="3600"/>
        <w:rPr>
          <w:sz w:val="28"/>
          <w:szCs w:val="28"/>
        </w:rPr>
      </w:pPr>
      <w:r>
        <w:rPr>
          <w:sz w:val="28"/>
          <w:szCs w:val="28"/>
        </w:rPr>
        <w:t xml:space="preserve">   </w:t>
      </w:r>
      <w:r w:rsidR="00202B88">
        <w:rPr>
          <w:sz w:val="28"/>
          <w:szCs w:val="28"/>
        </w:rPr>
        <w:t>Phoenix, Arizona </w:t>
      </w:r>
      <w:r w:rsidR="00202B88" w:rsidRPr="00FD45C7">
        <w:rPr>
          <w:sz w:val="28"/>
          <w:szCs w:val="28"/>
        </w:rPr>
        <w:t>85007</w:t>
      </w:r>
    </w:p>
    <w:p w14:paraId="7362039C" w14:textId="03AF3CB6" w:rsidR="00202B88" w:rsidRPr="00FD45C7" w:rsidRDefault="00505164" w:rsidP="00231CDD">
      <w:pPr>
        <w:ind w:left="3600"/>
        <w:rPr>
          <w:sz w:val="28"/>
          <w:szCs w:val="28"/>
        </w:rPr>
      </w:pPr>
      <w:r>
        <w:rPr>
          <w:sz w:val="28"/>
          <w:szCs w:val="28"/>
        </w:rPr>
        <w:t xml:space="preserve">   </w:t>
      </w:r>
      <w:r w:rsidR="00202B88">
        <w:rPr>
          <w:sz w:val="28"/>
          <w:szCs w:val="28"/>
        </w:rPr>
        <w:t xml:space="preserve">Telephone: </w:t>
      </w:r>
      <w:r w:rsidR="00202B88" w:rsidRPr="00FD45C7">
        <w:rPr>
          <w:sz w:val="28"/>
          <w:szCs w:val="28"/>
        </w:rPr>
        <w:t xml:space="preserve">(602) </w:t>
      </w:r>
      <w:r w:rsidR="00202B88">
        <w:rPr>
          <w:sz w:val="28"/>
          <w:szCs w:val="28"/>
        </w:rPr>
        <w:t>452-3301</w:t>
      </w:r>
    </w:p>
    <w:p w14:paraId="3BE5D9A7" w14:textId="67BE54F7" w:rsidR="00C30081" w:rsidRPr="00660997" w:rsidRDefault="00505164" w:rsidP="00660997">
      <w:pPr>
        <w:ind w:left="3600"/>
        <w:jc w:val="both"/>
        <w:rPr>
          <w:sz w:val="28"/>
          <w:szCs w:val="28"/>
        </w:rPr>
      </w:pPr>
      <w:r>
        <w:rPr>
          <w:sz w:val="28"/>
          <w:szCs w:val="28"/>
        </w:rPr>
        <w:t xml:space="preserve">   </w:t>
      </w:r>
      <w:r w:rsidR="00202B88">
        <w:rPr>
          <w:sz w:val="28"/>
          <w:szCs w:val="28"/>
        </w:rPr>
        <w:t>Projects2@courts.az.gov</w:t>
      </w:r>
    </w:p>
    <w:sectPr w:rsidR="00C30081" w:rsidRPr="006609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98A0E" w14:textId="77777777" w:rsidR="00C30081" w:rsidRDefault="00C30081" w:rsidP="002508B4">
      <w:r>
        <w:separator/>
      </w:r>
    </w:p>
  </w:endnote>
  <w:endnote w:type="continuationSeparator" w:id="0">
    <w:p w14:paraId="5C297469" w14:textId="77777777" w:rsidR="00C30081" w:rsidRDefault="00C30081" w:rsidP="0025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74868"/>
      <w:docPartObj>
        <w:docPartGallery w:val="Page Numbers (Bottom of Page)"/>
        <w:docPartUnique/>
      </w:docPartObj>
    </w:sdtPr>
    <w:sdtEndPr>
      <w:rPr>
        <w:noProof/>
      </w:rPr>
    </w:sdtEndPr>
    <w:sdtContent>
      <w:p w14:paraId="368F4276" w14:textId="77777777" w:rsidR="00C30081" w:rsidRDefault="00C300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5712D" w14:textId="77777777" w:rsidR="00C30081" w:rsidRDefault="00C3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AF71F" w14:textId="77777777" w:rsidR="00C30081" w:rsidRDefault="00C30081" w:rsidP="002508B4">
      <w:r>
        <w:separator/>
      </w:r>
    </w:p>
  </w:footnote>
  <w:footnote w:type="continuationSeparator" w:id="0">
    <w:p w14:paraId="62D8E42F" w14:textId="77777777" w:rsidR="00C30081" w:rsidRDefault="00C30081" w:rsidP="002508B4">
      <w:r>
        <w:continuationSeparator/>
      </w:r>
    </w:p>
  </w:footnote>
  <w:footnote w:id="1">
    <w:p w14:paraId="4C83E1B0" w14:textId="77777777" w:rsidR="00C30081" w:rsidRPr="00246B14" w:rsidRDefault="00C30081" w:rsidP="002508B4">
      <w:pPr>
        <w:pStyle w:val="FootnoteText"/>
        <w:rPr>
          <w:sz w:val="24"/>
          <w:szCs w:val="24"/>
        </w:rPr>
      </w:pPr>
      <w:r w:rsidRPr="00246B14">
        <w:rPr>
          <w:rStyle w:val="FootnoteReference"/>
          <w:szCs w:val="24"/>
        </w:rPr>
        <w:footnoteRef/>
      </w:r>
      <w:r w:rsidRPr="00246B14">
        <w:rPr>
          <w:sz w:val="24"/>
          <w:szCs w:val="24"/>
        </w:rPr>
        <w:t xml:space="preserve"> Mr. Byers files this petition in his capacity of a member of the Task Force.</w:t>
      </w:r>
    </w:p>
  </w:footnote>
  <w:footnote w:id="2">
    <w:p w14:paraId="332849FB" w14:textId="77777777" w:rsidR="00C30081" w:rsidRPr="000319AC" w:rsidRDefault="00C30081" w:rsidP="00663FD9">
      <w:pPr>
        <w:pStyle w:val="FootnoteText"/>
        <w:jc w:val="both"/>
        <w:rPr>
          <w:i/>
          <w:iCs/>
          <w:sz w:val="24"/>
          <w:szCs w:val="24"/>
        </w:rPr>
      </w:pPr>
      <w:r w:rsidRPr="000319AC">
        <w:rPr>
          <w:rStyle w:val="FootnoteReference"/>
          <w:sz w:val="24"/>
          <w:szCs w:val="24"/>
        </w:rPr>
        <w:footnoteRef/>
      </w:r>
      <w:r w:rsidRPr="000319AC">
        <w:rPr>
          <w:sz w:val="24"/>
          <w:szCs w:val="24"/>
        </w:rPr>
        <w:t xml:space="preserve"> </w:t>
      </w:r>
      <w:r w:rsidRPr="000319AC">
        <w:rPr>
          <w:i/>
          <w:iCs/>
          <w:sz w:val="24"/>
          <w:szCs w:val="24"/>
        </w:rPr>
        <w:t>See</w:t>
      </w:r>
      <w:r w:rsidRPr="000319AC">
        <w:rPr>
          <w:iCs/>
          <w:sz w:val="24"/>
          <w:szCs w:val="24"/>
        </w:rPr>
        <w:t xml:space="preserve"> State Bar of Ariz. Ops.05-08 (2005), 06-06 (2006); 10-01 (2010), and 11-02 (2011).</w:t>
      </w:r>
      <w:r w:rsidRPr="000319AC">
        <w:rPr>
          <w:i/>
          <w:iCs/>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9D"/>
    <w:multiLevelType w:val="hybridMultilevel"/>
    <w:tmpl w:val="AC7CB19E"/>
    <w:lvl w:ilvl="0" w:tplc="1AF459F8">
      <w:start w:val="1"/>
      <w:numFmt w:val="bullet"/>
      <w:lvlText w:val=""/>
      <w:lvlJc w:val="left"/>
      <w:pPr>
        <w:ind w:left="720" w:hanging="360"/>
      </w:pPr>
      <w:rPr>
        <w:rFonts w:ascii="Symbol" w:hAnsi="Symbol" w:hint="default"/>
      </w:rPr>
    </w:lvl>
    <w:lvl w:ilvl="1" w:tplc="D868A6A8" w:tentative="1">
      <w:start w:val="1"/>
      <w:numFmt w:val="bullet"/>
      <w:lvlText w:val="o"/>
      <w:lvlJc w:val="left"/>
      <w:pPr>
        <w:ind w:left="1440" w:hanging="360"/>
      </w:pPr>
      <w:rPr>
        <w:rFonts w:ascii="Courier New" w:hAnsi="Courier New" w:cs="Courier New" w:hint="default"/>
      </w:rPr>
    </w:lvl>
    <w:lvl w:ilvl="2" w:tplc="2A56A840" w:tentative="1">
      <w:start w:val="1"/>
      <w:numFmt w:val="bullet"/>
      <w:lvlText w:val=""/>
      <w:lvlJc w:val="left"/>
      <w:pPr>
        <w:ind w:left="2160" w:hanging="360"/>
      </w:pPr>
      <w:rPr>
        <w:rFonts w:ascii="Wingdings" w:hAnsi="Wingdings" w:hint="default"/>
      </w:rPr>
    </w:lvl>
    <w:lvl w:ilvl="3" w:tplc="12127FFE" w:tentative="1">
      <w:start w:val="1"/>
      <w:numFmt w:val="bullet"/>
      <w:lvlText w:val=""/>
      <w:lvlJc w:val="left"/>
      <w:pPr>
        <w:ind w:left="2880" w:hanging="360"/>
      </w:pPr>
      <w:rPr>
        <w:rFonts w:ascii="Symbol" w:hAnsi="Symbol" w:hint="default"/>
      </w:rPr>
    </w:lvl>
    <w:lvl w:ilvl="4" w:tplc="9976D47E" w:tentative="1">
      <w:start w:val="1"/>
      <w:numFmt w:val="bullet"/>
      <w:lvlText w:val="o"/>
      <w:lvlJc w:val="left"/>
      <w:pPr>
        <w:ind w:left="3600" w:hanging="360"/>
      </w:pPr>
      <w:rPr>
        <w:rFonts w:ascii="Courier New" w:hAnsi="Courier New" w:cs="Courier New" w:hint="default"/>
      </w:rPr>
    </w:lvl>
    <w:lvl w:ilvl="5" w:tplc="94B8D2E0" w:tentative="1">
      <w:start w:val="1"/>
      <w:numFmt w:val="bullet"/>
      <w:lvlText w:val=""/>
      <w:lvlJc w:val="left"/>
      <w:pPr>
        <w:ind w:left="4320" w:hanging="360"/>
      </w:pPr>
      <w:rPr>
        <w:rFonts w:ascii="Wingdings" w:hAnsi="Wingdings" w:hint="default"/>
      </w:rPr>
    </w:lvl>
    <w:lvl w:ilvl="6" w:tplc="8BC47C14" w:tentative="1">
      <w:start w:val="1"/>
      <w:numFmt w:val="bullet"/>
      <w:lvlText w:val=""/>
      <w:lvlJc w:val="left"/>
      <w:pPr>
        <w:ind w:left="5040" w:hanging="360"/>
      </w:pPr>
      <w:rPr>
        <w:rFonts w:ascii="Symbol" w:hAnsi="Symbol" w:hint="default"/>
      </w:rPr>
    </w:lvl>
    <w:lvl w:ilvl="7" w:tplc="A3149DC4" w:tentative="1">
      <w:start w:val="1"/>
      <w:numFmt w:val="bullet"/>
      <w:lvlText w:val="o"/>
      <w:lvlJc w:val="left"/>
      <w:pPr>
        <w:ind w:left="5760" w:hanging="360"/>
      </w:pPr>
      <w:rPr>
        <w:rFonts w:ascii="Courier New" w:hAnsi="Courier New" w:cs="Courier New" w:hint="default"/>
      </w:rPr>
    </w:lvl>
    <w:lvl w:ilvl="8" w:tplc="FC84F574" w:tentative="1">
      <w:start w:val="1"/>
      <w:numFmt w:val="bullet"/>
      <w:lvlText w:val=""/>
      <w:lvlJc w:val="left"/>
      <w:pPr>
        <w:ind w:left="6480" w:hanging="360"/>
      </w:pPr>
      <w:rPr>
        <w:rFonts w:ascii="Wingdings" w:hAnsi="Wingdings" w:hint="default"/>
      </w:rPr>
    </w:lvl>
  </w:abstractNum>
  <w:abstractNum w:abstractNumId="1" w15:restartNumberingAfterBreak="0">
    <w:nsid w:val="10385F1A"/>
    <w:multiLevelType w:val="hybridMultilevel"/>
    <w:tmpl w:val="89B2D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76013"/>
    <w:multiLevelType w:val="hybridMultilevel"/>
    <w:tmpl w:val="EFB6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17CD3"/>
    <w:multiLevelType w:val="hybridMultilevel"/>
    <w:tmpl w:val="55DC2E2A"/>
    <w:lvl w:ilvl="0" w:tplc="A26ED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27FA9"/>
    <w:multiLevelType w:val="hybridMultilevel"/>
    <w:tmpl w:val="9DEE45BC"/>
    <w:lvl w:ilvl="0" w:tplc="FED28CE0">
      <w:start w:val="1"/>
      <w:numFmt w:val="decimal"/>
      <w:lvlText w:val="(%1)"/>
      <w:lvlJc w:val="left"/>
      <w:pPr>
        <w:ind w:left="1800" w:hanging="360"/>
      </w:pPr>
      <w:rPr>
        <w:rFonts w:ascii="Times New Roman" w:eastAsia="Times New Roman" w:hAnsi="Times New Roman" w:cs="Times New Roman"/>
      </w:rPr>
    </w:lvl>
    <w:lvl w:ilvl="1" w:tplc="6A5A5D24">
      <w:start w:val="1"/>
      <w:numFmt w:val="decimal"/>
      <w:lvlText w:val="(%2)"/>
      <w:lvlJc w:val="left"/>
      <w:pPr>
        <w:ind w:left="1800" w:hanging="360"/>
      </w:pPr>
      <w:rPr>
        <w:rFonts w:ascii="Times New Roman" w:eastAsia="Times New Roman" w:hAnsi="Times New Roman" w:cs="Times New Roman"/>
      </w:rPr>
    </w:lvl>
    <w:lvl w:ilvl="2" w:tplc="6A5A5D24">
      <w:start w:val="1"/>
      <w:numFmt w:val="decimal"/>
      <w:lvlText w:val="(%3)"/>
      <w:lvlJc w:val="left"/>
      <w:pPr>
        <w:ind w:left="2700" w:hanging="36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15C32"/>
    <w:multiLevelType w:val="hybridMultilevel"/>
    <w:tmpl w:val="D76845A0"/>
    <w:lvl w:ilvl="0" w:tplc="5ED8F3E8">
      <w:start w:val="1"/>
      <w:numFmt w:val="bullet"/>
      <w:lvlText w:val=""/>
      <w:lvlJc w:val="left"/>
      <w:pPr>
        <w:ind w:left="780" w:hanging="360"/>
      </w:pPr>
      <w:rPr>
        <w:rFonts w:ascii="Symbol" w:hAnsi="Symbol" w:hint="default"/>
      </w:rPr>
    </w:lvl>
    <w:lvl w:ilvl="1" w:tplc="CF2EC80C" w:tentative="1">
      <w:start w:val="1"/>
      <w:numFmt w:val="bullet"/>
      <w:lvlText w:val="o"/>
      <w:lvlJc w:val="left"/>
      <w:pPr>
        <w:ind w:left="1500" w:hanging="360"/>
      </w:pPr>
      <w:rPr>
        <w:rFonts w:ascii="Courier New" w:hAnsi="Courier New" w:cs="Courier New" w:hint="default"/>
      </w:rPr>
    </w:lvl>
    <w:lvl w:ilvl="2" w:tplc="F14694B2" w:tentative="1">
      <w:start w:val="1"/>
      <w:numFmt w:val="bullet"/>
      <w:lvlText w:val=""/>
      <w:lvlJc w:val="left"/>
      <w:pPr>
        <w:ind w:left="2220" w:hanging="360"/>
      </w:pPr>
      <w:rPr>
        <w:rFonts w:ascii="Wingdings" w:hAnsi="Wingdings" w:hint="default"/>
      </w:rPr>
    </w:lvl>
    <w:lvl w:ilvl="3" w:tplc="ED905FEA" w:tentative="1">
      <w:start w:val="1"/>
      <w:numFmt w:val="bullet"/>
      <w:lvlText w:val=""/>
      <w:lvlJc w:val="left"/>
      <w:pPr>
        <w:ind w:left="2940" w:hanging="360"/>
      </w:pPr>
      <w:rPr>
        <w:rFonts w:ascii="Symbol" w:hAnsi="Symbol" w:hint="default"/>
      </w:rPr>
    </w:lvl>
    <w:lvl w:ilvl="4" w:tplc="1DEE745E" w:tentative="1">
      <w:start w:val="1"/>
      <w:numFmt w:val="bullet"/>
      <w:lvlText w:val="o"/>
      <w:lvlJc w:val="left"/>
      <w:pPr>
        <w:ind w:left="3660" w:hanging="360"/>
      </w:pPr>
      <w:rPr>
        <w:rFonts w:ascii="Courier New" w:hAnsi="Courier New" w:cs="Courier New" w:hint="default"/>
      </w:rPr>
    </w:lvl>
    <w:lvl w:ilvl="5" w:tplc="C9B241D8" w:tentative="1">
      <w:start w:val="1"/>
      <w:numFmt w:val="bullet"/>
      <w:lvlText w:val=""/>
      <w:lvlJc w:val="left"/>
      <w:pPr>
        <w:ind w:left="4380" w:hanging="360"/>
      </w:pPr>
      <w:rPr>
        <w:rFonts w:ascii="Wingdings" w:hAnsi="Wingdings" w:hint="default"/>
      </w:rPr>
    </w:lvl>
    <w:lvl w:ilvl="6" w:tplc="517EAE96" w:tentative="1">
      <w:start w:val="1"/>
      <w:numFmt w:val="bullet"/>
      <w:lvlText w:val=""/>
      <w:lvlJc w:val="left"/>
      <w:pPr>
        <w:ind w:left="5100" w:hanging="360"/>
      </w:pPr>
      <w:rPr>
        <w:rFonts w:ascii="Symbol" w:hAnsi="Symbol" w:hint="default"/>
      </w:rPr>
    </w:lvl>
    <w:lvl w:ilvl="7" w:tplc="20B88320" w:tentative="1">
      <w:start w:val="1"/>
      <w:numFmt w:val="bullet"/>
      <w:lvlText w:val="o"/>
      <w:lvlJc w:val="left"/>
      <w:pPr>
        <w:ind w:left="5820" w:hanging="360"/>
      </w:pPr>
      <w:rPr>
        <w:rFonts w:ascii="Courier New" w:hAnsi="Courier New" w:cs="Courier New" w:hint="default"/>
      </w:rPr>
    </w:lvl>
    <w:lvl w:ilvl="8" w:tplc="DB5E35A6" w:tentative="1">
      <w:start w:val="1"/>
      <w:numFmt w:val="bullet"/>
      <w:lvlText w:val=""/>
      <w:lvlJc w:val="left"/>
      <w:pPr>
        <w:ind w:left="6540" w:hanging="360"/>
      </w:pPr>
      <w:rPr>
        <w:rFonts w:ascii="Wingdings" w:hAnsi="Wingdings" w:hint="default"/>
      </w:rPr>
    </w:lvl>
  </w:abstractNum>
  <w:abstractNum w:abstractNumId="6" w15:restartNumberingAfterBreak="0">
    <w:nsid w:val="1A1C551A"/>
    <w:multiLevelType w:val="hybridMultilevel"/>
    <w:tmpl w:val="2B1AD64E"/>
    <w:lvl w:ilvl="0" w:tplc="18B4F23C">
      <w:start w:val="1"/>
      <w:numFmt w:val="bullet"/>
      <w:lvlText w:val=""/>
      <w:lvlJc w:val="left"/>
      <w:pPr>
        <w:ind w:left="720" w:hanging="360"/>
      </w:pPr>
      <w:rPr>
        <w:rFonts w:ascii="Symbol" w:hAnsi="Symbol" w:hint="default"/>
      </w:rPr>
    </w:lvl>
    <w:lvl w:ilvl="1" w:tplc="7B2E21B8" w:tentative="1">
      <w:start w:val="1"/>
      <w:numFmt w:val="bullet"/>
      <w:lvlText w:val="o"/>
      <w:lvlJc w:val="left"/>
      <w:pPr>
        <w:ind w:left="1440" w:hanging="360"/>
      </w:pPr>
      <w:rPr>
        <w:rFonts w:ascii="Courier New" w:hAnsi="Courier New" w:cs="Courier New" w:hint="default"/>
      </w:rPr>
    </w:lvl>
    <w:lvl w:ilvl="2" w:tplc="D93C916A" w:tentative="1">
      <w:start w:val="1"/>
      <w:numFmt w:val="bullet"/>
      <w:lvlText w:val=""/>
      <w:lvlJc w:val="left"/>
      <w:pPr>
        <w:ind w:left="2160" w:hanging="360"/>
      </w:pPr>
      <w:rPr>
        <w:rFonts w:ascii="Wingdings" w:hAnsi="Wingdings" w:hint="default"/>
      </w:rPr>
    </w:lvl>
    <w:lvl w:ilvl="3" w:tplc="20780D4E" w:tentative="1">
      <w:start w:val="1"/>
      <w:numFmt w:val="bullet"/>
      <w:lvlText w:val=""/>
      <w:lvlJc w:val="left"/>
      <w:pPr>
        <w:ind w:left="2880" w:hanging="360"/>
      </w:pPr>
      <w:rPr>
        <w:rFonts w:ascii="Symbol" w:hAnsi="Symbol" w:hint="default"/>
      </w:rPr>
    </w:lvl>
    <w:lvl w:ilvl="4" w:tplc="D4DA53EA" w:tentative="1">
      <w:start w:val="1"/>
      <w:numFmt w:val="bullet"/>
      <w:lvlText w:val="o"/>
      <w:lvlJc w:val="left"/>
      <w:pPr>
        <w:ind w:left="3600" w:hanging="360"/>
      </w:pPr>
      <w:rPr>
        <w:rFonts w:ascii="Courier New" w:hAnsi="Courier New" w:cs="Courier New" w:hint="default"/>
      </w:rPr>
    </w:lvl>
    <w:lvl w:ilvl="5" w:tplc="BA644354" w:tentative="1">
      <w:start w:val="1"/>
      <w:numFmt w:val="bullet"/>
      <w:lvlText w:val=""/>
      <w:lvlJc w:val="left"/>
      <w:pPr>
        <w:ind w:left="4320" w:hanging="360"/>
      </w:pPr>
      <w:rPr>
        <w:rFonts w:ascii="Wingdings" w:hAnsi="Wingdings" w:hint="default"/>
      </w:rPr>
    </w:lvl>
    <w:lvl w:ilvl="6" w:tplc="418858CA" w:tentative="1">
      <w:start w:val="1"/>
      <w:numFmt w:val="bullet"/>
      <w:lvlText w:val=""/>
      <w:lvlJc w:val="left"/>
      <w:pPr>
        <w:ind w:left="5040" w:hanging="360"/>
      </w:pPr>
      <w:rPr>
        <w:rFonts w:ascii="Symbol" w:hAnsi="Symbol" w:hint="default"/>
      </w:rPr>
    </w:lvl>
    <w:lvl w:ilvl="7" w:tplc="BD2CC83E" w:tentative="1">
      <w:start w:val="1"/>
      <w:numFmt w:val="bullet"/>
      <w:lvlText w:val="o"/>
      <w:lvlJc w:val="left"/>
      <w:pPr>
        <w:ind w:left="5760" w:hanging="360"/>
      </w:pPr>
      <w:rPr>
        <w:rFonts w:ascii="Courier New" w:hAnsi="Courier New" w:cs="Courier New" w:hint="default"/>
      </w:rPr>
    </w:lvl>
    <w:lvl w:ilvl="8" w:tplc="7174DBB8" w:tentative="1">
      <w:start w:val="1"/>
      <w:numFmt w:val="bullet"/>
      <w:lvlText w:val=""/>
      <w:lvlJc w:val="left"/>
      <w:pPr>
        <w:ind w:left="6480" w:hanging="360"/>
      </w:pPr>
      <w:rPr>
        <w:rFonts w:ascii="Wingdings" w:hAnsi="Wingdings" w:hint="default"/>
      </w:rPr>
    </w:lvl>
  </w:abstractNum>
  <w:abstractNum w:abstractNumId="7" w15:restartNumberingAfterBreak="0">
    <w:nsid w:val="202B59DA"/>
    <w:multiLevelType w:val="hybridMultilevel"/>
    <w:tmpl w:val="7A20A876"/>
    <w:lvl w:ilvl="0" w:tplc="4BB604C2">
      <w:start w:val="1"/>
      <w:numFmt w:val="lowerLetter"/>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0F62AA4"/>
    <w:multiLevelType w:val="hybridMultilevel"/>
    <w:tmpl w:val="E200C8AE"/>
    <w:lvl w:ilvl="0" w:tplc="9A8428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60953"/>
    <w:multiLevelType w:val="hybridMultilevel"/>
    <w:tmpl w:val="C61A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43436"/>
    <w:multiLevelType w:val="hybridMultilevel"/>
    <w:tmpl w:val="6ECE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F4279"/>
    <w:multiLevelType w:val="hybridMultilevel"/>
    <w:tmpl w:val="CB0E78AE"/>
    <w:lvl w:ilvl="0" w:tplc="6A5A5D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5E905C4"/>
    <w:multiLevelType w:val="hybridMultilevel"/>
    <w:tmpl w:val="D4E61826"/>
    <w:lvl w:ilvl="0" w:tplc="9D44DA0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A51466"/>
    <w:multiLevelType w:val="hybridMultilevel"/>
    <w:tmpl w:val="68A615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3009E1"/>
    <w:multiLevelType w:val="hybridMultilevel"/>
    <w:tmpl w:val="D6E0E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C226E"/>
    <w:multiLevelType w:val="hybridMultilevel"/>
    <w:tmpl w:val="536A85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E81B04"/>
    <w:multiLevelType w:val="hybridMultilevel"/>
    <w:tmpl w:val="2898BD32"/>
    <w:lvl w:ilvl="0" w:tplc="F8300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DB63A2"/>
    <w:multiLevelType w:val="hybridMultilevel"/>
    <w:tmpl w:val="561CF832"/>
    <w:lvl w:ilvl="0" w:tplc="7480D9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4484B06"/>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4A014629"/>
    <w:multiLevelType w:val="hybridMultilevel"/>
    <w:tmpl w:val="BEBCD9BE"/>
    <w:lvl w:ilvl="0" w:tplc="8772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2C21DB"/>
    <w:multiLevelType w:val="hybridMultilevel"/>
    <w:tmpl w:val="BEBCD9BE"/>
    <w:lvl w:ilvl="0" w:tplc="8772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35709"/>
    <w:multiLevelType w:val="hybridMultilevel"/>
    <w:tmpl w:val="B27CED8E"/>
    <w:lvl w:ilvl="0" w:tplc="2B6E9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6D2366"/>
    <w:multiLevelType w:val="hybridMultilevel"/>
    <w:tmpl w:val="853CBC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D4D6F"/>
    <w:multiLevelType w:val="hybridMultilevel"/>
    <w:tmpl w:val="9204432A"/>
    <w:lvl w:ilvl="0" w:tplc="AD425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6A3A48"/>
    <w:multiLevelType w:val="hybridMultilevel"/>
    <w:tmpl w:val="76D0714A"/>
    <w:lvl w:ilvl="0" w:tplc="88E8B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E16A59"/>
    <w:multiLevelType w:val="hybridMultilevel"/>
    <w:tmpl w:val="45A2BE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57BB74B1"/>
    <w:multiLevelType w:val="hybridMultilevel"/>
    <w:tmpl w:val="BBB009C2"/>
    <w:lvl w:ilvl="0" w:tplc="124413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7BE6CBD"/>
    <w:multiLevelType w:val="hybridMultilevel"/>
    <w:tmpl w:val="D9F29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47DD4"/>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5DCA6262"/>
    <w:multiLevelType w:val="hybridMultilevel"/>
    <w:tmpl w:val="412EE074"/>
    <w:lvl w:ilvl="0" w:tplc="1A662D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F7092"/>
    <w:multiLevelType w:val="hybridMultilevel"/>
    <w:tmpl w:val="AF48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9A40A8"/>
    <w:multiLevelType w:val="hybridMultilevel"/>
    <w:tmpl w:val="499E8792"/>
    <w:lvl w:ilvl="0" w:tplc="A18014C2">
      <w:start w:val="1"/>
      <w:numFmt w:val="bullet"/>
      <w:lvlText w:val=""/>
      <w:lvlJc w:val="left"/>
      <w:pPr>
        <w:ind w:left="1440" w:hanging="360"/>
      </w:pPr>
      <w:rPr>
        <w:rFonts w:ascii="Symbol" w:hAnsi="Symbol" w:hint="default"/>
      </w:rPr>
    </w:lvl>
    <w:lvl w:ilvl="1" w:tplc="D512BFC2">
      <w:start w:val="1"/>
      <w:numFmt w:val="bullet"/>
      <w:lvlText w:val=""/>
      <w:lvlJc w:val="left"/>
      <w:pPr>
        <w:ind w:left="2160" w:hanging="360"/>
      </w:pPr>
      <w:rPr>
        <w:rFonts w:ascii="Symbol" w:hAnsi="Symbol" w:hint="default"/>
      </w:rPr>
    </w:lvl>
    <w:lvl w:ilvl="2" w:tplc="F4146234">
      <w:start w:val="1"/>
      <w:numFmt w:val="bullet"/>
      <w:lvlText w:val=""/>
      <w:lvlJc w:val="left"/>
      <w:pPr>
        <w:ind w:left="2880" w:hanging="360"/>
      </w:pPr>
      <w:rPr>
        <w:rFonts w:ascii="Wingdings" w:hAnsi="Wingdings" w:hint="default"/>
      </w:rPr>
    </w:lvl>
    <w:lvl w:ilvl="3" w:tplc="C5087F0A" w:tentative="1">
      <w:start w:val="1"/>
      <w:numFmt w:val="bullet"/>
      <w:lvlText w:val=""/>
      <w:lvlJc w:val="left"/>
      <w:pPr>
        <w:ind w:left="3600" w:hanging="360"/>
      </w:pPr>
      <w:rPr>
        <w:rFonts w:ascii="Symbol" w:hAnsi="Symbol" w:hint="default"/>
      </w:rPr>
    </w:lvl>
    <w:lvl w:ilvl="4" w:tplc="287A1570" w:tentative="1">
      <w:start w:val="1"/>
      <w:numFmt w:val="bullet"/>
      <w:lvlText w:val="o"/>
      <w:lvlJc w:val="left"/>
      <w:pPr>
        <w:ind w:left="4320" w:hanging="360"/>
      </w:pPr>
      <w:rPr>
        <w:rFonts w:ascii="Courier New" w:hAnsi="Courier New" w:cs="Courier New" w:hint="default"/>
      </w:rPr>
    </w:lvl>
    <w:lvl w:ilvl="5" w:tplc="DC74E4E8" w:tentative="1">
      <w:start w:val="1"/>
      <w:numFmt w:val="bullet"/>
      <w:lvlText w:val=""/>
      <w:lvlJc w:val="left"/>
      <w:pPr>
        <w:ind w:left="5040" w:hanging="360"/>
      </w:pPr>
      <w:rPr>
        <w:rFonts w:ascii="Wingdings" w:hAnsi="Wingdings" w:hint="default"/>
      </w:rPr>
    </w:lvl>
    <w:lvl w:ilvl="6" w:tplc="47F2A5F6" w:tentative="1">
      <w:start w:val="1"/>
      <w:numFmt w:val="bullet"/>
      <w:lvlText w:val=""/>
      <w:lvlJc w:val="left"/>
      <w:pPr>
        <w:ind w:left="5760" w:hanging="360"/>
      </w:pPr>
      <w:rPr>
        <w:rFonts w:ascii="Symbol" w:hAnsi="Symbol" w:hint="default"/>
      </w:rPr>
    </w:lvl>
    <w:lvl w:ilvl="7" w:tplc="4CFA7766" w:tentative="1">
      <w:start w:val="1"/>
      <w:numFmt w:val="bullet"/>
      <w:lvlText w:val="o"/>
      <w:lvlJc w:val="left"/>
      <w:pPr>
        <w:ind w:left="6480" w:hanging="360"/>
      </w:pPr>
      <w:rPr>
        <w:rFonts w:ascii="Courier New" w:hAnsi="Courier New" w:cs="Courier New" w:hint="default"/>
      </w:rPr>
    </w:lvl>
    <w:lvl w:ilvl="8" w:tplc="F222B79A" w:tentative="1">
      <w:start w:val="1"/>
      <w:numFmt w:val="bullet"/>
      <w:lvlText w:val=""/>
      <w:lvlJc w:val="left"/>
      <w:pPr>
        <w:ind w:left="7200" w:hanging="360"/>
      </w:pPr>
      <w:rPr>
        <w:rFonts w:ascii="Wingdings" w:hAnsi="Wingdings" w:hint="default"/>
      </w:rPr>
    </w:lvl>
  </w:abstractNum>
  <w:abstractNum w:abstractNumId="34" w15:restartNumberingAfterBreak="0">
    <w:nsid w:val="6BA03329"/>
    <w:multiLevelType w:val="hybridMultilevel"/>
    <w:tmpl w:val="C05411AE"/>
    <w:lvl w:ilvl="0" w:tplc="4BB604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D110076"/>
    <w:multiLevelType w:val="hybridMultilevel"/>
    <w:tmpl w:val="84787C96"/>
    <w:lvl w:ilvl="0" w:tplc="26D2ACD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ED53037"/>
    <w:multiLevelType w:val="hybridMultilevel"/>
    <w:tmpl w:val="0CC8CC0C"/>
    <w:lvl w:ilvl="0" w:tplc="61381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D2610"/>
    <w:multiLevelType w:val="hybridMultilevel"/>
    <w:tmpl w:val="CAF4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D23FE"/>
    <w:multiLevelType w:val="hybridMultilevel"/>
    <w:tmpl w:val="FE72E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7762D"/>
    <w:multiLevelType w:val="hybridMultilevel"/>
    <w:tmpl w:val="C09A4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127D1"/>
    <w:multiLevelType w:val="hybridMultilevel"/>
    <w:tmpl w:val="D6B44402"/>
    <w:lvl w:ilvl="0" w:tplc="8FEA9EBA">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B7675"/>
    <w:multiLevelType w:val="hybridMultilevel"/>
    <w:tmpl w:val="675A87F2"/>
    <w:lvl w:ilvl="0" w:tplc="A1FE0E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2"/>
  </w:num>
  <w:num w:numId="2">
    <w:abstractNumId w:val="17"/>
  </w:num>
  <w:num w:numId="3">
    <w:abstractNumId w:val="9"/>
  </w:num>
  <w:num w:numId="4">
    <w:abstractNumId w:val="38"/>
  </w:num>
  <w:num w:numId="5">
    <w:abstractNumId w:val="40"/>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0"/>
  </w:num>
  <w:num w:numId="13">
    <w:abstractNumId w:val="6"/>
  </w:num>
  <w:num w:numId="14">
    <w:abstractNumId w:val="5"/>
  </w:num>
  <w:num w:numId="15">
    <w:abstractNumId w:val="10"/>
  </w:num>
  <w:num w:numId="16">
    <w:abstractNumId w:val="31"/>
  </w:num>
  <w:num w:numId="17">
    <w:abstractNumId w:val="15"/>
  </w:num>
  <w:num w:numId="18">
    <w:abstractNumId w:val="28"/>
  </w:num>
  <w:num w:numId="19">
    <w:abstractNumId w:val="14"/>
  </w:num>
  <w:num w:numId="20">
    <w:abstractNumId w:val="30"/>
  </w:num>
  <w:num w:numId="21">
    <w:abstractNumId w:val="3"/>
  </w:num>
  <w:num w:numId="22">
    <w:abstractNumId w:val="24"/>
  </w:num>
  <w:num w:numId="23">
    <w:abstractNumId w:val="11"/>
  </w:num>
  <w:num w:numId="24">
    <w:abstractNumId w:val="35"/>
  </w:num>
  <w:num w:numId="25">
    <w:abstractNumId w:val="4"/>
  </w:num>
  <w:num w:numId="26">
    <w:abstractNumId w:val="21"/>
  </w:num>
  <w:num w:numId="27">
    <w:abstractNumId w:val="22"/>
  </w:num>
  <w:num w:numId="28">
    <w:abstractNumId w:val="12"/>
  </w:num>
  <w:num w:numId="29">
    <w:abstractNumId w:val="16"/>
  </w:num>
  <w:num w:numId="30">
    <w:abstractNumId w:val="37"/>
  </w:num>
  <w:num w:numId="31">
    <w:abstractNumId w:val="39"/>
  </w:num>
  <w:num w:numId="32">
    <w:abstractNumId w:val="20"/>
  </w:num>
  <w:num w:numId="33">
    <w:abstractNumId w:val="19"/>
  </w:num>
  <w:num w:numId="34">
    <w:abstractNumId w:val="29"/>
  </w:num>
  <w:num w:numId="35">
    <w:abstractNumId w:val="8"/>
  </w:num>
  <w:num w:numId="36">
    <w:abstractNumId w:val="36"/>
  </w:num>
  <w:num w:numId="37">
    <w:abstractNumId w:val="25"/>
  </w:num>
  <w:num w:numId="38">
    <w:abstractNumId w:val="7"/>
  </w:num>
  <w:num w:numId="39">
    <w:abstractNumId w:val="13"/>
  </w:num>
  <w:num w:numId="40">
    <w:abstractNumId w:val="1"/>
  </w:num>
  <w:num w:numId="41">
    <w:abstractNumId w:val="26"/>
  </w:num>
  <w:num w:numId="42">
    <w:abstractNumId w:val="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B4"/>
    <w:rsid w:val="00051E6B"/>
    <w:rsid w:val="00097300"/>
    <w:rsid w:val="0018418C"/>
    <w:rsid w:val="001F4BB3"/>
    <w:rsid w:val="00202B88"/>
    <w:rsid w:val="00206633"/>
    <w:rsid w:val="00231CDD"/>
    <w:rsid w:val="002508B4"/>
    <w:rsid w:val="002641C1"/>
    <w:rsid w:val="002E288D"/>
    <w:rsid w:val="004E1F8F"/>
    <w:rsid w:val="004E4CED"/>
    <w:rsid w:val="00505164"/>
    <w:rsid w:val="00552C8F"/>
    <w:rsid w:val="00660997"/>
    <w:rsid w:val="00663FD9"/>
    <w:rsid w:val="007E1B4E"/>
    <w:rsid w:val="0083172F"/>
    <w:rsid w:val="008D0F26"/>
    <w:rsid w:val="00A6470B"/>
    <w:rsid w:val="00AC589A"/>
    <w:rsid w:val="00AF6452"/>
    <w:rsid w:val="00AF64F8"/>
    <w:rsid w:val="00B152B4"/>
    <w:rsid w:val="00B83510"/>
    <w:rsid w:val="00B925C1"/>
    <w:rsid w:val="00C30081"/>
    <w:rsid w:val="00CE38F3"/>
    <w:rsid w:val="00DC62D2"/>
    <w:rsid w:val="00E25BB3"/>
    <w:rsid w:val="00E66DE6"/>
    <w:rsid w:val="00E737AD"/>
    <w:rsid w:val="00F0304A"/>
    <w:rsid w:val="00F66AD7"/>
    <w:rsid w:val="00FA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6C42"/>
  <w15:chartTrackingRefBased/>
  <w15:docId w15:val="{3AC55000-56F4-4BFF-8CC4-F0796CE1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8B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508B4"/>
    <w:pPr>
      <w:keepNext/>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663F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3FD9"/>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30081"/>
    <w:pPr>
      <w:keepNext/>
      <w:keepLines/>
      <w:spacing w:before="40" w:line="259" w:lineRule="auto"/>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B4"/>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663F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3F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0081"/>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rsid w:val="002508B4"/>
    <w:rPr>
      <w:sz w:val="20"/>
    </w:rPr>
  </w:style>
  <w:style w:type="character" w:customStyle="1" w:styleId="FootnoteTextChar">
    <w:name w:val="Footnote Text Char"/>
    <w:basedOn w:val="DefaultParagraphFont"/>
    <w:link w:val="FootnoteText"/>
    <w:uiPriority w:val="99"/>
    <w:rsid w:val="00250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508B4"/>
    <w:rPr>
      <w:vertAlign w:val="superscript"/>
    </w:rPr>
  </w:style>
  <w:style w:type="paragraph" w:styleId="BodyText">
    <w:name w:val="Body Text"/>
    <w:basedOn w:val="Normal"/>
    <w:link w:val="BodyTextChar"/>
    <w:uiPriority w:val="1"/>
    <w:qFormat/>
    <w:rsid w:val="002508B4"/>
    <w:rPr>
      <w:sz w:val="28"/>
    </w:rPr>
  </w:style>
  <w:style w:type="character" w:customStyle="1" w:styleId="BodyTextChar">
    <w:name w:val="Body Text Char"/>
    <w:basedOn w:val="DefaultParagraphFont"/>
    <w:link w:val="BodyText"/>
    <w:uiPriority w:val="99"/>
    <w:rsid w:val="002508B4"/>
    <w:rPr>
      <w:rFonts w:ascii="Times New Roman" w:eastAsia="Times New Roman" w:hAnsi="Times New Roman" w:cs="Times New Roman"/>
      <w:sz w:val="28"/>
      <w:szCs w:val="20"/>
    </w:rPr>
  </w:style>
  <w:style w:type="character" w:styleId="Hyperlink">
    <w:name w:val="Hyperlink"/>
    <w:basedOn w:val="DefaultParagraphFont"/>
    <w:uiPriority w:val="99"/>
    <w:rsid w:val="002508B4"/>
    <w:rPr>
      <w:color w:val="0000FF"/>
      <w:u w:val="single"/>
    </w:rPr>
  </w:style>
  <w:style w:type="paragraph" w:styleId="ListParagraph">
    <w:name w:val="List Paragraph"/>
    <w:basedOn w:val="Normal"/>
    <w:uiPriority w:val="34"/>
    <w:qFormat/>
    <w:rsid w:val="002508B4"/>
    <w:pPr>
      <w:ind w:left="720"/>
    </w:pPr>
  </w:style>
  <w:style w:type="paragraph" w:styleId="Header">
    <w:name w:val="header"/>
    <w:basedOn w:val="Normal"/>
    <w:link w:val="HeaderChar"/>
    <w:uiPriority w:val="99"/>
    <w:unhideWhenUsed/>
    <w:rsid w:val="002508B4"/>
    <w:pPr>
      <w:tabs>
        <w:tab w:val="center" w:pos="4680"/>
        <w:tab w:val="right" w:pos="9360"/>
      </w:tabs>
    </w:pPr>
  </w:style>
  <w:style w:type="character" w:customStyle="1" w:styleId="HeaderChar">
    <w:name w:val="Header Char"/>
    <w:basedOn w:val="DefaultParagraphFont"/>
    <w:link w:val="Header"/>
    <w:uiPriority w:val="99"/>
    <w:rsid w:val="002508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508B4"/>
    <w:pPr>
      <w:tabs>
        <w:tab w:val="center" w:pos="4680"/>
        <w:tab w:val="right" w:pos="9360"/>
      </w:tabs>
    </w:pPr>
  </w:style>
  <w:style w:type="character" w:customStyle="1" w:styleId="FooterChar">
    <w:name w:val="Footer Char"/>
    <w:basedOn w:val="DefaultParagraphFont"/>
    <w:link w:val="Footer"/>
    <w:uiPriority w:val="99"/>
    <w:rsid w:val="002508B4"/>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663FD9"/>
    <w:rPr>
      <w:rFonts w:eastAsiaTheme="minorHAnsi"/>
      <w:sz w:val="20"/>
    </w:rPr>
  </w:style>
  <w:style w:type="character" w:customStyle="1" w:styleId="CommentTextChar">
    <w:name w:val="Comment Text Char"/>
    <w:basedOn w:val="DefaultParagraphFont"/>
    <w:link w:val="CommentText"/>
    <w:uiPriority w:val="99"/>
    <w:rsid w:val="00663FD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73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7A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737AD"/>
    <w:rPr>
      <w:sz w:val="16"/>
      <w:szCs w:val="16"/>
    </w:rPr>
  </w:style>
  <w:style w:type="paragraph" w:styleId="CommentSubject">
    <w:name w:val="annotation subject"/>
    <w:basedOn w:val="CommentText"/>
    <w:next w:val="CommentText"/>
    <w:link w:val="CommentSubjectChar"/>
    <w:uiPriority w:val="99"/>
    <w:semiHidden/>
    <w:unhideWhenUsed/>
    <w:rsid w:val="00E737AD"/>
    <w:rPr>
      <w:rFonts w:eastAsia="Times New Roman"/>
      <w:b/>
      <w:bCs/>
    </w:rPr>
  </w:style>
  <w:style w:type="character" w:customStyle="1" w:styleId="CommentSubjectChar">
    <w:name w:val="Comment Subject Char"/>
    <w:basedOn w:val="CommentTextChar"/>
    <w:link w:val="CommentSubject"/>
    <w:uiPriority w:val="99"/>
    <w:semiHidden/>
    <w:rsid w:val="00E737AD"/>
    <w:rPr>
      <w:rFonts w:ascii="Times New Roman" w:eastAsia="Times New Roman" w:hAnsi="Times New Roman" w:cs="Times New Roman"/>
      <w:b/>
      <w:bCs/>
      <w:sz w:val="20"/>
      <w:szCs w:val="20"/>
    </w:rPr>
  </w:style>
  <w:style w:type="paragraph" w:styleId="NormalWeb">
    <w:name w:val="Normal (Web)"/>
    <w:basedOn w:val="Normal"/>
    <w:uiPriority w:val="99"/>
    <w:unhideWhenUsed/>
    <w:rsid w:val="00C30081"/>
    <w:pPr>
      <w:spacing w:before="100" w:beforeAutospacing="1" w:after="100" w:afterAutospacing="1"/>
    </w:pPr>
    <w:rPr>
      <w:szCs w:val="24"/>
    </w:rPr>
  </w:style>
  <w:style w:type="character" w:styleId="Strong">
    <w:name w:val="Strong"/>
    <w:basedOn w:val="DefaultParagraphFont"/>
    <w:uiPriority w:val="22"/>
    <w:qFormat/>
    <w:rsid w:val="00C30081"/>
    <w:rPr>
      <w:b/>
      <w:bCs/>
    </w:rPr>
  </w:style>
  <w:style w:type="paragraph" w:styleId="Caption">
    <w:name w:val="caption"/>
    <w:basedOn w:val="Normal"/>
    <w:next w:val="Normal"/>
    <w:uiPriority w:val="35"/>
    <w:qFormat/>
    <w:rsid w:val="00C30081"/>
    <w:pPr>
      <w:tabs>
        <w:tab w:val="left" w:pos="3870"/>
      </w:tabs>
    </w:pPr>
  </w:style>
  <w:style w:type="table" w:styleId="TableGrid">
    <w:name w:val="Table Grid"/>
    <w:basedOn w:val="TableNormal"/>
    <w:uiPriority w:val="39"/>
    <w:rsid w:val="00C3008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C30081"/>
    <w:rPr>
      <w:smallCaps/>
      <w:color w:val="5A5A5A" w:themeColor="text1" w:themeTint="A5"/>
    </w:rPr>
  </w:style>
  <w:style w:type="paragraph" w:styleId="TOCHeading">
    <w:name w:val="TOC Heading"/>
    <w:basedOn w:val="Heading1"/>
    <w:next w:val="Normal"/>
    <w:uiPriority w:val="39"/>
    <w:unhideWhenUsed/>
    <w:qFormat/>
    <w:rsid w:val="00C3008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30081"/>
    <w:pPr>
      <w:spacing w:after="100" w:line="259" w:lineRule="auto"/>
    </w:pPr>
    <w:rPr>
      <w:rFonts w:eastAsiaTheme="minorHAnsi"/>
      <w:szCs w:val="24"/>
    </w:rPr>
  </w:style>
  <w:style w:type="paragraph" w:styleId="TOC2">
    <w:name w:val="toc 2"/>
    <w:basedOn w:val="Normal"/>
    <w:next w:val="Normal"/>
    <w:autoRedefine/>
    <w:uiPriority w:val="39"/>
    <w:unhideWhenUsed/>
    <w:rsid w:val="00C30081"/>
    <w:pPr>
      <w:spacing w:after="100" w:line="259" w:lineRule="auto"/>
      <w:ind w:left="240"/>
    </w:pPr>
    <w:rPr>
      <w:rFonts w:eastAsiaTheme="minorHAnsi"/>
      <w:szCs w:val="24"/>
    </w:rPr>
  </w:style>
  <w:style w:type="paragraph" w:styleId="TOC3">
    <w:name w:val="toc 3"/>
    <w:basedOn w:val="Normal"/>
    <w:next w:val="Normal"/>
    <w:autoRedefine/>
    <w:uiPriority w:val="39"/>
    <w:unhideWhenUsed/>
    <w:rsid w:val="00C30081"/>
    <w:pPr>
      <w:spacing w:after="100" w:line="259" w:lineRule="auto"/>
      <w:ind w:left="480"/>
    </w:pPr>
    <w:rPr>
      <w:rFonts w:eastAsiaTheme="minorHAnsi"/>
      <w:szCs w:val="24"/>
    </w:rPr>
  </w:style>
  <w:style w:type="paragraph" w:styleId="TOC4">
    <w:name w:val="toc 4"/>
    <w:basedOn w:val="Normal"/>
    <w:next w:val="Normal"/>
    <w:autoRedefine/>
    <w:uiPriority w:val="39"/>
    <w:unhideWhenUsed/>
    <w:rsid w:val="00C30081"/>
    <w:pPr>
      <w:spacing w:after="100" w:line="259" w:lineRule="auto"/>
      <w:ind w:left="720"/>
    </w:pPr>
    <w:rPr>
      <w:rFonts w:eastAsiaTheme="minorHAnsi"/>
      <w:szCs w:val="24"/>
    </w:rPr>
  </w:style>
  <w:style w:type="character" w:styleId="FollowedHyperlink">
    <w:name w:val="FollowedHyperlink"/>
    <w:basedOn w:val="DefaultParagraphFont"/>
    <w:uiPriority w:val="99"/>
    <w:semiHidden/>
    <w:unhideWhenUsed/>
    <w:rsid w:val="00FA66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zcourts.gov/cscommittees/Legal-Services-Task-For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Sekardi, Kathy</dc:creator>
  <cp:keywords/>
  <dc:description/>
  <cp:lastModifiedBy>Albright, Jennifer</cp:lastModifiedBy>
  <cp:revision>3</cp:revision>
  <dcterms:created xsi:type="dcterms:W3CDTF">2020-01-10T05:07:00Z</dcterms:created>
  <dcterms:modified xsi:type="dcterms:W3CDTF">2020-01-10T05:13:00Z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-141965799</vt:i4>
  </property>
</Properties>
</file>