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B32BDE" w:rsidTr="006F63FD">
        <w:trPr>
          <w:cantSplit/>
          <w:trHeight w:val="1987"/>
        </w:trPr>
        <w:tc>
          <w:tcPr>
            <w:tcW w:w="4836" w:type="dxa"/>
          </w:tcPr>
          <w:p w:rsidR="00000C35" w:rsidRPr="00B32BDE" w:rsidRDefault="00F850BE" w:rsidP="00000C35">
            <w:pPr>
              <w:pStyle w:val="FirmInformation"/>
              <w:spacing w:line="240" w:lineRule="auto"/>
              <w:rPr>
                <w:sz w:val="28"/>
                <w:szCs w:val="28"/>
              </w:rPr>
            </w:pPr>
            <w:bookmarkStart w:id="0" w:name="_zzmpFIXED_CounselTable"/>
            <w:r w:rsidRPr="00B32BDE">
              <w:rPr>
                <w:sz w:val="28"/>
                <w:szCs w:val="28"/>
              </w:rPr>
              <w:t>Lisa M. Panahi</w:t>
            </w:r>
            <w:r w:rsidR="00732169" w:rsidRPr="00B32BDE">
              <w:rPr>
                <w:sz w:val="28"/>
                <w:szCs w:val="28"/>
              </w:rPr>
              <w:t xml:space="preserve">, </w:t>
            </w:r>
            <w:r w:rsidRPr="00B32BDE">
              <w:rPr>
                <w:sz w:val="28"/>
                <w:szCs w:val="28"/>
              </w:rPr>
              <w:t>Bar No. 023421</w:t>
            </w:r>
            <w:r w:rsidR="00732169" w:rsidRPr="00B32BDE">
              <w:rPr>
                <w:sz w:val="28"/>
                <w:szCs w:val="28"/>
              </w:rPr>
              <w:br/>
            </w:r>
            <w:r w:rsidR="006F63FD" w:rsidRPr="00B32BDE">
              <w:rPr>
                <w:sz w:val="28"/>
                <w:szCs w:val="28"/>
              </w:rPr>
              <w:t>General Counsel</w:t>
            </w:r>
          </w:p>
          <w:p w:rsidR="00494BDF" w:rsidRPr="00B32BDE" w:rsidRDefault="00494BDF" w:rsidP="00000C35">
            <w:pPr>
              <w:pStyle w:val="FirmInformation"/>
              <w:spacing w:line="240" w:lineRule="auto"/>
              <w:rPr>
                <w:sz w:val="28"/>
                <w:szCs w:val="28"/>
              </w:rPr>
            </w:pPr>
            <w:r w:rsidRPr="00B32BDE">
              <w:rPr>
                <w:sz w:val="28"/>
                <w:szCs w:val="28"/>
              </w:rPr>
              <w:t>State Bar of Arizona</w:t>
            </w:r>
          </w:p>
          <w:p w:rsidR="00357F4D" w:rsidRPr="00B32BDE" w:rsidRDefault="00357F4D" w:rsidP="00000C35">
            <w:pPr>
              <w:pStyle w:val="FirmInformation"/>
              <w:spacing w:line="240" w:lineRule="auto"/>
              <w:rPr>
                <w:sz w:val="28"/>
                <w:szCs w:val="28"/>
              </w:rPr>
            </w:pPr>
            <w:r w:rsidRPr="00B32BDE">
              <w:rPr>
                <w:sz w:val="28"/>
                <w:szCs w:val="28"/>
              </w:rPr>
              <w:t>4201 N. 24th Street, Suite 100</w:t>
            </w:r>
          </w:p>
          <w:p w:rsidR="00357F4D" w:rsidRPr="00B32BDE" w:rsidRDefault="00357F4D" w:rsidP="00000C35">
            <w:pPr>
              <w:pStyle w:val="FirmInformation"/>
              <w:spacing w:line="240" w:lineRule="auto"/>
              <w:rPr>
                <w:sz w:val="28"/>
                <w:szCs w:val="28"/>
              </w:rPr>
            </w:pPr>
            <w:r w:rsidRPr="00B32BDE">
              <w:rPr>
                <w:sz w:val="28"/>
                <w:szCs w:val="28"/>
              </w:rPr>
              <w:t>Phoenix, AZ  85016-6288</w:t>
            </w:r>
          </w:p>
          <w:p w:rsidR="006F63FD" w:rsidRPr="00B32BDE" w:rsidRDefault="00352347" w:rsidP="00735659">
            <w:pPr>
              <w:pStyle w:val="FirmInformation"/>
              <w:spacing w:line="240" w:lineRule="auto"/>
              <w:rPr>
                <w:sz w:val="28"/>
                <w:szCs w:val="28"/>
              </w:rPr>
            </w:pPr>
            <w:r w:rsidRPr="00B32BDE">
              <w:rPr>
                <w:sz w:val="28"/>
                <w:szCs w:val="28"/>
              </w:rPr>
              <w:t>(602) 340-7236</w:t>
            </w:r>
          </w:p>
        </w:tc>
        <w:tc>
          <w:tcPr>
            <w:tcW w:w="4200" w:type="dxa"/>
          </w:tcPr>
          <w:p w:rsidR="00357F4D" w:rsidRPr="00B32BDE" w:rsidRDefault="00357F4D" w:rsidP="00000C35">
            <w:pPr>
              <w:ind w:left="113" w:right="113"/>
              <w:rPr>
                <w:sz w:val="28"/>
                <w:szCs w:val="28"/>
              </w:rPr>
            </w:pPr>
          </w:p>
        </w:tc>
      </w:tr>
      <w:bookmarkEnd w:id="0"/>
    </w:tbl>
    <w:p w:rsidR="00357F4D" w:rsidRPr="00B32BDE" w:rsidRDefault="00357F4D" w:rsidP="00735659">
      <w:pPr>
        <w:pStyle w:val="Court"/>
        <w:spacing w:line="508" w:lineRule="exact"/>
        <w:jc w:val="left"/>
        <w:rPr>
          <w:b/>
          <w:sz w:val="28"/>
          <w:szCs w:val="28"/>
        </w:rPr>
      </w:pPr>
    </w:p>
    <w:p w:rsidR="000C48A9" w:rsidRPr="00B32BDE" w:rsidRDefault="000F7A7F" w:rsidP="00000C35">
      <w:pPr>
        <w:pStyle w:val="Court"/>
        <w:spacing w:line="240" w:lineRule="auto"/>
        <w:rPr>
          <w:b/>
          <w:sz w:val="28"/>
          <w:szCs w:val="28"/>
        </w:rPr>
      </w:pPr>
      <w:r w:rsidRPr="00B32BDE">
        <w:rPr>
          <w:b/>
          <w:sz w:val="28"/>
          <w:szCs w:val="28"/>
        </w:rPr>
        <w:t>IN THE SUPREME COURT</w:t>
      </w:r>
      <w:r w:rsidRPr="00B32BDE">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B32BDE" w:rsidTr="004331B2">
        <w:tc>
          <w:tcPr>
            <w:tcW w:w="4680" w:type="dxa"/>
            <w:tcBorders>
              <w:top w:val="nil"/>
              <w:bottom w:val="single" w:sz="4" w:space="0" w:color="auto"/>
              <w:right w:val="single" w:sz="4" w:space="0" w:color="auto"/>
            </w:tcBorders>
            <w:shd w:val="clear" w:color="auto" w:fill="auto"/>
          </w:tcPr>
          <w:p w:rsidR="00357F4D" w:rsidRPr="00B32BDE" w:rsidRDefault="00357F4D" w:rsidP="00E321C5">
            <w:pPr>
              <w:pStyle w:val="Caption"/>
              <w:spacing w:before="240" w:line="260" w:lineRule="exact"/>
              <w:rPr>
                <w:sz w:val="28"/>
                <w:szCs w:val="28"/>
              </w:rPr>
            </w:pPr>
            <w:bookmarkStart w:id="1" w:name="_zzmpFIXED_CaptionTable"/>
            <w:r w:rsidRPr="00B32BDE">
              <w:rPr>
                <w:sz w:val="28"/>
                <w:szCs w:val="28"/>
              </w:rPr>
              <w:t>In the Matter of:</w:t>
            </w:r>
          </w:p>
          <w:p w:rsidR="00357F4D" w:rsidRPr="00B32BDE" w:rsidRDefault="00E67511" w:rsidP="00DE7F1C">
            <w:pPr>
              <w:pStyle w:val="Caption"/>
              <w:spacing w:before="240" w:line="260" w:lineRule="exact"/>
              <w:rPr>
                <w:b/>
                <w:sz w:val="28"/>
                <w:szCs w:val="28"/>
              </w:rPr>
            </w:pPr>
            <w:r w:rsidRPr="00B32BDE">
              <w:rPr>
                <w:b/>
                <w:sz w:val="28"/>
                <w:szCs w:val="28"/>
              </w:rPr>
              <w:t xml:space="preserve">PETITION TO </w:t>
            </w:r>
            <w:r w:rsidR="006906A7" w:rsidRPr="00B32BDE">
              <w:rPr>
                <w:b/>
                <w:sz w:val="28"/>
                <w:szCs w:val="28"/>
              </w:rPr>
              <w:t>ADD</w:t>
            </w:r>
            <w:r w:rsidR="00DE7F1C" w:rsidRPr="00B32BDE">
              <w:rPr>
                <w:b/>
                <w:sz w:val="28"/>
                <w:szCs w:val="28"/>
              </w:rPr>
              <w:t xml:space="preserve"> RULE </w:t>
            </w:r>
            <w:r w:rsidR="006906A7" w:rsidRPr="00B32BDE">
              <w:rPr>
                <w:b/>
                <w:sz w:val="28"/>
                <w:szCs w:val="28"/>
              </w:rPr>
              <w:t>16.3</w:t>
            </w:r>
            <w:r w:rsidR="00DE7F1C" w:rsidRPr="00B32BDE">
              <w:rPr>
                <w:b/>
                <w:sz w:val="28"/>
                <w:szCs w:val="28"/>
              </w:rPr>
              <w:t xml:space="preserve"> </w:t>
            </w:r>
            <w:r w:rsidR="006906A7" w:rsidRPr="00B32BDE">
              <w:rPr>
                <w:b/>
                <w:sz w:val="28"/>
                <w:szCs w:val="28"/>
              </w:rPr>
              <w:t>TO</w:t>
            </w:r>
            <w:r w:rsidR="00DE7F1C" w:rsidRPr="00B32BDE">
              <w:rPr>
                <w:b/>
                <w:sz w:val="28"/>
                <w:szCs w:val="28"/>
              </w:rPr>
              <w:t xml:space="preserve"> THE ARIZONA RULES OF CIVIL PROCEDURE</w:t>
            </w:r>
            <w:r w:rsidR="00DE7F1C" w:rsidRPr="00B32BDE">
              <w:rPr>
                <w:b/>
                <w:sz w:val="28"/>
                <w:szCs w:val="28"/>
              </w:rPr>
              <w:br/>
            </w:r>
          </w:p>
        </w:tc>
        <w:tc>
          <w:tcPr>
            <w:tcW w:w="4524" w:type="dxa"/>
            <w:tcBorders>
              <w:top w:val="nil"/>
              <w:left w:val="single" w:sz="4" w:space="0" w:color="auto"/>
            </w:tcBorders>
            <w:shd w:val="clear" w:color="auto" w:fill="auto"/>
          </w:tcPr>
          <w:p w:rsidR="00357F4D" w:rsidRPr="00B32BDE" w:rsidRDefault="00357F4D" w:rsidP="00E321C5">
            <w:pPr>
              <w:pStyle w:val="Caption"/>
              <w:tabs>
                <w:tab w:val="left" w:pos="1238"/>
              </w:tabs>
              <w:spacing w:before="240" w:after="240"/>
              <w:ind w:left="259" w:right="115"/>
              <w:rPr>
                <w:sz w:val="28"/>
                <w:szCs w:val="28"/>
              </w:rPr>
            </w:pPr>
            <w:r w:rsidRPr="00B32BDE">
              <w:rPr>
                <w:sz w:val="28"/>
                <w:szCs w:val="28"/>
              </w:rPr>
              <w:t>Supreme Court No. R-</w:t>
            </w:r>
            <w:r w:rsidR="008A4EB3" w:rsidRPr="00B32BDE">
              <w:rPr>
                <w:sz w:val="28"/>
                <w:szCs w:val="28"/>
              </w:rPr>
              <w:t>20</w:t>
            </w:r>
            <w:r w:rsidR="00F850BE" w:rsidRPr="00B32BDE">
              <w:rPr>
                <w:sz w:val="28"/>
                <w:szCs w:val="28"/>
              </w:rPr>
              <w:t>-</w:t>
            </w:r>
          </w:p>
          <w:p w:rsidR="00357F4D" w:rsidRPr="00B32BDE" w:rsidRDefault="00D60D9B" w:rsidP="000F7A7F">
            <w:pPr>
              <w:pStyle w:val="Caption"/>
              <w:tabs>
                <w:tab w:val="left" w:pos="1238"/>
              </w:tabs>
              <w:spacing w:line="260" w:lineRule="exact"/>
              <w:ind w:right="115"/>
              <w:jc w:val="center"/>
              <w:rPr>
                <w:b/>
                <w:sz w:val="28"/>
                <w:szCs w:val="28"/>
              </w:rPr>
            </w:pPr>
            <w:r w:rsidRPr="00B32BDE">
              <w:rPr>
                <w:b/>
                <w:sz w:val="28"/>
                <w:szCs w:val="28"/>
              </w:rPr>
              <w:t>PETITION</w:t>
            </w:r>
          </w:p>
          <w:p w:rsidR="00357F4D" w:rsidRPr="00B32BDE" w:rsidRDefault="00357F4D" w:rsidP="00E321C5">
            <w:pPr>
              <w:pStyle w:val="DocumentTitle"/>
              <w:rPr>
                <w:sz w:val="28"/>
                <w:szCs w:val="28"/>
              </w:rPr>
            </w:pPr>
          </w:p>
          <w:p w:rsidR="00357F4D" w:rsidRPr="00B32BDE" w:rsidRDefault="00357F4D" w:rsidP="00E321C5">
            <w:pPr>
              <w:pStyle w:val="Caption"/>
              <w:ind w:left="1512" w:right="115" w:hanging="1253"/>
              <w:rPr>
                <w:sz w:val="28"/>
                <w:szCs w:val="28"/>
              </w:rPr>
            </w:pPr>
          </w:p>
        </w:tc>
      </w:tr>
      <w:bookmarkEnd w:id="1"/>
    </w:tbl>
    <w:p w:rsidR="006906A7" w:rsidRPr="00B32BDE" w:rsidRDefault="006906A7" w:rsidP="006906A7">
      <w:pPr>
        <w:spacing w:line="480" w:lineRule="auto"/>
        <w:jc w:val="both"/>
        <w:rPr>
          <w:sz w:val="28"/>
          <w:szCs w:val="28"/>
        </w:rPr>
      </w:pPr>
    </w:p>
    <w:p w:rsidR="006906A7" w:rsidRPr="00B32BDE" w:rsidRDefault="00AC5935" w:rsidP="006906A7">
      <w:pPr>
        <w:spacing w:line="480" w:lineRule="auto"/>
        <w:ind w:firstLine="720"/>
        <w:jc w:val="both"/>
        <w:rPr>
          <w:sz w:val="28"/>
          <w:szCs w:val="28"/>
        </w:rPr>
      </w:pPr>
      <w:r w:rsidRPr="00B32BDE">
        <w:rPr>
          <w:sz w:val="28"/>
          <w:szCs w:val="28"/>
        </w:rPr>
        <w:t>Pursuant to Rule 28(a) of the Arizona Rules of Supreme Court, the State Bar of Arizona (“State Bar</w:t>
      </w:r>
      <w:r w:rsidR="00C04C0C" w:rsidRPr="00B32BDE">
        <w:rPr>
          <w:sz w:val="28"/>
          <w:szCs w:val="28"/>
        </w:rPr>
        <w:t>”) hereby</w:t>
      </w:r>
      <w:r w:rsidRPr="00B32BDE">
        <w:rPr>
          <w:sz w:val="28"/>
          <w:szCs w:val="28"/>
        </w:rPr>
        <w:t xml:space="preserve"> petitions the Court</w:t>
      </w:r>
      <w:bookmarkStart w:id="2" w:name="_GoBack"/>
      <w:bookmarkEnd w:id="2"/>
      <w:r w:rsidR="006906A7" w:rsidRPr="00B32BDE">
        <w:rPr>
          <w:sz w:val="28"/>
          <w:szCs w:val="28"/>
        </w:rPr>
        <w:t xml:space="preserve"> to add Rule 16.3 to the Arizona Rules of Civil Procedure in the form attached as Appendix A.  Rule 16.3 directs practitioners to the procedures set forth in Rule 53 of the Arizona Rules of Probate Procedure which governs the settlement of minors’ personal injury and wrongful death claim as follows:</w:t>
      </w:r>
    </w:p>
    <w:p w:rsidR="006906A7" w:rsidRPr="00B32BDE" w:rsidRDefault="006906A7" w:rsidP="006906A7">
      <w:pPr>
        <w:spacing w:line="235" w:lineRule="exact"/>
        <w:ind w:left="1440" w:right="1613"/>
        <w:jc w:val="center"/>
        <w:rPr>
          <w:b/>
          <w:sz w:val="28"/>
          <w:szCs w:val="28"/>
        </w:rPr>
      </w:pPr>
      <w:r w:rsidRPr="00B32BDE">
        <w:rPr>
          <w:b/>
          <w:sz w:val="28"/>
          <w:szCs w:val="28"/>
        </w:rPr>
        <w:t>Rule 16.3.  Settlements of Claims for Minors and Adults in Need of Protection</w:t>
      </w:r>
    </w:p>
    <w:p w:rsidR="006906A7" w:rsidRPr="00B32BDE" w:rsidRDefault="006906A7" w:rsidP="006906A7">
      <w:pPr>
        <w:spacing w:line="235" w:lineRule="exact"/>
        <w:ind w:left="1440" w:right="1613"/>
        <w:jc w:val="both"/>
        <w:rPr>
          <w:b/>
          <w:sz w:val="28"/>
          <w:szCs w:val="28"/>
        </w:rPr>
      </w:pPr>
    </w:p>
    <w:p w:rsidR="006906A7" w:rsidRPr="00B32BDE" w:rsidRDefault="006906A7" w:rsidP="006906A7">
      <w:pPr>
        <w:spacing w:line="235" w:lineRule="exact"/>
        <w:ind w:left="1440" w:right="1613"/>
        <w:jc w:val="both"/>
        <w:rPr>
          <w:sz w:val="28"/>
          <w:szCs w:val="28"/>
        </w:rPr>
      </w:pPr>
      <w:r w:rsidRPr="00B32BDE">
        <w:rPr>
          <w:sz w:val="28"/>
          <w:szCs w:val="28"/>
        </w:rPr>
        <w:t>The settlement of a claim brought on behalf of a minor or adult in need of protection is not binding unless a judicial officer approves it as provided in Rule 53 of the Arizona Rules of Probate Procedure.</w:t>
      </w:r>
    </w:p>
    <w:p w:rsidR="006906A7" w:rsidRPr="00B32BDE" w:rsidRDefault="006906A7" w:rsidP="006906A7">
      <w:pPr>
        <w:spacing w:line="235" w:lineRule="exact"/>
        <w:ind w:left="720" w:right="720" w:hanging="720"/>
        <w:jc w:val="both"/>
        <w:rPr>
          <w:sz w:val="28"/>
          <w:szCs w:val="28"/>
        </w:rPr>
      </w:pPr>
    </w:p>
    <w:p w:rsidR="006906A7" w:rsidRPr="00B32BDE" w:rsidRDefault="006906A7" w:rsidP="006906A7">
      <w:pPr>
        <w:spacing w:line="480" w:lineRule="auto"/>
        <w:jc w:val="both"/>
        <w:rPr>
          <w:sz w:val="28"/>
          <w:szCs w:val="28"/>
        </w:rPr>
      </w:pPr>
      <w:r w:rsidRPr="00B32BDE">
        <w:rPr>
          <w:sz w:val="28"/>
          <w:szCs w:val="28"/>
        </w:rPr>
        <w:lastRenderedPageBreak/>
        <w:tab/>
        <w:t>The Supreme Court recently adopted Rule 53 on August 29, 2019, as part of a comprehensive package of amendments proposed by the Court’s Task Force on the Arizona Rules of Probate Procedure (the “Task Force”).  As explained in the Task Force’s Petition (No. R-18-0044), Probate Rule 53 was intended to clarify when court approval of a settlement is required for a settlement to be binding on a minor, and who may approve the settlement.  In the course of its work, the Task Force informally recommended to the State Bar’s Committee on the Rules of Civil Practice &amp; Procedure that a companion rule should be considered for the Arizona Rules of Civil Procedure, to ensure that civil practitioners are aware of the special requirements applicable to the settlement of claims of minors.</w:t>
      </w:r>
      <w:r w:rsidRPr="00B32BDE">
        <w:rPr>
          <w:rStyle w:val="FootnoteReference"/>
          <w:sz w:val="28"/>
          <w:szCs w:val="28"/>
        </w:rPr>
        <w:footnoteReference w:id="1"/>
      </w:r>
    </w:p>
    <w:p w:rsidR="006906A7" w:rsidRPr="00B32BDE" w:rsidRDefault="006906A7" w:rsidP="006906A7">
      <w:pPr>
        <w:spacing w:line="480" w:lineRule="auto"/>
        <w:jc w:val="both"/>
        <w:rPr>
          <w:sz w:val="28"/>
          <w:szCs w:val="28"/>
        </w:rPr>
      </w:pPr>
      <w:r w:rsidRPr="00B32BDE">
        <w:rPr>
          <w:sz w:val="28"/>
          <w:szCs w:val="28"/>
        </w:rPr>
        <w:tab/>
        <w:t xml:space="preserve">Proposed Rule 16.3 implements the Task Force’s suggestion and will improve settlement practices and protect minors’ property interests in settlements by directing practitioners to the requirement imposed by Rule 53.  </w:t>
      </w:r>
    </w:p>
    <w:p w:rsidR="00B32BDE" w:rsidRDefault="00B32BDE" w:rsidP="00B32BDE">
      <w:pPr>
        <w:spacing w:line="480" w:lineRule="auto"/>
        <w:jc w:val="center"/>
        <w:rPr>
          <w:b/>
          <w:sz w:val="28"/>
          <w:szCs w:val="28"/>
        </w:rPr>
      </w:pPr>
    </w:p>
    <w:p w:rsidR="00B32BDE" w:rsidRDefault="00B32BDE" w:rsidP="00B32BDE">
      <w:pPr>
        <w:spacing w:line="480" w:lineRule="auto"/>
        <w:jc w:val="center"/>
        <w:rPr>
          <w:b/>
          <w:sz w:val="28"/>
          <w:szCs w:val="28"/>
        </w:rPr>
      </w:pPr>
    </w:p>
    <w:p w:rsidR="00B32BDE" w:rsidRDefault="00B32BDE" w:rsidP="00B32BDE">
      <w:pPr>
        <w:spacing w:line="480" w:lineRule="auto"/>
        <w:jc w:val="center"/>
        <w:rPr>
          <w:b/>
          <w:sz w:val="28"/>
          <w:szCs w:val="28"/>
        </w:rPr>
      </w:pPr>
    </w:p>
    <w:p w:rsidR="00B32BDE" w:rsidRDefault="006906A7" w:rsidP="00B32BDE">
      <w:pPr>
        <w:spacing w:line="480" w:lineRule="auto"/>
        <w:jc w:val="center"/>
        <w:rPr>
          <w:b/>
          <w:sz w:val="28"/>
          <w:szCs w:val="28"/>
        </w:rPr>
      </w:pPr>
      <w:r w:rsidRPr="00B32BDE">
        <w:rPr>
          <w:b/>
          <w:sz w:val="28"/>
          <w:szCs w:val="28"/>
        </w:rPr>
        <w:t>HISTORICAL CONTEXT</w:t>
      </w:r>
    </w:p>
    <w:p w:rsidR="00CC2BDA" w:rsidRPr="00CC2BDA" w:rsidRDefault="00CC2BDA" w:rsidP="00CC2BDA">
      <w:pPr>
        <w:spacing w:line="480" w:lineRule="auto"/>
        <w:ind w:firstLine="720"/>
        <w:jc w:val="both"/>
        <w:rPr>
          <w:sz w:val="28"/>
          <w:szCs w:val="28"/>
        </w:rPr>
      </w:pPr>
      <w:r w:rsidRPr="00CC2BDA">
        <w:rPr>
          <w:sz w:val="28"/>
          <w:szCs w:val="28"/>
        </w:rPr>
        <w:t>Before Rule 53 was adopted, Rule 37(A) of the Arizona Rules of Probate Procedure described the procedure for the settlement of minors’ personal injury or wrongful death claim as follows</w:t>
      </w:r>
      <w:r>
        <w:rPr>
          <w:sz w:val="28"/>
          <w:szCs w:val="28"/>
        </w:rPr>
        <w:t>:</w:t>
      </w:r>
    </w:p>
    <w:p w:rsidR="006906A7" w:rsidRPr="00B32BDE" w:rsidRDefault="006906A7" w:rsidP="006906A7">
      <w:pPr>
        <w:spacing w:line="235" w:lineRule="exact"/>
        <w:ind w:left="1440" w:right="1613"/>
        <w:jc w:val="both"/>
        <w:rPr>
          <w:sz w:val="28"/>
          <w:szCs w:val="28"/>
        </w:rPr>
      </w:pPr>
      <w:r w:rsidRPr="00B32BDE">
        <w:rPr>
          <w:b/>
          <w:sz w:val="28"/>
          <w:szCs w:val="28"/>
        </w:rPr>
        <w:t>Except as provided in A.R.S. § 14-5103(A),</w:t>
      </w:r>
      <w:r w:rsidRPr="00B32BDE">
        <w:rPr>
          <w:sz w:val="28"/>
          <w:szCs w:val="28"/>
        </w:rPr>
        <w:t xml:space="preserve"> and without regard to whether a conservator has previously been appointed, any settlement of a civil claim brought on behalf of or against a minor for personal injury or wrongful death shall be submitted for review and approval by a judicial officer assigned to hear matters arising under A.R.S. Title 14.</w:t>
      </w:r>
    </w:p>
    <w:p w:rsidR="006906A7" w:rsidRPr="00B32BDE" w:rsidRDefault="006906A7" w:rsidP="006906A7">
      <w:pPr>
        <w:spacing w:line="360" w:lineRule="auto"/>
        <w:rPr>
          <w:sz w:val="28"/>
          <w:szCs w:val="28"/>
        </w:rPr>
      </w:pPr>
    </w:p>
    <w:p w:rsidR="006906A7" w:rsidRPr="00B32BDE" w:rsidRDefault="006906A7" w:rsidP="006906A7">
      <w:pPr>
        <w:spacing w:line="480" w:lineRule="auto"/>
        <w:rPr>
          <w:sz w:val="28"/>
          <w:szCs w:val="28"/>
        </w:rPr>
      </w:pPr>
      <w:r w:rsidRPr="00B32BDE">
        <w:rPr>
          <w:sz w:val="28"/>
          <w:szCs w:val="28"/>
        </w:rPr>
        <w:t>(Emphasis added.)  A.R.S. § 14-5103(A) provides:</w:t>
      </w:r>
    </w:p>
    <w:p w:rsidR="006906A7" w:rsidRPr="00B32BDE" w:rsidRDefault="006906A7" w:rsidP="006906A7">
      <w:pPr>
        <w:spacing w:line="235" w:lineRule="exact"/>
        <w:ind w:left="1440" w:right="1613"/>
        <w:jc w:val="both"/>
        <w:rPr>
          <w:sz w:val="28"/>
          <w:szCs w:val="28"/>
        </w:rPr>
      </w:pPr>
      <w:r w:rsidRPr="00B32BDE">
        <w:rPr>
          <w:sz w:val="28"/>
          <w:szCs w:val="28"/>
        </w:rPr>
        <w:t xml:space="preserve">A.  </w:t>
      </w:r>
      <w:r w:rsidRPr="00B32BDE">
        <w:rPr>
          <w:sz w:val="28"/>
          <w:szCs w:val="28"/>
        </w:rPr>
        <w:tab/>
      </w:r>
      <w:r w:rsidRPr="00B32BDE">
        <w:rPr>
          <w:b/>
          <w:sz w:val="28"/>
          <w:szCs w:val="28"/>
        </w:rPr>
        <w:t>Any person under a duty to pay or deliver money or personal property to a minor, including monies related to the settlement of a civil claim,</w:t>
      </w:r>
      <w:r w:rsidRPr="00B32BDE">
        <w:rPr>
          <w:sz w:val="28"/>
          <w:szCs w:val="28"/>
        </w:rPr>
        <w:t xml:space="preserve"> </w:t>
      </w:r>
      <w:r w:rsidRPr="00B32BDE">
        <w:rPr>
          <w:b/>
          <w:sz w:val="28"/>
          <w:szCs w:val="28"/>
        </w:rPr>
        <w:t>may perform this duty in amounts not exceeding ten thousand dollars per annum</w:t>
      </w:r>
      <w:r w:rsidRPr="00B32BDE">
        <w:rPr>
          <w:sz w:val="28"/>
          <w:szCs w:val="28"/>
        </w:rPr>
        <w:t xml:space="preserve"> by paying or delivering the money or property to any of the following:</w:t>
      </w:r>
    </w:p>
    <w:p w:rsidR="006906A7" w:rsidRPr="00B32BDE" w:rsidRDefault="006906A7" w:rsidP="006906A7">
      <w:pPr>
        <w:spacing w:line="235" w:lineRule="exact"/>
        <w:ind w:left="720" w:right="720"/>
        <w:jc w:val="both"/>
        <w:rPr>
          <w:sz w:val="28"/>
          <w:szCs w:val="28"/>
        </w:rPr>
      </w:pPr>
    </w:p>
    <w:p w:rsidR="006906A7" w:rsidRPr="00B32BDE" w:rsidRDefault="006906A7" w:rsidP="006906A7">
      <w:pPr>
        <w:spacing w:line="480" w:lineRule="auto"/>
        <w:ind w:left="720" w:firstLine="720"/>
        <w:rPr>
          <w:sz w:val="28"/>
          <w:szCs w:val="28"/>
        </w:rPr>
      </w:pPr>
      <w:r w:rsidRPr="00B32BDE">
        <w:rPr>
          <w:sz w:val="28"/>
          <w:szCs w:val="28"/>
        </w:rPr>
        <w:t>1.  The minor, if the minor is married.</w:t>
      </w:r>
    </w:p>
    <w:p w:rsidR="006906A7" w:rsidRPr="00B32BDE" w:rsidRDefault="006906A7" w:rsidP="006906A7">
      <w:pPr>
        <w:spacing w:line="235" w:lineRule="exact"/>
        <w:ind w:left="1440" w:right="1613"/>
        <w:jc w:val="both"/>
        <w:rPr>
          <w:sz w:val="28"/>
          <w:szCs w:val="28"/>
        </w:rPr>
      </w:pPr>
      <w:r w:rsidRPr="00B32BDE">
        <w:rPr>
          <w:sz w:val="28"/>
          <w:szCs w:val="28"/>
        </w:rPr>
        <w:t>2.  Any person having the care and custody of the minor and with whom the minor resides.</w:t>
      </w:r>
    </w:p>
    <w:p w:rsidR="006906A7" w:rsidRPr="00B32BDE" w:rsidRDefault="006906A7" w:rsidP="006906A7">
      <w:pPr>
        <w:spacing w:line="235" w:lineRule="exact"/>
        <w:ind w:left="720" w:right="1613"/>
        <w:rPr>
          <w:sz w:val="28"/>
          <w:szCs w:val="28"/>
        </w:rPr>
      </w:pPr>
    </w:p>
    <w:p w:rsidR="006906A7" w:rsidRPr="00B32BDE" w:rsidRDefault="006906A7" w:rsidP="006906A7">
      <w:pPr>
        <w:spacing w:line="480" w:lineRule="auto"/>
        <w:ind w:left="720" w:right="1613" w:firstLine="720"/>
        <w:rPr>
          <w:sz w:val="28"/>
          <w:szCs w:val="28"/>
        </w:rPr>
      </w:pPr>
      <w:r w:rsidRPr="00B32BDE">
        <w:rPr>
          <w:sz w:val="28"/>
          <w:szCs w:val="28"/>
        </w:rPr>
        <w:t>3.  The guardian of a minor.</w:t>
      </w:r>
    </w:p>
    <w:p w:rsidR="006906A7" w:rsidRPr="00B32BDE" w:rsidRDefault="006906A7" w:rsidP="006906A7">
      <w:pPr>
        <w:spacing w:line="235" w:lineRule="exact"/>
        <w:ind w:left="1440" w:right="1613"/>
        <w:jc w:val="both"/>
        <w:rPr>
          <w:sz w:val="28"/>
          <w:szCs w:val="28"/>
        </w:rPr>
      </w:pPr>
      <w:r w:rsidRPr="00B32BDE">
        <w:rPr>
          <w:sz w:val="28"/>
          <w:szCs w:val="28"/>
        </w:rPr>
        <w:t>4.  A financial institution incident to a deposit in a federally insured savings account in the sole name of the minor and giving notice of the deposit to the minor.</w:t>
      </w:r>
    </w:p>
    <w:p w:rsidR="006906A7" w:rsidRPr="00B32BDE" w:rsidRDefault="006906A7" w:rsidP="006906A7">
      <w:pPr>
        <w:spacing w:line="360" w:lineRule="auto"/>
        <w:jc w:val="both"/>
        <w:rPr>
          <w:sz w:val="28"/>
          <w:szCs w:val="28"/>
        </w:rPr>
      </w:pPr>
    </w:p>
    <w:p w:rsidR="006906A7" w:rsidRPr="00B32BDE" w:rsidRDefault="006906A7" w:rsidP="006906A7">
      <w:pPr>
        <w:spacing w:line="480" w:lineRule="auto"/>
        <w:jc w:val="both"/>
        <w:rPr>
          <w:sz w:val="28"/>
          <w:szCs w:val="28"/>
        </w:rPr>
      </w:pPr>
      <w:r w:rsidRPr="00B32BDE">
        <w:rPr>
          <w:sz w:val="28"/>
          <w:szCs w:val="28"/>
        </w:rPr>
        <w:t xml:space="preserve">(Emphasis added.)  </w:t>
      </w:r>
    </w:p>
    <w:p w:rsidR="006906A7" w:rsidRPr="00B32BDE" w:rsidRDefault="006906A7" w:rsidP="006906A7">
      <w:pPr>
        <w:spacing w:line="480" w:lineRule="auto"/>
        <w:ind w:firstLine="720"/>
        <w:jc w:val="both"/>
        <w:rPr>
          <w:sz w:val="28"/>
          <w:szCs w:val="28"/>
        </w:rPr>
      </w:pPr>
      <w:r w:rsidRPr="00B32BDE">
        <w:rPr>
          <w:sz w:val="28"/>
          <w:szCs w:val="28"/>
        </w:rPr>
        <w:t xml:space="preserve">Rule 37(A)’s reference to the A.R.S. § 14-5103(A) “exceptions” for the requirement of judicial approval of minors’ personal injury and wrongful death settlements was confusing because the statute does not describe any exceptions.  Moreover, the statute’s reference to the payment of settlement proceeds “in amounts not exceeding $10,000.00” has led some lawyers and insurance adjusters to incorrectly believe the settlement of a minor’s personal injury or wrongful death claim in an amount of $10,000.00 or less is binding without court approval. </w:t>
      </w:r>
    </w:p>
    <w:p w:rsidR="006906A7" w:rsidRPr="00B32BDE" w:rsidRDefault="006906A7" w:rsidP="00B32BDE">
      <w:pPr>
        <w:spacing w:line="480" w:lineRule="auto"/>
        <w:ind w:firstLine="720"/>
        <w:jc w:val="both"/>
        <w:rPr>
          <w:sz w:val="28"/>
          <w:szCs w:val="28"/>
        </w:rPr>
      </w:pPr>
      <w:r w:rsidRPr="00B32BDE">
        <w:rPr>
          <w:sz w:val="28"/>
          <w:szCs w:val="28"/>
        </w:rPr>
        <w:t xml:space="preserve">The Court of Appeals squarely addressed the issue </w:t>
      </w:r>
      <w:r w:rsidRPr="00B32BDE">
        <w:rPr>
          <w:i/>
          <w:sz w:val="28"/>
          <w:szCs w:val="28"/>
        </w:rPr>
        <w:t>Gomez v. Maricopa County</w:t>
      </w:r>
      <w:r w:rsidRPr="00B32BDE">
        <w:rPr>
          <w:sz w:val="28"/>
          <w:szCs w:val="28"/>
        </w:rPr>
        <w:t xml:space="preserve">, 175 Ariz. 469, 473, 857 P.2d 1323, 1327 (App. 1993) holding A.R.S. § 14-5103 “is not relevant to the correct procedure for entering into a binding settlement of a minor’s wrongful death claim and does not dispense with the need for apportionment of a guardian or approval by the court to compromise the minor’s claim.”  Unfortunately, following </w:t>
      </w:r>
      <w:r w:rsidRPr="00B32BDE">
        <w:rPr>
          <w:i/>
          <w:sz w:val="28"/>
          <w:szCs w:val="28"/>
        </w:rPr>
        <w:t xml:space="preserve">Gomez, </w:t>
      </w:r>
      <w:r w:rsidRPr="00B32BDE">
        <w:rPr>
          <w:sz w:val="28"/>
          <w:szCs w:val="28"/>
        </w:rPr>
        <w:t>Rule 37(A) was never amended to eliminate reference to the statute and the misconception continues.</w:t>
      </w:r>
    </w:p>
    <w:p w:rsidR="006906A7" w:rsidRPr="00B32BDE" w:rsidRDefault="006906A7" w:rsidP="006906A7">
      <w:pPr>
        <w:spacing w:line="480" w:lineRule="auto"/>
        <w:ind w:firstLine="720"/>
        <w:jc w:val="both"/>
        <w:rPr>
          <w:sz w:val="28"/>
          <w:szCs w:val="28"/>
        </w:rPr>
      </w:pPr>
      <w:r w:rsidRPr="00B32BDE">
        <w:rPr>
          <w:sz w:val="28"/>
          <w:szCs w:val="28"/>
        </w:rPr>
        <w:t xml:space="preserve">Now, Probate Rule 53 essentially codifies </w:t>
      </w:r>
      <w:r w:rsidRPr="00B32BDE">
        <w:rPr>
          <w:i/>
          <w:sz w:val="28"/>
          <w:szCs w:val="28"/>
        </w:rPr>
        <w:t>Gomez,</w:t>
      </w:r>
      <w:r w:rsidRPr="00B32BDE">
        <w:rPr>
          <w:sz w:val="28"/>
          <w:szCs w:val="28"/>
        </w:rPr>
        <w:t xml:space="preserve"> providing:</w:t>
      </w:r>
    </w:p>
    <w:p w:rsidR="006906A7" w:rsidRPr="00B32BDE" w:rsidRDefault="006906A7" w:rsidP="006906A7">
      <w:pPr>
        <w:spacing w:line="235" w:lineRule="exact"/>
        <w:ind w:left="1440" w:right="1613"/>
        <w:jc w:val="both"/>
        <w:rPr>
          <w:b/>
          <w:sz w:val="28"/>
          <w:szCs w:val="28"/>
        </w:rPr>
      </w:pPr>
      <w:r w:rsidRPr="00B32BDE">
        <w:rPr>
          <w:b/>
          <w:sz w:val="28"/>
          <w:szCs w:val="28"/>
        </w:rPr>
        <w:t>Rule 53. Settlements of Claims for Minors and Adults in Need of Protection</w:t>
      </w:r>
    </w:p>
    <w:p w:rsidR="006906A7" w:rsidRPr="00B32BDE" w:rsidRDefault="006906A7" w:rsidP="006906A7">
      <w:pPr>
        <w:spacing w:line="235" w:lineRule="exact"/>
        <w:ind w:left="1440" w:right="1613"/>
        <w:jc w:val="both"/>
        <w:rPr>
          <w:b/>
          <w:sz w:val="28"/>
          <w:szCs w:val="28"/>
        </w:rPr>
      </w:pPr>
    </w:p>
    <w:p w:rsidR="006906A7" w:rsidRPr="00B32BDE" w:rsidRDefault="006906A7" w:rsidP="006906A7">
      <w:pPr>
        <w:spacing w:line="235" w:lineRule="exact"/>
        <w:ind w:left="1440" w:right="1613"/>
        <w:jc w:val="both"/>
        <w:rPr>
          <w:sz w:val="28"/>
          <w:szCs w:val="28"/>
        </w:rPr>
      </w:pPr>
      <w:r w:rsidRPr="00B32BDE">
        <w:rPr>
          <w:b/>
          <w:sz w:val="28"/>
          <w:szCs w:val="28"/>
        </w:rPr>
        <w:t>(a) Court Approval</w:t>
      </w:r>
      <w:r w:rsidRPr="00B32BDE">
        <w:rPr>
          <w:sz w:val="28"/>
          <w:szCs w:val="28"/>
        </w:rPr>
        <w:t>.</w:t>
      </w:r>
    </w:p>
    <w:p w:rsidR="006906A7" w:rsidRPr="00B32BDE" w:rsidRDefault="006906A7" w:rsidP="006906A7">
      <w:pPr>
        <w:spacing w:line="235" w:lineRule="exact"/>
        <w:ind w:left="1440" w:right="1613"/>
        <w:jc w:val="both"/>
        <w:rPr>
          <w:sz w:val="28"/>
          <w:szCs w:val="28"/>
        </w:rPr>
      </w:pPr>
    </w:p>
    <w:p w:rsidR="006906A7" w:rsidRPr="00B32BDE" w:rsidRDefault="006906A7" w:rsidP="006906A7">
      <w:pPr>
        <w:spacing w:line="235" w:lineRule="exact"/>
        <w:ind w:left="1440" w:right="1613"/>
        <w:jc w:val="both"/>
        <w:rPr>
          <w:sz w:val="28"/>
          <w:szCs w:val="28"/>
        </w:rPr>
      </w:pPr>
      <w:r w:rsidRPr="00B32BDE">
        <w:rPr>
          <w:b/>
          <w:sz w:val="28"/>
          <w:szCs w:val="28"/>
        </w:rPr>
        <w:t>(1)</w:t>
      </w:r>
      <w:r w:rsidRPr="00B32BDE">
        <w:rPr>
          <w:sz w:val="28"/>
          <w:szCs w:val="28"/>
        </w:rPr>
        <w:tab/>
      </w:r>
      <w:r w:rsidRPr="00B32BDE">
        <w:rPr>
          <w:b/>
          <w:i/>
          <w:sz w:val="28"/>
          <w:szCs w:val="28"/>
        </w:rPr>
        <w:t>When Required</w:t>
      </w:r>
      <w:r w:rsidRPr="00B32BDE">
        <w:rPr>
          <w:sz w:val="28"/>
          <w:szCs w:val="28"/>
        </w:rPr>
        <w:t xml:space="preserve">. Except as provided in subpart (a)(2), </w:t>
      </w:r>
      <w:r w:rsidRPr="00B32BDE">
        <w:rPr>
          <w:b/>
          <w:sz w:val="28"/>
          <w:szCs w:val="28"/>
        </w:rPr>
        <w:t>no settlement of a claim brought on behalf of a minor</w:t>
      </w:r>
      <w:r w:rsidRPr="00B32BDE">
        <w:rPr>
          <w:sz w:val="28"/>
          <w:szCs w:val="28"/>
        </w:rPr>
        <w:t xml:space="preserve"> or an adult in need of protection is binding on the minor or the adult in need of protection </w:t>
      </w:r>
      <w:r w:rsidRPr="00B32BDE">
        <w:rPr>
          <w:b/>
          <w:sz w:val="28"/>
          <w:szCs w:val="28"/>
        </w:rPr>
        <w:t>unless it is approved by a judicial officer.</w:t>
      </w:r>
      <w:r w:rsidRPr="00B32BDE">
        <w:rPr>
          <w:sz w:val="28"/>
          <w:szCs w:val="28"/>
        </w:rPr>
        <w:t xml:space="preserve"> If the court approves the settlement, it may authorize the execution of appropriate releases of liability.</w:t>
      </w:r>
    </w:p>
    <w:p w:rsidR="006906A7" w:rsidRPr="00B32BDE" w:rsidRDefault="006906A7" w:rsidP="006906A7">
      <w:pPr>
        <w:spacing w:line="235" w:lineRule="exact"/>
        <w:ind w:left="1440" w:right="1613"/>
        <w:jc w:val="both"/>
        <w:rPr>
          <w:sz w:val="28"/>
          <w:szCs w:val="28"/>
        </w:rPr>
      </w:pPr>
    </w:p>
    <w:p w:rsidR="006906A7" w:rsidRPr="00B32BDE" w:rsidRDefault="006906A7" w:rsidP="006906A7">
      <w:pPr>
        <w:spacing w:line="235" w:lineRule="exact"/>
        <w:ind w:left="1440" w:right="1613"/>
        <w:jc w:val="both"/>
        <w:rPr>
          <w:sz w:val="28"/>
          <w:szCs w:val="28"/>
        </w:rPr>
      </w:pPr>
      <w:r w:rsidRPr="00B32BDE">
        <w:rPr>
          <w:b/>
          <w:sz w:val="28"/>
          <w:szCs w:val="28"/>
        </w:rPr>
        <w:t>(2)</w:t>
      </w:r>
      <w:r w:rsidRPr="00B32BDE">
        <w:rPr>
          <w:sz w:val="28"/>
          <w:szCs w:val="28"/>
        </w:rPr>
        <w:tab/>
      </w:r>
      <w:r w:rsidRPr="00B32BDE">
        <w:rPr>
          <w:b/>
          <w:i/>
          <w:sz w:val="28"/>
          <w:szCs w:val="28"/>
        </w:rPr>
        <w:t>When Not Required</w:t>
      </w:r>
      <w:r w:rsidRPr="00B32BDE">
        <w:rPr>
          <w:sz w:val="28"/>
          <w:szCs w:val="28"/>
        </w:rPr>
        <w:t>. Under A.R.S. § 14-5424(C)(19), a conservator may enter into a binding settlement of claims not involving personal injury or wrongful death without court approval.</w:t>
      </w:r>
    </w:p>
    <w:p w:rsidR="006906A7" w:rsidRPr="00B32BDE" w:rsidRDefault="006906A7" w:rsidP="006906A7">
      <w:pPr>
        <w:spacing w:line="235" w:lineRule="exact"/>
        <w:ind w:left="1440" w:right="1613"/>
        <w:jc w:val="both"/>
        <w:rPr>
          <w:sz w:val="28"/>
          <w:szCs w:val="28"/>
        </w:rPr>
      </w:pPr>
    </w:p>
    <w:p w:rsidR="006906A7" w:rsidRPr="00B32BDE" w:rsidRDefault="006906A7" w:rsidP="006906A7">
      <w:pPr>
        <w:spacing w:line="235" w:lineRule="exact"/>
        <w:ind w:left="1440" w:right="1613"/>
        <w:jc w:val="both"/>
        <w:rPr>
          <w:b/>
          <w:sz w:val="28"/>
          <w:szCs w:val="28"/>
        </w:rPr>
      </w:pPr>
      <w:r w:rsidRPr="00B32BDE">
        <w:rPr>
          <w:b/>
          <w:sz w:val="28"/>
          <w:szCs w:val="28"/>
        </w:rPr>
        <w:t>(b) Who May Approve.</w:t>
      </w:r>
    </w:p>
    <w:p w:rsidR="006906A7" w:rsidRPr="00B32BDE" w:rsidRDefault="006906A7" w:rsidP="006906A7">
      <w:pPr>
        <w:spacing w:line="235" w:lineRule="exact"/>
        <w:ind w:left="1440" w:right="1613"/>
        <w:jc w:val="both"/>
        <w:rPr>
          <w:sz w:val="28"/>
          <w:szCs w:val="28"/>
        </w:rPr>
      </w:pPr>
    </w:p>
    <w:p w:rsidR="006906A7" w:rsidRPr="00B32BDE" w:rsidRDefault="006906A7" w:rsidP="006906A7">
      <w:pPr>
        <w:spacing w:line="235" w:lineRule="exact"/>
        <w:ind w:left="1440" w:right="1613"/>
        <w:jc w:val="both"/>
        <w:rPr>
          <w:sz w:val="28"/>
          <w:szCs w:val="28"/>
        </w:rPr>
      </w:pPr>
      <w:r w:rsidRPr="00B32BDE">
        <w:rPr>
          <w:b/>
          <w:sz w:val="28"/>
          <w:szCs w:val="28"/>
        </w:rPr>
        <w:t>(1)</w:t>
      </w:r>
      <w:r w:rsidRPr="00B32BDE">
        <w:rPr>
          <w:sz w:val="28"/>
          <w:szCs w:val="28"/>
        </w:rPr>
        <w:tab/>
      </w:r>
      <w:r w:rsidRPr="00B32BDE">
        <w:rPr>
          <w:b/>
          <w:i/>
          <w:sz w:val="28"/>
          <w:szCs w:val="28"/>
        </w:rPr>
        <w:t>Claims of Minors</w:t>
      </w:r>
      <w:r w:rsidRPr="00B32BDE">
        <w:rPr>
          <w:b/>
          <w:sz w:val="28"/>
          <w:szCs w:val="28"/>
        </w:rPr>
        <w:t>.</w:t>
      </w:r>
      <w:r w:rsidRPr="00B32BDE">
        <w:rPr>
          <w:sz w:val="28"/>
          <w:szCs w:val="28"/>
        </w:rPr>
        <w:t xml:space="preserve"> Any superior court judge or judge pro </w:t>
      </w:r>
      <w:proofErr w:type="spellStart"/>
      <w:r w:rsidRPr="00B32BDE">
        <w:rPr>
          <w:sz w:val="28"/>
          <w:szCs w:val="28"/>
        </w:rPr>
        <w:t>tem</w:t>
      </w:r>
      <w:proofErr w:type="spellEnd"/>
      <w:r w:rsidRPr="00B32BDE">
        <w:rPr>
          <w:sz w:val="28"/>
          <w:szCs w:val="28"/>
        </w:rPr>
        <w:t xml:space="preserve"> may approve the settlement of a minor's claim if the settlement does not exceed $10,000. If the settlement exceeds $10,000, it must be approved by a superior court judge or judge </w:t>
      </w:r>
      <w:r w:rsidRPr="00B32BDE">
        <w:rPr>
          <w:i/>
          <w:sz w:val="28"/>
          <w:szCs w:val="28"/>
        </w:rPr>
        <w:t xml:space="preserve">pro </w:t>
      </w:r>
      <w:proofErr w:type="spellStart"/>
      <w:r w:rsidRPr="00B32BDE">
        <w:rPr>
          <w:i/>
          <w:sz w:val="28"/>
          <w:szCs w:val="28"/>
        </w:rPr>
        <w:t>tem</w:t>
      </w:r>
      <w:proofErr w:type="spellEnd"/>
      <w:r w:rsidRPr="00B32BDE">
        <w:rPr>
          <w:sz w:val="28"/>
          <w:szCs w:val="28"/>
        </w:rPr>
        <w:t xml:space="preserve"> in a probate proceeding under A.R.S. Title 14.</w:t>
      </w:r>
    </w:p>
    <w:p w:rsidR="006906A7" w:rsidRPr="00B32BDE" w:rsidRDefault="006906A7" w:rsidP="006906A7">
      <w:pPr>
        <w:spacing w:line="235" w:lineRule="exact"/>
        <w:ind w:left="1440" w:right="1613"/>
        <w:jc w:val="both"/>
        <w:rPr>
          <w:sz w:val="28"/>
          <w:szCs w:val="28"/>
        </w:rPr>
      </w:pPr>
    </w:p>
    <w:p w:rsidR="006906A7" w:rsidRPr="00B32BDE" w:rsidRDefault="006906A7" w:rsidP="006906A7">
      <w:pPr>
        <w:spacing w:line="235" w:lineRule="exact"/>
        <w:ind w:left="1440" w:right="1613"/>
        <w:jc w:val="both"/>
        <w:rPr>
          <w:sz w:val="28"/>
          <w:szCs w:val="28"/>
        </w:rPr>
      </w:pPr>
      <w:r w:rsidRPr="00B32BDE">
        <w:rPr>
          <w:b/>
          <w:sz w:val="28"/>
          <w:szCs w:val="28"/>
        </w:rPr>
        <w:t>(2)</w:t>
      </w:r>
      <w:r w:rsidRPr="00B32BDE">
        <w:rPr>
          <w:sz w:val="28"/>
          <w:szCs w:val="28"/>
        </w:rPr>
        <w:tab/>
      </w:r>
      <w:r w:rsidRPr="00B32BDE">
        <w:rPr>
          <w:b/>
          <w:i/>
          <w:sz w:val="28"/>
          <w:szCs w:val="28"/>
        </w:rPr>
        <w:t>Claims of Adults in Need of Protection</w:t>
      </w:r>
      <w:r w:rsidRPr="00B32BDE">
        <w:rPr>
          <w:b/>
          <w:sz w:val="28"/>
          <w:szCs w:val="28"/>
        </w:rPr>
        <w:t>.</w:t>
      </w:r>
      <w:r w:rsidRPr="00B32BDE">
        <w:rPr>
          <w:sz w:val="28"/>
          <w:szCs w:val="28"/>
        </w:rPr>
        <w:t xml:space="preserve"> Any superior court judge or judge </w:t>
      </w:r>
      <w:r w:rsidRPr="00B32BDE">
        <w:rPr>
          <w:i/>
          <w:sz w:val="28"/>
          <w:szCs w:val="28"/>
        </w:rPr>
        <w:t xml:space="preserve">pro </w:t>
      </w:r>
      <w:proofErr w:type="spellStart"/>
      <w:r w:rsidRPr="00B32BDE">
        <w:rPr>
          <w:i/>
          <w:sz w:val="28"/>
          <w:szCs w:val="28"/>
        </w:rPr>
        <w:t>tem</w:t>
      </w:r>
      <w:proofErr w:type="spellEnd"/>
      <w:r w:rsidRPr="00B32BDE">
        <w:rPr>
          <w:sz w:val="28"/>
          <w:szCs w:val="28"/>
        </w:rPr>
        <w:t xml:space="preserve"> in a probate proceeding under A.R.S. Title 14 may approve the settlement of a claim brought on behalf of an adult in need of protection.</w:t>
      </w:r>
    </w:p>
    <w:p w:rsidR="006906A7" w:rsidRPr="00B32BDE" w:rsidRDefault="006906A7" w:rsidP="006906A7">
      <w:pPr>
        <w:spacing w:line="235" w:lineRule="exact"/>
        <w:ind w:right="1613"/>
        <w:jc w:val="both"/>
        <w:rPr>
          <w:b/>
          <w:sz w:val="28"/>
          <w:szCs w:val="28"/>
        </w:rPr>
      </w:pPr>
    </w:p>
    <w:p w:rsidR="006906A7" w:rsidRPr="00B32BDE" w:rsidRDefault="006906A7" w:rsidP="006906A7">
      <w:pPr>
        <w:spacing w:line="235" w:lineRule="exact"/>
        <w:ind w:right="1613"/>
        <w:jc w:val="both"/>
        <w:rPr>
          <w:b/>
          <w:sz w:val="28"/>
          <w:szCs w:val="28"/>
        </w:rPr>
      </w:pPr>
    </w:p>
    <w:p w:rsidR="006906A7" w:rsidRPr="00B32BDE" w:rsidRDefault="006906A7" w:rsidP="006906A7">
      <w:pPr>
        <w:spacing w:line="480" w:lineRule="auto"/>
        <w:jc w:val="both"/>
        <w:rPr>
          <w:i/>
          <w:sz w:val="28"/>
          <w:szCs w:val="28"/>
        </w:rPr>
      </w:pPr>
      <w:r w:rsidRPr="00B32BDE">
        <w:rPr>
          <w:sz w:val="28"/>
          <w:szCs w:val="28"/>
        </w:rPr>
        <w:t>(Emphasis added.)   By eliminating the confusing and superfluous reference to A.R.S. § 14-5103, Rule 53 makes clear no settlement of a minor’s personal injury or wrongful death claim is binding without judicial approval</w:t>
      </w:r>
      <w:r w:rsidRPr="00B32BDE">
        <w:rPr>
          <w:i/>
          <w:sz w:val="28"/>
          <w:szCs w:val="28"/>
        </w:rPr>
        <w:t xml:space="preserve">.  </w:t>
      </w:r>
    </w:p>
    <w:p w:rsidR="006906A7" w:rsidRPr="00B32BDE" w:rsidRDefault="006906A7" w:rsidP="006906A7">
      <w:pPr>
        <w:spacing w:line="480" w:lineRule="auto"/>
        <w:jc w:val="center"/>
        <w:rPr>
          <w:b/>
          <w:sz w:val="28"/>
          <w:szCs w:val="28"/>
          <w:u w:val="single"/>
        </w:rPr>
      </w:pPr>
      <w:r w:rsidRPr="00B32BDE">
        <w:rPr>
          <w:b/>
          <w:sz w:val="28"/>
          <w:szCs w:val="28"/>
          <w:u w:val="single"/>
        </w:rPr>
        <w:t>Rule 16.3 Will Reduce Confusion about Settlement Procedures</w:t>
      </w:r>
    </w:p>
    <w:p w:rsidR="006906A7" w:rsidRPr="00B32BDE" w:rsidRDefault="006906A7" w:rsidP="006906A7">
      <w:pPr>
        <w:spacing w:line="480" w:lineRule="auto"/>
        <w:ind w:firstLine="720"/>
        <w:jc w:val="both"/>
        <w:rPr>
          <w:sz w:val="28"/>
          <w:szCs w:val="28"/>
        </w:rPr>
      </w:pPr>
      <w:r w:rsidRPr="00B32BDE">
        <w:rPr>
          <w:sz w:val="28"/>
          <w:szCs w:val="28"/>
        </w:rPr>
        <w:t>Rule 16.3 would be located following Rules 16.1 and 16.2, all of which govern settlements.  The placement of Rule 16.3 among those rules, along with the direction it provides to Probate Rule 53, will help dispel the current misunderstandings about the law governing minors’ settlements.</w:t>
      </w:r>
    </w:p>
    <w:p w:rsidR="006906A7" w:rsidRPr="00B32BDE" w:rsidRDefault="006906A7" w:rsidP="006906A7">
      <w:pPr>
        <w:spacing w:line="480" w:lineRule="auto"/>
        <w:jc w:val="center"/>
        <w:rPr>
          <w:b/>
          <w:sz w:val="28"/>
          <w:szCs w:val="28"/>
          <w:u w:val="single"/>
        </w:rPr>
      </w:pPr>
      <w:r w:rsidRPr="00B32BDE">
        <w:rPr>
          <w:b/>
          <w:sz w:val="28"/>
          <w:szCs w:val="28"/>
          <w:u w:val="single"/>
        </w:rPr>
        <w:t>Rule 16. 3 Will Protect Minors’ Settlement Interests</w:t>
      </w:r>
    </w:p>
    <w:p w:rsidR="006906A7" w:rsidRPr="00B32BDE" w:rsidRDefault="006906A7" w:rsidP="006906A7">
      <w:pPr>
        <w:spacing w:line="480" w:lineRule="auto"/>
        <w:jc w:val="both"/>
        <w:rPr>
          <w:color w:val="000000"/>
          <w:sz w:val="28"/>
          <w:szCs w:val="28"/>
        </w:rPr>
      </w:pPr>
      <w:r w:rsidRPr="00B32BDE">
        <w:rPr>
          <w:sz w:val="28"/>
          <w:szCs w:val="28"/>
          <w:u w:val="single"/>
        </w:rPr>
        <w:softHyphen/>
      </w:r>
      <w:r w:rsidRPr="00B32BDE">
        <w:rPr>
          <w:sz w:val="28"/>
          <w:szCs w:val="28"/>
        </w:rPr>
        <w:tab/>
      </w:r>
      <w:r w:rsidRPr="00B32BDE">
        <w:rPr>
          <w:color w:val="000000"/>
          <w:sz w:val="28"/>
          <w:szCs w:val="28"/>
        </w:rPr>
        <w:t xml:space="preserve"> Unfortunately, there is no way to prevent parties from entering into the nonbinding settlement of a minor’s claim, and it happens with some frequency for a variety of reasons.  When a minor's personal injury or wrongful death claim is settled without judicial approval, the settlement proceeds are generally given to the minor's parents without restriction.  The parents are then free to manage, or mismanage, the settlement proceeds however they want.   If the money is misspent, the minor may never know they had a claim or that there was even a settlement.  </w:t>
      </w:r>
    </w:p>
    <w:p w:rsidR="006906A7" w:rsidRPr="00B32BDE" w:rsidRDefault="006906A7" w:rsidP="006906A7">
      <w:pPr>
        <w:spacing w:line="480" w:lineRule="auto"/>
        <w:ind w:firstLine="720"/>
        <w:jc w:val="both"/>
        <w:rPr>
          <w:color w:val="000000"/>
          <w:sz w:val="28"/>
          <w:szCs w:val="28"/>
        </w:rPr>
      </w:pPr>
      <w:r w:rsidRPr="00B32BDE">
        <w:rPr>
          <w:color w:val="000000"/>
          <w:sz w:val="28"/>
          <w:szCs w:val="28"/>
        </w:rPr>
        <w:t xml:space="preserve">When a court is involved, </w:t>
      </w:r>
      <w:proofErr w:type="gramStart"/>
      <w:r w:rsidRPr="00B32BDE">
        <w:rPr>
          <w:color w:val="000000"/>
          <w:sz w:val="28"/>
          <w:szCs w:val="28"/>
        </w:rPr>
        <w:t>more often than not</w:t>
      </w:r>
      <w:proofErr w:type="gramEnd"/>
      <w:r w:rsidRPr="00B32BDE">
        <w:rPr>
          <w:color w:val="000000"/>
          <w:sz w:val="28"/>
          <w:szCs w:val="28"/>
        </w:rPr>
        <w:t xml:space="preserve"> it will require even small amounts to be placed in a restricted savings account, or some other protected investment vehicle, until after the minor turns 18.  Judicial oversight of a minor’s settlement ensures any decisions about the use of the settlement money is made in a minor’s best interest.   </w:t>
      </w:r>
    </w:p>
    <w:p w:rsidR="006906A7" w:rsidRPr="00B32BDE" w:rsidRDefault="006906A7" w:rsidP="006906A7">
      <w:pPr>
        <w:spacing w:line="480" w:lineRule="auto"/>
        <w:ind w:firstLine="720"/>
        <w:jc w:val="both"/>
        <w:rPr>
          <w:color w:val="000000"/>
          <w:sz w:val="28"/>
          <w:szCs w:val="28"/>
        </w:rPr>
      </w:pPr>
      <w:r w:rsidRPr="00B32BDE">
        <w:rPr>
          <w:color w:val="000000"/>
          <w:sz w:val="28"/>
          <w:szCs w:val="28"/>
        </w:rPr>
        <w:t>Rule 16.3 acts as a signpost directing practitioners to the requirements Probate Rule 53, providing better notice that exposure to a minor’s claim for personal injury or wrongful death is not extinguished by a settlement which is not judicially approved.  This should encourage parties to seek court approval of settlements more frequently resulting in greater protections to the minor.</w:t>
      </w:r>
    </w:p>
    <w:p w:rsidR="00DE7F1C" w:rsidRPr="00B32BDE" w:rsidRDefault="00DE7F1C" w:rsidP="00B32BDE">
      <w:pPr>
        <w:pStyle w:val="BodyText"/>
        <w:spacing w:before="300" w:after="0" w:line="480" w:lineRule="auto"/>
        <w:ind w:firstLine="720"/>
        <w:jc w:val="center"/>
        <w:rPr>
          <w:b/>
          <w:sz w:val="28"/>
          <w:szCs w:val="28"/>
        </w:rPr>
      </w:pPr>
      <w:r w:rsidRPr="00B32BDE">
        <w:rPr>
          <w:b/>
          <w:sz w:val="28"/>
          <w:szCs w:val="28"/>
        </w:rPr>
        <w:t>CONCLUSION</w:t>
      </w:r>
    </w:p>
    <w:p w:rsidR="00B32BDE" w:rsidRDefault="00B32BDE" w:rsidP="00B32BDE">
      <w:pPr>
        <w:pStyle w:val="Body"/>
        <w:widowControl w:val="0"/>
        <w:tabs>
          <w:tab w:val="left" w:pos="720"/>
        </w:tabs>
        <w:spacing w:line="480" w:lineRule="auto"/>
        <w:ind w:firstLine="0"/>
        <w:jc w:val="both"/>
        <w:rPr>
          <w:sz w:val="28"/>
          <w:szCs w:val="28"/>
        </w:rPr>
      </w:pPr>
      <w:r>
        <w:rPr>
          <w:sz w:val="28"/>
          <w:szCs w:val="28"/>
        </w:rPr>
        <w:tab/>
      </w:r>
      <w:r w:rsidRPr="00B32BDE">
        <w:rPr>
          <w:sz w:val="28"/>
          <w:szCs w:val="28"/>
        </w:rPr>
        <w:t xml:space="preserve">Confusion about the procedures for settling minors’ personal injury and wrongful death claims, especially among those who may not regularly consult the Arizona Rules of Probate Procedure, is likely to persist.  Rule 16.3 will reduce confusion, helping eliminate what could be a trap for the unwary and increase protections for settlement proceeds paid for the benefit of minors.  </w:t>
      </w:r>
    </w:p>
    <w:p w:rsidR="00B32BDE" w:rsidRDefault="00B32BDE" w:rsidP="00B32BDE">
      <w:pPr>
        <w:pStyle w:val="Body"/>
        <w:widowControl w:val="0"/>
        <w:tabs>
          <w:tab w:val="left" w:pos="720"/>
        </w:tabs>
        <w:spacing w:line="480" w:lineRule="auto"/>
        <w:ind w:firstLine="0"/>
        <w:jc w:val="both"/>
        <w:rPr>
          <w:sz w:val="28"/>
          <w:szCs w:val="28"/>
        </w:rPr>
      </w:pPr>
      <w:r>
        <w:rPr>
          <w:sz w:val="28"/>
          <w:szCs w:val="28"/>
        </w:rPr>
        <w:tab/>
      </w:r>
      <w:r w:rsidRPr="00B32BDE">
        <w:rPr>
          <w:sz w:val="28"/>
          <w:szCs w:val="28"/>
        </w:rPr>
        <w:t xml:space="preserve">A previous iteration of Rule 16.3 was abrogated on August 31, 2017.  The abrogation became effective on July 1, 2018.  There is no reported Arizona case addressing the application of the abrogated version of Rule 16.3, therefore, proposed new Rule 16.3 should not create any conflict or confusion in the case law. </w:t>
      </w:r>
    </w:p>
    <w:p w:rsidR="00B32BDE" w:rsidRDefault="00B32BDE" w:rsidP="00B32BDE">
      <w:pPr>
        <w:pStyle w:val="Body"/>
        <w:widowControl w:val="0"/>
        <w:tabs>
          <w:tab w:val="left" w:pos="720"/>
        </w:tabs>
        <w:spacing w:line="480" w:lineRule="auto"/>
        <w:ind w:firstLine="0"/>
        <w:jc w:val="both"/>
        <w:rPr>
          <w:sz w:val="28"/>
          <w:szCs w:val="28"/>
        </w:rPr>
      </w:pPr>
      <w:r>
        <w:rPr>
          <w:sz w:val="28"/>
          <w:szCs w:val="28"/>
        </w:rPr>
        <w:tab/>
      </w:r>
      <w:r w:rsidRPr="00B32BDE">
        <w:rPr>
          <w:sz w:val="28"/>
          <w:szCs w:val="28"/>
        </w:rPr>
        <w:t>For the foregoing reasons, the State Bar respectfully petitions this Court to adopt Rule 16.3 as set forth in the attached Appendix.</w:t>
      </w:r>
    </w:p>
    <w:p w:rsidR="000C48A9" w:rsidRPr="00B32BDE" w:rsidRDefault="006F63FD" w:rsidP="000C48A9">
      <w:pPr>
        <w:pStyle w:val="Body"/>
        <w:widowControl w:val="0"/>
        <w:tabs>
          <w:tab w:val="left" w:pos="720"/>
        </w:tabs>
        <w:ind w:firstLine="0"/>
        <w:rPr>
          <w:sz w:val="28"/>
          <w:szCs w:val="28"/>
        </w:rPr>
      </w:pPr>
      <w:r w:rsidRPr="00B32BDE">
        <w:rPr>
          <w:sz w:val="28"/>
          <w:szCs w:val="28"/>
        </w:rPr>
        <w:t xml:space="preserve">       </w:t>
      </w:r>
      <w:r w:rsidR="00CC2BDA">
        <w:rPr>
          <w:sz w:val="28"/>
          <w:szCs w:val="28"/>
        </w:rPr>
        <w:tab/>
      </w:r>
      <w:r w:rsidR="000C48A9" w:rsidRPr="00B32BDE">
        <w:rPr>
          <w:sz w:val="28"/>
          <w:szCs w:val="28"/>
        </w:rPr>
        <w:t>RESPECTFULLY SUBMITTED this ____day of____________</w:t>
      </w:r>
      <w:r w:rsidR="000F7A7F" w:rsidRPr="00B32BDE">
        <w:rPr>
          <w:sz w:val="28"/>
          <w:szCs w:val="28"/>
        </w:rPr>
        <w:t>____</w:t>
      </w:r>
      <w:r w:rsidR="00D60D9B" w:rsidRPr="00B32BDE">
        <w:rPr>
          <w:sz w:val="28"/>
          <w:szCs w:val="28"/>
        </w:rPr>
        <w:t>, 20</w:t>
      </w:r>
      <w:r w:rsidR="005845AE" w:rsidRPr="00B32BDE">
        <w:rPr>
          <w:sz w:val="28"/>
          <w:szCs w:val="28"/>
        </w:rPr>
        <w:t>20</w:t>
      </w:r>
      <w:r w:rsidR="000C48A9" w:rsidRPr="00B32BDE">
        <w:rPr>
          <w:sz w:val="28"/>
          <w:szCs w:val="28"/>
        </w:rPr>
        <w:t>.</w:t>
      </w:r>
    </w:p>
    <w:p w:rsidR="000C48A9" w:rsidRPr="00B32BDE" w:rsidRDefault="000C48A9" w:rsidP="000C48A9">
      <w:pPr>
        <w:pStyle w:val="Body"/>
        <w:widowControl w:val="0"/>
        <w:tabs>
          <w:tab w:val="left" w:pos="720"/>
        </w:tabs>
        <w:ind w:firstLine="0"/>
        <w:rPr>
          <w:sz w:val="28"/>
          <w:szCs w:val="28"/>
        </w:rPr>
      </w:pPr>
    </w:p>
    <w:p w:rsidR="000C48A9" w:rsidRPr="00B32BDE" w:rsidRDefault="000C48A9" w:rsidP="000C48A9">
      <w:pPr>
        <w:pStyle w:val="Body"/>
        <w:widowControl w:val="0"/>
        <w:tabs>
          <w:tab w:val="left" w:pos="720"/>
        </w:tabs>
        <w:ind w:firstLine="0"/>
        <w:rPr>
          <w:sz w:val="28"/>
          <w:szCs w:val="28"/>
        </w:rPr>
      </w:pPr>
    </w:p>
    <w:p w:rsidR="000C48A9" w:rsidRPr="00B32BDE" w:rsidRDefault="00F850BE" w:rsidP="000C48A9">
      <w:pPr>
        <w:pStyle w:val="PleadingSignature"/>
        <w:keepNext w:val="0"/>
        <w:keepLines w:val="0"/>
        <w:pBdr>
          <w:top w:val="single" w:sz="4" w:space="1" w:color="auto"/>
        </w:pBdr>
        <w:spacing w:line="240" w:lineRule="auto"/>
        <w:ind w:left="5070"/>
        <w:rPr>
          <w:sz w:val="28"/>
          <w:szCs w:val="28"/>
        </w:rPr>
      </w:pPr>
      <w:r w:rsidRPr="00B32BDE">
        <w:rPr>
          <w:sz w:val="28"/>
          <w:szCs w:val="28"/>
        </w:rPr>
        <w:t>Lisa M. Panahi</w:t>
      </w:r>
    </w:p>
    <w:p w:rsidR="000C48A9" w:rsidRPr="00B32BDE" w:rsidRDefault="000C48A9" w:rsidP="000C48A9">
      <w:pPr>
        <w:pStyle w:val="PleadingSignature"/>
        <w:keepNext w:val="0"/>
        <w:keepLines w:val="0"/>
        <w:spacing w:line="240" w:lineRule="auto"/>
        <w:ind w:left="5070"/>
        <w:rPr>
          <w:sz w:val="28"/>
          <w:szCs w:val="28"/>
        </w:rPr>
      </w:pPr>
      <w:r w:rsidRPr="00B32BDE">
        <w:rPr>
          <w:sz w:val="28"/>
          <w:szCs w:val="28"/>
        </w:rPr>
        <w:t>General Counsel</w:t>
      </w:r>
    </w:p>
    <w:p w:rsidR="000C48A9" w:rsidRPr="00B32BDE" w:rsidRDefault="000C48A9" w:rsidP="000C48A9">
      <w:pPr>
        <w:pStyle w:val="PleadingSignature"/>
        <w:keepNext w:val="0"/>
        <w:keepLines w:val="0"/>
        <w:spacing w:line="240" w:lineRule="auto"/>
        <w:ind w:left="5070"/>
        <w:rPr>
          <w:sz w:val="28"/>
          <w:szCs w:val="28"/>
        </w:rPr>
      </w:pPr>
    </w:p>
    <w:p w:rsidR="000C48A9" w:rsidRPr="00B32BDE" w:rsidRDefault="000C48A9" w:rsidP="000C48A9">
      <w:pPr>
        <w:pStyle w:val="PleadingSignature"/>
        <w:keepNext w:val="0"/>
        <w:keepLines w:val="0"/>
        <w:spacing w:line="240" w:lineRule="auto"/>
        <w:ind w:left="5070"/>
        <w:rPr>
          <w:sz w:val="28"/>
          <w:szCs w:val="28"/>
        </w:rPr>
      </w:pPr>
    </w:p>
    <w:p w:rsidR="00C52E56" w:rsidRPr="00B32BDE" w:rsidRDefault="00C52E56" w:rsidP="004331B2">
      <w:pPr>
        <w:widowControl w:val="0"/>
        <w:spacing w:line="240" w:lineRule="auto"/>
        <w:ind w:right="4140"/>
        <w:rPr>
          <w:sz w:val="28"/>
          <w:szCs w:val="28"/>
        </w:rPr>
      </w:pPr>
    </w:p>
    <w:p w:rsidR="00C52E56" w:rsidRPr="00B32BDE" w:rsidRDefault="00C52E56" w:rsidP="004331B2">
      <w:pPr>
        <w:widowControl w:val="0"/>
        <w:spacing w:line="240" w:lineRule="auto"/>
        <w:ind w:right="4140"/>
        <w:rPr>
          <w:sz w:val="28"/>
          <w:szCs w:val="28"/>
        </w:rPr>
      </w:pPr>
    </w:p>
    <w:p w:rsidR="000C48A9" w:rsidRPr="00B32BDE" w:rsidRDefault="000C48A9" w:rsidP="004331B2">
      <w:pPr>
        <w:widowControl w:val="0"/>
        <w:spacing w:line="240" w:lineRule="auto"/>
        <w:ind w:right="4140"/>
        <w:rPr>
          <w:sz w:val="28"/>
          <w:szCs w:val="28"/>
        </w:rPr>
      </w:pPr>
      <w:r w:rsidRPr="00B32BDE">
        <w:rPr>
          <w:sz w:val="28"/>
          <w:szCs w:val="28"/>
        </w:rPr>
        <w:t>Electronic copy filed with the</w:t>
      </w:r>
    </w:p>
    <w:p w:rsidR="000C48A9" w:rsidRPr="00B32BDE" w:rsidRDefault="000C48A9" w:rsidP="004331B2">
      <w:pPr>
        <w:spacing w:line="240" w:lineRule="auto"/>
        <w:ind w:right="4140"/>
        <w:rPr>
          <w:sz w:val="28"/>
          <w:szCs w:val="28"/>
        </w:rPr>
      </w:pPr>
      <w:r w:rsidRPr="00B32BDE">
        <w:rPr>
          <w:sz w:val="28"/>
          <w:szCs w:val="28"/>
        </w:rPr>
        <w:t xml:space="preserve">Clerk of the </w:t>
      </w:r>
      <w:r w:rsidR="00692391" w:rsidRPr="00B32BDE">
        <w:rPr>
          <w:sz w:val="28"/>
          <w:szCs w:val="28"/>
        </w:rPr>
        <w:t>Supreme Court of Arizona</w:t>
      </w:r>
    </w:p>
    <w:p w:rsidR="000C48A9" w:rsidRPr="00B32BDE" w:rsidRDefault="000C48A9" w:rsidP="00C52E56">
      <w:pPr>
        <w:tabs>
          <w:tab w:val="left" w:pos="4836"/>
        </w:tabs>
        <w:spacing w:line="240" w:lineRule="auto"/>
        <w:ind w:right="3870"/>
        <w:rPr>
          <w:sz w:val="28"/>
          <w:szCs w:val="28"/>
        </w:rPr>
      </w:pPr>
      <w:r w:rsidRPr="00B32BDE">
        <w:rPr>
          <w:sz w:val="28"/>
          <w:szCs w:val="28"/>
        </w:rPr>
        <w:t>t</w:t>
      </w:r>
      <w:r w:rsidR="000F7A7F" w:rsidRPr="00B32BDE">
        <w:rPr>
          <w:sz w:val="28"/>
          <w:szCs w:val="28"/>
        </w:rPr>
        <w:t>his _____ day of ________________</w:t>
      </w:r>
      <w:r w:rsidR="006F63FD" w:rsidRPr="00B32BDE">
        <w:rPr>
          <w:sz w:val="28"/>
          <w:szCs w:val="28"/>
        </w:rPr>
        <w:t xml:space="preserve">___, </w:t>
      </w:r>
      <w:r w:rsidR="00D60D9B" w:rsidRPr="00B32BDE">
        <w:rPr>
          <w:sz w:val="28"/>
          <w:szCs w:val="28"/>
        </w:rPr>
        <w:t>20</w:t>
      </w:r>
      <w:r w:rsidR="005845AE" w:rsidRPr="00B32BDE">
        <w:rPr>
          <w:sz w:val="28"/>
          <w:szCs w:val="28"/>
        </w:rPr>
        <w:t>20</w:t>
      </w:r>
      <w:r w:rsidR="000F7A7F" w:rsidRPr="00B32BDE">
        <w:rPr>
          <w:sz w:val="28"/>
          <w:szCs w:val="28"/>
        </w:rPr>
        <w:t>.</w:t>
      </w:r>
    </w:p>
    <w:p w:rsidR="00C04C0C" w:rsidRPr="00B32BDE" w:rsidRDefault="00C04C0C" w:rsidP="00C52E56">
      <w:pPr>
        <w:tabs>
          <w:tab w:val="left" w:pos="4836"/>
        </w:tabs>
        <w:spacing w:line="240" w:lineRule="auto"/>
        <w:ind w:right="3870"/>
        <w:rPr>
          <w:sz w:val="28"/>
          <w:szCs w:val="28"/>
        </w:rPr>
      </w:pPr>
    </w:p>
    <w:p w:rsidR="000F7A7F" w:rsidRPr="00B32BDE" w:rsidRDefault="000F7A7F" w:rsidP="000C48A9">
      <w:pPr>
        <w:spacing w:line="240" w:lineRule="auto"/>
        <w:ind w:right="4572"/>
        <w:rPr>
          <w:sz w:val="28"/>
          <w:szCs w:val="28"/>
        </w:rPr>
      </w:pPr>
    </w:p>
    <w:p w:rsidR="000C48A9" w:rsidRPr="00B32BDE" w:rsidRDefault="000C48A9" w:rsidP="000C48A9">
      <w:pPr>
        <w:spacing w:line="240" w:lineRule="auto"/>
        <w:ind w:right="4572"/>
        <w:rPr>
          <w:sz w:val="28"/>
          <w:szCs w:val="28"/>
        </w:rPr>
      </w:pPr>
      <w:r w:rsidRPr="00B32BDE">
        <w:rPr>
          <w:sz w:val="28"/>
          <w:szCs w:val="28"/>
        </w:rPr>
        <w:t>by: ___________________________</w:t>
      </w:r>
      <w:r w:rsidR="004331B2" w:rsidRPr="00B32BDE">
        <w:rPr>
          <w:sz w:val="28"/>
          <w:szCs w:val="28"/>
        </w:rPr>
        <w:t>____</w:t>
      </w:r>
      <w:r w:rsidRPr="00B32BDE">
        <w:rPr>
          <w:sz w:val="28"/>
          <w:szCs w:val="28"/>
        </w:rPr>
        <w:t xml:space="preserve"> </w:t>
      </w:r>
    </w:p>
    <w:p w:rsidR="00494BDF" w:rsidRPr="00B32BDE" w:rsidRDefault="00494BDF" w:rsidP="000C48A9">
      <w:pPr>
        <w:pStyle w:val="Body"/>
        <w:widowControl w:val="0"/>
        <w:ind w:firstLine="0"/>
        <w:jc w:val="both"/>
        <w:rPr>
          <w:sz w:val="28"/>
          <w:szCs w:val="28"/>
        </w:rPr>
      </w:pPr>
    </w:p>
    <w:p w:rsidR="00933EA1" w:rsidRPr="00B32BDE" w:rsidRDefault="00933EA1" w:rsidP="000F7C13">
      <w:pPr>
        <w:spacing w:line="240" w:lineRule="auto"/>
        <w:rPr>
          <w:strike/>
          <w:sz w:val="28"/>
          <w:szCs w:val="28"/>
        </w:rPr>
      </w:pPr>
    </w:p>
    <w:p w:rsidR="00933EA1" w:rsidRPr="00B32BDE" w:rsidRDefault="00933EA1" w:rsidP="00933EA1">
      <w:pPr>
        <w:rPr>
          <w:sz w:val="28"/>
          <w:szCs w:val="28"/>
        </w:rPr>
      </w:pPr>
    </w:p>
    <w:p w:rsidR="00052372" w:rsidRPr="00B32BDE" w:rsidRDefault="00052372" w:rsidP="00933EA1">
      <w:pPr>
        <w:tabs>
          <w:tab w:val="left" w:pos="8145"/>
        </w:tabs>
        <w:rPr>
          <w:sz w:val="28"/>
          <w:szCs w:val="28"/>
        </w:rPr>
      </w:pPr>
    </w:p>
    <w:sectPr w:rsidR="00052372" w:rsidRPr="00B32BDE"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 w:id="1">
    <w:p w:rsidR="006906A7" w:rsidRPr="006906A7" w:rsidRDefault="006906A7" w:rsidP="006906A7">
      <w:pPr>
        <w:pStyle w:val="FootnoteText"/>
        <w:jc w:val="both"/>
        <w:rPr>
          <w:sz w:val="28"/>
          <w:szCs w:val="28"/>
        </w:rPr>
      </w:pPr>
      <w:r w:rsidRPr="006906A7">
        <w:rPr>
          <w:rStyle w:val="FootnoteReference"/>
          <w:sz w:val="28"/>
          <w:szCs w:val="28"/>
        </w:rPr>
        <w:footnoteRef/>
      </w:r>
      <w:r w:rsidRPr="006906A7">
        <w:rPr>
          <w:sz w:val="28"/>
          <w:szCs w:val="28"/>
        </w:rPr>
        <w:t xml:space="preserve">     As set forth below, Rule 53 also includes requirements for the settlement of the claims of adults in need of protection, which were previously codified elsewhere.  Proposed Rule 16.3 refers practitioners to Rule 53 for guidance regarding the settlement of those claims as well.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F66"/>
    <w:multiLevelType w:val="multilevel"/>
    <w:tmpl w:val="8112202E"/>
    <w:name w:val="zzmpPleadingPh||PleadingPhoenix|2|3|1|0|2|33||1|0|41||1|0|33||1|0|33||1|0|33||1|0|33||1|0|33||mpNA||mpNA||"/>
    <w:lvl w:ilvl="0">
      <w:start w:val="1"/>
      <w:numFmt w:val="none"/>
      <w:pStyle w:val="PleadingPhL1"/>
      <w:suff w:val="nothing"/>
      <w:lvlText w:val=""/>
      <w:lvlJc w:val="left"/>
      <w:pPr>
        <w:tabs>
          <w:tab w:val="num" w:pos="1440"/>
        </w:tabs>
        <w:ind w:left="720" w:firstLine="0"/>
      </w:pPr>
      <w:rPr>
        <w:b/>
        <w:i w:val="0"/>
        <w:caps w:val="0"/>
        <w:smallCaps w:val="0"/>
        <w:u w:val="none"/>
      </w:rPr>
    </w:lvl>
    <w:lvl w:ilvl="1">
      <w:start w:val="1"/>
      <w:numFmt w:val="upperRoman"/>
      <w:pStyle w:val="PleadingPhL2"/>
      <w:lvlText w:val="%2."/>
      <w:lvlJc w:val="left"/>
      <w:pPr>
        <w:tabs>
          <w:tab w:val="num" w:pos="1440"/>
        </w:tabs>
        <w:ind w:left="1440" w:hanging="720"/>
      </w:pPr>
      <w:rPr>
        <w:i w:val="0"/>
        <w:caps/>
        <w:smallCaps w:val="0"/>
        <w:u w:val="none"/>
      </w:rPr>
    </w:lvl>
    <w:lvl w:ilvl="2">
      <w:start w:val="1"/>
      <w:numFmt w:val="upperLetter"/>
      <w:pStyle w:val="PleadingPhL3"/>
      <w:lvlText w:val="%3."/>
      <w:lvlJc w:val="left"/>
      <w:pPr>
        <w:tabs>
          <w:tab w:val="num" w:pos="2160"/>
        </w:tabs>
        <w:ind w:left="2160" w:hanging="720"/>
      </w:pPr>
      <w:rPr>
        <w:b/>
        <w:i w:val="0"/>
        <w:caps w:val="0"/>
        <w:u w:val="none"/>
      </w:rPr>
    </w:lvl>
    <w:lvl w:ilvl="3">
      <w:start w:val="1"/>
      <w:numFmt w:val="decimal"/>
      <w:pStyle w:val="PleadingPhL4"/>
      <w:lvlText w:val="%4."/>
      <w:lvlJc w:val="left"/>
      <w:pPr>
        <w:tabs>
          <w:tab w:val="num" w:pos="2880"/>
        </w:tabs>
        <w:ind w:left="2880" w:hanging="720"/>
      </w:pPr>
      <w:rPr>
        <w:i w:val="0"/>
        <w:caps w:val="0"/>
        <w:u w:val="none"/>
      </w:rPr>
    </w:lvl>
    <w:lvl w:ilvl="4">
      <w:start w:val="1"/>
      <w:numFmt w:val="lowerLetter"/>
      <w:pStyle w:val="PleadingPhL5"/>
      <w:lvlText w:val="%5."/>
      <w:lvlJc w:val="left"/>
      <w:pPr>
        <w:tabs>
          <w:tab w:val="num" w:pos="3600"/>
        </w:tabs>
        <w:ind w:left="3600" w:hanging="720"/>
      </w:pPr>
      <w:rPr>
        <w:i w:val="0"/>
        <w:caps w:val="0"/>
        <w:u w:val="none"/>
      </w:rPr>
    </w:lvl>
    <w:lvl w:ilvl="5">
      <w:start w:val="1"/>
      <w:numFmt w:val="lowerRoman"/>
      <w:pStyle w:val="PleadingPhL6"/>
      <w:lvlText w:val="(%6)"/>
      <w:lvlJc w:val="left"/>
      <w:pPr>
        <w:tabs>
          <w:tab w:val="num" w:pos="4320"/>
        </w:tabs>
        <w:ind w:left="4320" w:hanging="720"/>
      </w:pPr>
      <w:rPr>
        <w:i w:val="0"/>
        <w:caps w:val="0"/>
        <w:u w:val="none"/>
      </w:rPr>
    </w:lvl>
    <w:lvl w:ilvl="6">
      <w:start w:val="1"/>
      <w:numFmt w:val="lowerLetter"/>
      <w:pStyle w:val="PleadingPhL7"/>
      <w:lvlText w:val="(%7)"/>
      <w:lvlJc w:val="left"/>
      <w:pPr>
        <w:tabs>
          <w:tab w:val="num" w:pos="5040"/>
        </w:tabs>
        <w:ind w:left="5040" w:hanging="720"/>
      </w:pPr>
      <w:rPr>
        <w:i w:val="0"/>
        <w:caps w:val="0"/>
        <w:u w:val="none"/>
      </w:rPr>
    </w:lvl>
    <w:lvl w:ilvl="7">
      <w:start w:val="1"/>
      <w:numFmt w:val="lowerLetter"/>
      <w:lvlText w:val="%8)"/>
      <w:lvlJc w:val="left"/>
      <w:pPr>
        <w:tabs>
          <w:tab w:val="num" w:pos="5760"/>
        </w:tabs>
        <w:ind w:left="5760" w:hanging="720"/>
      </w:pPr>
    </w:lvl>
    <w:lvl w:ilvl="8">
      <w:start w:val="1"/>
      <w:numFmt w:val="lowerRoman"/>
      <w:lvlText w:val="%9."/>
      <w:lvlJc w:val="right"/>
      <w:pPr>
        <w:tabs>
          <w:tab w:val="num" w:pos="1584"/>
        </w:tabs>
        <w:ind w:left="1584" w:hanging="144"/>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66B3EB3"/>
    <w:multiLevelType w:val="multilevel"/>
    <w:tmpl w:val="C3F8A6DC"/>
    <w:lvl w:ilvl="0">
      <w:start w:val="1"/>
      <w:numFmt w:val="upperRoman"/>
      <w:pStyle w:val="PleadingLevel1"/>
      <w:lvlText w:val="%1."/>
      <w:lvlJc w:val="left"/>
      <w:pPr>
        <w:tabs>
          <w:tab w:val="num" w:pos="720"/>
        </w:tabs>
        <w:ind w:left="720" w:hanging="720"/>
      </w:pPr>
      <w:rPr>
        <w:rFonts w:hint="default"/>
      </w:rPr>
    </w:lvl>
    <w:lvl w:ilvl="1">
      <w:start w:val="1"/>
      <w:numFmt w:val="upperLetter"/>
      <w:pStyle w:val="PleadingLevel2"/>
      <w:lvlText w:val="%2."/>
      <w:lvlJc w:val="left"/>
      <w:pPr>
        <w:tabs>
          <w:tab w:val="num" w:pos="1440"/>
        </w:tabs>
        <w:ind w:left="1440" w:hanging="720"/>
      </w:pPr>
      <w:rPr>
        <w:rFonts w:hint="default"/>
      </w:rPr>
    </w:lvl>
    <w:lvl w:ilvl="2">
      <w:start w:val="1"/>
      <w:numFmt w:val="decimal"/>
      <w:pStyle w:val="PleadingLevel3"/>
      <w:lvlText w:val="%3."/>
      <w:lvlJc w:val="left"/>
      <w:pPr>
        <w:tabs>
          <w:tab w:val="num" w:pos="1800"/>
        </w:tabs>
        <w:ind w:left="0" w:firstLine="1440"/>
      </w:pPr>
      <w:rPr>
        <w:rFonts w:hint="default"/>
      </w:rPr>
    </w:lvl>
    <w:lvl w:ilvl="3">
      <w:start w:val="1"/>
      <w:numFmt w:val="lowerLetter"/>
      <w:pStyle w:val="PleadingLevel4"/>
      <w:lvlText w:val="%4)"/>
      <w:lvlJc w:val="left"/>
      <w:pPr>
        <w:tabs>
          <w:tab w:val="num" w:pos="2520"/>
        </w:tabs>
        <w:ind w:left="0" w:firstLine="2160"/>
      </w:pPr>
      <w:rPr>
        <w:rFonts w:hint="default"/>
      </w:rPr>
    </w:lvl>
    <w:lvl w:ilvl="4">
      <w:start w:val="1"/>
      <w:numFmt w:val="lowerRoman"/>
      <w:pStyle w:val="PleadingLevel5"/>
      <w:lvlText w:val="%5)"/>
      <w:lvlJc w:val="left"/>
      <w:pPr>
        <w:tabs>
          <w:tab w:val="num" w:pos="3600"/>
        </w:tabs>
        <w:ind w:left="0" w:firstLine="2880"/>
      </w:pPr>
      <w:rPr>
        <w:rFonts w:hint="default"/>
      </w:rPr>
    </w:lvl>
    <w:lvl w:ilvl="5">
      <w:start w:val="1"/>
      <w:numFmt w:val="lowerLetter"/>
      <w:pStyle w:val="PleadingLevel6"/>
      <w:lvlText w:val="(%6)"/>
      <w:lvlJc w:val="left"/>
      <w:pPr>
        <w:tabs>
          <w:tab w:val="num" w:pos="4320"/>
        </w:tabs>
        <w:ind w:left="4320" w:hanging="720"/>
      </w:pPr>
      <w:rPr>
        <w:rFonts w:hint="default"/>
      </w:rPr>
    </w:lvl>
    <w:lvl w:ilvl="6">
      <w:start w:val="1"/>
      <w:numFmt w:val="lowerRoman"/>
      <w:pStyle w:val="PleadingLevel7"/>
      <w:lvlText w:val="(%7)"/>
      <w:lvlJc w:val="left"/>
      <w:pPr>
        <w:tabs>
          <w:tab w:val="num" w:pos="3600"/>
        </w:tabs>
        <w:ind w:left="3600" w:hanging="720"/>
      </w:pPr>
      <w:rPr>
        <w:rFonts w:hint="default"/>
      </w:rPr>
    </w:lvl>
    <w:lvl w:ilvl="7">
      <w:start w:val="1"/>
      <w:numFmt w:val="lowerLetter"/>
      <w:pStyle w:val="PleadingLevel8"/>
      <w:lvlText w:val="(%8)"/>
      <w:lvlJc w:val="left"/>
      <w:pPr>
        <w:tabs>
          <w:tab w:val="num" w:pos="3600"/>
        </w:tabs>
        <w:ind w:left="3600" w:hanging="720"/>
      </w:pPr>
      <w:rPr>
        <w:rFonts w:hint="default"/>
      </w:rPr>
    </w:lvl>
    <w:lvl w:ilvl="8">
      <w:start w:val="1"/>
      <w:numFmt w:val="lowerRoman"/>
      <w:pStyle w:val="PleadingLevel9"/>
      <w:lvlText w:val="(%9)"/>
      <w:lvlJc w:val="left"/>
      <w:pPr>
        <w:tabs>
          <w:tab w:val="num" w:pos="3600"/>
        </w:tabs>
        <w:ind w:left="3600" w:hanging="720"/>
      </w:pPr>
      <w:rPr>
        <w:rFonts w:hint="default"/>
      </w:r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7"/>
  </w:num>
  <w:num w:numId="6">
    <w:abstractNumId w:val="8"/>
  </w:num>
  <w:num w:numId="7">
    <w:abstractNumId w:val="2"/>
  </w:num>
  <w:num w:numId="8">
    <w:abstractNumId w:val="15"/>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4B39"/>
    <w:rsid w:val="00274D6A"/>
    <w:rsid w:val="00352347"/>
    <w:rsid w:val="003566D6"/>
    <w:rsid w:val="00357F4D"/>
    <w:rsid w:val="003617D1"/>
    <w:rsid w:val="00377199"/>
    <w:rsid w:val="003A28AC"/>
    <w:rsid w:val="00407E2D"/>
    <w:rsid w:val="004331B2"/>
    <w:rsid w:val="00440E4C"/>
    <w:rsid w:val="00463734"/>
    <w:rsid w:val="00483AE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06A7"/>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1564B"/>
    <w:rsid w:val="00A5194F"/>
    <w:rsid w:val="00A871D6"/>
    <w:rsid w:val="00A93A7C"/>
    <w:rsid w:val="00AC5935"/>
    <w:rsid w:val="00AF282C"/>
    <w:rsid w:val="00AF3FF7"/>
    <w:rsid w:val="00B1491D"/>
    <w:rsid w:val="00B32BDE"/>
    <w:rsid w:val="00B47B7D"/>
    <w:rsid w:val="00C03E0F"/>
    <w:rsid w:val="00C04C0C"/>
    <w:rsid w:val="00C52E56"/>
    <w:rsid w:val="00C5407A"/>
    <w:rsid w:val="00C662B0"/>
    <w:rsid w:val="00C84FD4"/>
    <w:rsid w:val="00C958EE"/>
    <w:rsid w:val="00CC2BDA"/>
    <w:rsid w:val="00CD21FB"/>
    <w:rsid w:val="00D423FE"/>
    <w:rsid w:val="00D442E4"/>
    <w:rsid w:val="00D60D9B"/>
    <w:rsid w:val="00D80EDC"/>
    <w:rsid w:val="00DE7F1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 w:val="00FF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E0058D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ingPhL1">
    <w:name w:val="PleadingPh_L1"/>
    <w:basedOn w:val="BodyText"/>
    <w:next w:val="BodyText"/>
    <w:rsid w:val="00DE7F1C"/>
    <w:pPr>
      <w:keepNext/>
      <w:numPr>
        <w:numId w:val="15"/>
      </w:numPr>
      <w:spacing w:before="240" w:after="0" w:line="240" w:lineRule="exact"/>
      <w:jc w:val="center"/>
      <w:outlineLvl w:val="0"/>
    </w:pPr>
    <w:rPr>
      <w:b/>
      <w:sz w:val="28"/>
      <w:lang w:eastAsia="zh-CN"/>
    </w:rPr>
  </w:style>
  <w:style w:type="paragraph" w:customStyle="1" w:styleId="PleadingPhL2">
    <w:name w:val="PleadingPh_L2"/>
    <w:basedOn w:val="BodyText"/>
    <w:next w:val="BodyText"/>
    <w:link w:val="PleadingPhL2Char"/>
    <w:rsid w:val="00DE7F1C"/>
    <w:pPr>
      <w:keepNext/>
      <w:numPr>
        <w:ilvl w:val="1"/>
        <w:numId w:val="15"/>
      </w:numPr>
      <w:spacing w:before="240" w:after="0" w:line="240" w:lineRule="exact"/>
      <w:jc w:val="both"/>
      <w:outlineLvl w:val="1"/>
    </w:pPr>
    <w:rPr>
      <w:b/>
      <w:caps/>
      <w:sz w:val="28"/>
      <w:lang w:eastAsia="zh-CN"/>
    </w:rPr>
  </w:style>
  <w:style w:type="character" w:customStyle="1" w:styleId="PleadingPhL2Char">
    <w:name w:val="PleadingPh_L2 Char"/>
    <w:link w:val="PleadingPhL2"/>
    <w:rsid w:val="00DE7F1C"/>
    <w:rPr>
      <w:b/>
      <w:caps/>
      <w:sz w:val="28"/>
      <w:lang w:eastAsia="zh-CN"/>
    </w:rPr>
  </w:style>
  <w:style w:type="paragraph" w:customStyle="1" w:styleId="PleadingPhL3">
    <w:name w:val="PleadingPh_L3"/>
    <w:basedOn w:val="BodyText"/>
    <w:next w:val="BodyText"/>
    <w:link w:val="PleadingPhL3Char"/>
    <w:rsid w:val="00DE7F1C"/>
    <w:pPr>
      <w:keepNext/>
      <w:numPr>
        <w:ilvl w:val="2"/>
        <w:numId w:val="15"/>
      </w:numPr>
      <w:spacing w:before="240" w:after="0" w:line="240" w:lineRule="exact"/>
      <w:jc w:val="both"/>
      <w:outlineLvl w:val="2"/>
    </w:pPr>
    <w:rPr>
      <w:b/>
      <w:sz w:val="28"/>
      <w:lang w:eastAsia="zh-CN"/>
    </w:rPr>
  </w:style>
  <w:style w:type="character" w:customStyle="1" w:styleId="PleadingPhL3Char">
    <w:name w:val="PleadingPh_L3 Char"/>
    <w:link w:val="PleadingPhL3"/>
    <w:rsid w:val="00DE7F1C"/>
    <w:rPr>
      <w:b/>
      <w:sz w:val="28"/>
      <w:lang w:eastAsia="zh-CN"/>
    </w:rPr>
  </w:style>
  <w:style w:type="paragraph" w:customStyle="1" w:styleId="PleadingPhL4">
    <w:name w:val="PleadingPh_L4"/>
    <w:basedOn w:val="BodyText"/>
    <w:next w:val="BodyText"/>
    <w:rsid w:val="00DE7F1C"/>
    <w:pPr>
      <w:keepNext/>
      <w:numPr>
        <w:ilvl w:val="3"/>
        <w:numId w:val="15"/>
      </w:numPr>
      <w:spacing w:before="240" w:after="0" w:line="240" w:lineRule="exact"/>
      <w:outlineLvl w:val="3"/>
    </w:pPr>
    <w:rPr>
      <w:b/>
      <w:sz w:val="28"/>
      <w:lang w:eastAsia="zh-CN"/>
    </w:rPr>
  </w:style>
  <w:style w:type="paragraph" w:customStyle="1" w:styleId="PleadingPhL5">
    <w:name w:val="PleadingPh_L5"/>
    <w:basedOn w:val="BodyText"/>
    <w:next w:val="BodyText"/>
    <w:rsid w:val="00DE7F1C"/>
    <w:pPr>
      <w:keepNext/>
      <w:numPr>
        <w:ilvl w:val="4"/>
        <w:numId w:val="15"/>
      </w:numPr>
      <w:spacing w:before="240" w:after="0" w:line="240" w:lineRule="exact"/>
      <w:outlineLvl w:val="4"/>
    </w:pPr>
    <w:rPr>
      <w:b/>
      <w:sz w:val="28"/>
      <w:lang w:eastAsia="zh-CN"/>
    </w:rPr>
  </w:style>
  <w:style w:type="paragraph" w:customStyle="1" w:styleId="PleadingPhL6">
    <w:name w:val="PleadingPh_L6"/>
    <w:basedOn w:val="BodyText"/>
    <w:next w:val="BodyText"/>
    <w:rsid w:val="00DE7F1C"/>
    <w:pPr>
      <w:keepNext/>
      <w:numPr>
        <w:ilvl w:val="5"/>
        <w:numId w:val="15"/>
      </w:numPr>
      <w:spacing w:before="240" w:after="0" w:line="240" w:lineRule="exact"/>
      <w:outlineLvl w:val="5"/>
    </w:pPr>
    <w:rPr>
      <w:b/>
      <w:sz w:val="28"/>
      <w:lang w:eastAsia="zh-CN"/>
    </w:rPr>
  </w:style>
  <w:style w:type="paragraph" w:customStyle="1" w:styleId="PleadingPhL7">
    <w:name w:val="PleadingPh_L7"/>
    <w:basedOn w:val="Normal"/>
    <w:next w:val="BodyText"/>
    <w:rsid w:val="00DE7F1C"/>
    <w:pPr>
      <w:keepNext/>
      <w:numPr>
        <w:ilvl w:val="6"/>
        <w:numId w:val="15"/>
      </w:numPr>
      <w:spacing w:before="240" w:line="240" w:lineRule="exact"/>
      <w:outlineLvl w:val="6"/>
    </w:pPr>
    <w:rPr>
      <w:b/>
      <w:sz w:val="24"/>
      <w:lang w:eastAsia="zh-CN"/>
    </w:rPr>
  </w:style>
  <w:style w:type="paragraph" w:customStyle="1" w:styleId="PleadingLevel1">
    <w:name w:val="Pleading Level 1"/>
    <w:basedOn w:val="Normal"/>
    <w:rsid w:val="006906A7"/>
    <w:pPr>
      <w:numPr>
        <w:numId w:val="16"/>
      </w:numPr>
      <w:spacing w:line="484" w:lineRule="exact"/>
      <w:jc w:val="both"/>
    </w:pPr>
    <w:rPr>
      <w:rFonts w:ascii="Courier New" w:hAnsi="Courier New"/>
      <w:sz w:val="24"/>
      <w:szCs w:val="24"/>
    </w:rPr>
  </w:style>
  <w:style w:type="paragraph" w:customStyle="1" w:styleId="PleadingLevel2">
    <w:name w:val="Pleading Level 2"/>
    <w:basedOn w:val="Normal"/>
    <w:rsid w:val="006906A7"/>
    <w:pPr>
      <w:numPr>
        <w:ilvl w:val="1"/>
        <w:numId w:val="16"/>
      </w:numPr>
      <w:spacing w:line="484" w:lineRule="exact"/>
      <w:jc w:val="both"/>
    </w:pPr>
    <w:rPr>
      <w:rFonts w:ascii="Courier New" w:hAnsi="Courier New"/>
      <w:sz w:val="24"/>
      <w:szCs w:val="24"/>
    </w:rPr>
  </w:style>
  <w:style w:type="paragraph" w:customStyle="1" w:styleId="PleadingLevel3">
    <w:name w:val="Pleading Level 3"/>
    <w:basedOn w:val="Normal"/>
    <w:rsid w:val="006906A7"/>
    <w:pPr>
      <w:numPr>
        <w:ilvl w:val="2"/>
        <w:numId w:val="16"/>
      </w:numPr>
      <w:tabs>
        <w:tab w:val="clear" w:pos="1800"/>
        <w:tab w:val="num" w:pos="2160"/>
      </w:tabs>
      <w:spacing w:line="484" w:lineRule="exact"/>
      <w:jc w:val="both"/>
    </w:pPr>
    <w:rPr>
      <w:rFonts w:ascii="Courier New" w:hAnsi="Courier New"/>
      <w:sz w:val="24"/>
      <w:szCs w:val="24"/>
    </w:rPr>
  </w:style>
  <w:style w:type="paragraph" w:customStyle="1" w:styleId="PleadingLevel4">
    <w:name w:val="Pleading Level 4"/>
    <w:basedOn w:val="Normal"/>
    <w:autoRedefine/>
    <w:rsid w:val="006906A7"/>
    <w:pPr>
      <w:numPr>
        <w:ilvl w:val="3"/>
        <w:numId w:val="16"/>
      </w:numPr>
      <w:tabs>
        <w:tab w:val="clear" w:pos="2520"/>
      </w:tabs>
      <w:spacing w:line="484" w:lineRule="exact"/>
      <w:jc w:val="both"/>
    </w:pPr>
    <w:rPr>
      <w:rFonts w:ascii="Courier New" w:hAnsi="Courier New"/>
      <w:sz w:val="24"/>
      <w:szCs w:val="24"/>
    </w:rPr>
  </w:style>
  <w:style w:type="paragraph" w:customStyle="1" w:styleId="PleadingLevel5">
    <w:name w:val="Pleading Level 5"/>
    <w:basedOn w:val="Normal"/>
    <w:autoRedefine/>
    <w:rsid w:val="006906A7"/>
    <w:pPr>
      <w:numPr>
        <w:ilvl w:val="4"/>
        <w:numId w:val="16"/>
      </w:numPr>
      <w:spacing w:line="484" w:lineRule="exact"/>
      <w:jc w:val="both"/>
    </w:pPr>
    <w:rPr>
      <w:rFonts w:ascii="Courier New" w:hAnsi="Courier New"/>
      <w:sz w:val="24"/>
      <w:szCs w:val="24"/>
    </w:rPr>
  </w:style>
  <w:style w:type="paragraph" w:customStyle="1" w:styleId="PleadingLevel6">
    <w:name w:val="Pleading Level 6"/>
    <w:basedOn w:val="Normal"/>
    <w:rsid w:val="006906A7"/>
    <w:pPr>
      <w:numPr>
        <w:ilvl w:val="5"/>
        <w:numId w:val="16"/>
      </w:numPr>
      <w:spacing w:line="484" w:lineRule="exact"/>
      <w:jc w:val="both"/>
    </w:pPr>
    <w:rPr>
      <w:rFonts w:ascii="Courier New" w:hAnsi="Courier New"/>
      <w:sz w:val="24"/>
      <w:szCs w:val="24"/>
    </w:rPr>
  </w:style>
  <w:style w:type="paragraph" w:customStyle="1" w:styleId="PleadingLevel7">
    <w:name w:val="Pleading Level 7"/>
    <w:basedOn w:val="Normal"/>
    <w:rsid w:val="006906A7"/>
    <w:pPr>
      <w:numPr>
        <w:ilvl w:val="6"/>
        <w:numId w:val="16"/>
      </w:numPr>
      <w:spacing w:line="484" w:lineRule="exact"/>
      <w:jc w:val="both"/>
    </w:pPr>
    <w:rPr>
      <w:rFonts w:ascii="Courier New" w:hAnsi="Courier New"/>
      <w:sz w:val="24"/>
      <w:szCs w:val="24"/>
    </w:rPr>
  </w:style>
  <w:style w:type="paragraph" w:customStyle="1" w:styleId="PleadingLevel8">
    <w:name w:val="Pleading Level 8"/>
    <w:basedOn w:val="Normal"/>
    <w:rsid w:val="006906A7"/>
    <w:pPr>
      <w:numPr>
        <w:ilvl w:val="7"/>
        <w:numId w:val="16"/>
      </w:numPr>
      <w:spacing w:line="484" w:lineRule="exact"/>
      <w:jc w:val="both"/>
    </w:pPr>
    <w:rPr>
      <w:rFonts w:ascii="Courier New" w:hAnsi="Courier New"/>
      <w:sz w:val="24"/>
      <w:szCs w:val="24"/>
    </w:rPr>
  </w:style>
  <w:style w:type="paragraph" w:customStyle="1" w:styleId="PleadingLevel9">
    <w:name w:val="Pleading Level 9"/>
    <w:basedOn w:val="Normal"/>
    <w:rsid w:val="006906A7"/>
    <w:pPr>
      <w:numPr>
        <w:ilvl w:val="8"/>
        <w:numId w:val="16"/>
      </w:numPr>
      <w:spacing w:line="484" w:lineRule="exact"/>
      <w:jc w:val="both"/>
    </w:pPr>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89247-6FA7-4987-AC80-AA0E8A90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7</TotalTime>
  <Pages>7</Pages>
  <Words>1393</Words>
  <Characters>7226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2020-01-08T22:35:00Z</cp:lastPrinted>
  <dcterms:created xsi:type="dcterms:W3CDTF">2020-01-08T22:44:00Z</dcterms:created>
  <dcterms:modified xsi:type="dcterms:W3CDTF">2020-01-08T23:02:00Z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