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47F9B" w14:textId="77777777" w:rsidR="0016027E" w:rsidRDefault="0016027E" w:rsidP="00126B34">
      <w:pPr>
        <w:rPr>
          <w:rFonts w:eastAsia="Times New Roman"/>
          <w:snapToGrid/>
          <w:sz w:val="28"/>
          <w:szCs w:val="28"/>
          <w:vertAlign w:val="baseline"/>
        </w:rPr>
      </w:pPr>
      <w:r>
        <w:rPr>
          <w:rFonts w:eastAsia="Times New Roman"/>
          <w:snapToGrid/>
          <w:sz w:val="28"/>
          <w:szCs w:val="28"/>
          <w:vertAlign w:val="baseline"/>
        </w:rPr>
        <w:t>CENTRAL A</w:t>
      </w:r>
      <w:r w:rsidR="000D213B">
        <w:rPr>
          <w:rFonts w:eastAsia="Times New Roman"/>
          <w:snapToGrid/>
          <w:sz w:val="28"/>
          <w:szCs w:val="28"/>
          <w:vertAlign w:val="baseline"/>
        </w:rPr>
        <w:t>RI</w:t>
      </w:r>
      <w:r>
        <w:rPr>
          <w:rFonts w:eastAsia="Times New Roman"/>
          <w:snapToGrid/>
          <w:sz w:val="28"/>
          <w:szCs w:val="28"/>
          <w:vertAlign w:val="baseline"/>
        </w:rPr>
        <w:t>Z</w:t>
      </w:r>
      <w:r w:rsidR="000D213B">
        <w:rPr>
          <w:rFonts w:eastAsia="Times New Roman"/>
          <w:snapToGrid/>
          <w:sz w:val="28"/>
          <w:szCs w:val="28"/>
          <w:vertAlign w:val="baseline"/>
        </w:rPr>
        <w:t>ONA</w:t>
      </w:r>
      <w:r>
        <w:rPr>
          <w:rFonts w:eastAsia="Times New Roman"/>
          <w:snapToGrid/>
          <w:sz w:val="28"/>
          <w:szCs w:val="28"/>
          <w:vertAlign w:val="baseline"/>
        </w:rPr>
        <w:t xml:space="preserve"> NATIONAL LAWYERS GUILD </w:t>
      </w:r>
    </w:p>
    <w:p w14:paraId="0AB064B5" w14:textId="77777777" w:rsidR="00126B34" w:rsidRPr="00126B34" w:rsidRDefault="00126B34" w:rsidP="00126B34">
      <w:pPr>
        <w:rPr>
          <w:rFonts w:eastAsia="Times New Roman"/>
          <w:snapToGrid/>
          <w:sz w:val="28"/>
          <w:szCs w:val="28"/>
          <w:vertAlign w:val="baseline"/>
        </w:rPr>
      </w:pPr>
      <w:r w:rsidRPr="00126B34">
        <w:rPr>
          <w:rFonts w:eastAsia="Times New Roman"/>
          <w:snapToGrid/>
          <w:sz w:val="28"/>
          <w:szCs w:val="28"/>
          <w:vertAlign w:val="baseline"/>
        </w:rPr>
        <w:t>Kevin D. Heade (AZ Bar # 029909)</w:t>
      </w:r>
    </w:p>
    <w:p w14:paraId="2C142FEC" w14:textId="77777777" w:rsidR="00126B34" w:rsidRPr="00126B34" w:rsidRDefault="00126B34" w:rsidP="00126B34">
      <w:pPr>
        <w:rPr>
          <w:rFonts w:eastAsia="Times New Roman"/>
          <w:snapToGrid/>
          <w:sz w:val="28"/>
          <w:szCs w:val="28"/>
          <w:vertAlign w:val="baseline"/>
        </w:rPr>
      </w:pPr>
      <w:r w:rsidRPr="00126B34">
        <w:rPr>
          <w:rFonts w:eastAsia="Times New Roman"/>
          <w:snapToGrid/>
          <w:sz w:val="28"/>
          <w:szCs w:val="28"/>
          <w:vertAlign w:val="baseline"/>
        </w:rPr>
        <w:t xml:space="preserve">620 W. Jackson St. </w:t>
      </w:r>
    </w:p>
    <w:p w14:paraId="1D7F451B" w14:textId="77777777" w:rsidR="00126B34" w:rsidRPr="00126B34" w:rsidRDefault="00126B34" w:rsidP="00126B34">
      <w:pPr>
        <w:rPr>
          <w:rFonts w:eastAsia="Times New Roman"/>
          <w:snapToGrid/>
          <w:sz w:val="28"/>
          <w:szCs w:val="28"/>
          <w:vertAlign w:val="baseline"/>
        </w:rPr>
      </w:pPr>
      <w:r w:rsidRPr="00126B34">
        <w:rPr>
          <w:rFonts w:eastAsia="Times New Roman"/>
          <w:snapToGrid/>
          <w:sz w:val="28"/>
          <w:szCs w:val="28"/>
          <w:vertAlign w:val="baseline"/>
        </w:rPr>
        <w:t>Ste. 4015</w:t>
      </w:r>
    </w:p>
    <w:p w14:paraId="368AE484" w14:textId="77777777" w:rsidR="00126B34" w:rsidRPr="00126B34" w:rsidRDefault="00126B34" w:rsidP="00126B34">
      <w:pPr>
        <w:rPr>
          <w:rFonts w:eastAsia="Times New Roman"/>
          <w:snapToGrid/>
          <w:sz w:val="28"/>
          <w:szCs w:val="28"/>
          <w:vertAlign w:val="baseline"/>
        </w:rPr>
      </w:pPr>
      <w:r w:rsidRPr="00126B34">
        <w:rPr>
          <w:rFonts w:eastAsia="Times New Roman"/>
          <w:snapToGrid/>
          <w:sz w:val="28"/>
          <w:szCs w:val="28"/>
          <w:vertAlign w:val="baseline"/>
        </w:rPr>
        <w:t>Phoenix, AZ. 85003</w:t>
      </w:r>
    </w:p>
    <w:p w14:paraId="096D6F47" w14:textId="77777777" w:rsidR="00126B34" w:rsidRPr="00126B34" w:rsidRDefault="00126B34" w:rsidP="00126B34">
      <w:pPr>
        <w:rPr>
          <w:rFonts w:eastAsia="Times New Roman"/>
          <w:snapToGrid/>
          <w:sz w:val="28"/>
          <w:szCs w:val="28"/>
          <w:vertAlign w:val="baseline"/>
        </w:rPr>
      </w:pPr>
      <w:r w:rsidRPr="00126B34">
        <w:rPr>
          <w:rFonts w:eastAsia="Times New Roman"/>
          <w:snapToGrid/>
          <w:sz w:val="28"/>
          <w:szCs w:val="28"/>
          <w:vertAlign w:val="baseline"/>
        </w:rPr>
        <w:t>(480) 251-8534</w:t>
      </w:r>
    </w:p>
    <w:p w14:paraId="4652A9AB" w14:textId="77777777" w:rsidR="00126B34" w:rsidRPr="00126B34" w:rsidRDefault="00126B34" w:rsidP="00126B34">
      <w:pPr>
        <w:rPr>
          <w:rFonts w:eastAsia="Times New Roman"/>
          <w:snapToGrid/>
          <w:sz w:val="28"/>
          <w:szCs w:val="28"/>
          <w:vertAlign w:val="baseline"/>
        </w:rPr>
      </w:pPr>
      <w:r w:rsidRPr="00126B34">
        <w:rPr>
          <w:rFonts w:eastAsia="Times New Roman"/>
          <w:snapToGrid/>
          <w:sz w:val="28"/>
          <w:szCs w:val="28"/>
          <w:vertAlign w:val="baseline"/>
        </w:rPr>
        <w:t>Kevin.Heade@gmail.com</w:t>
      </w:r>
    </w:p>
    <w:p w14:paraId="6C43EBC5" w14:textId="77777777" w:rsidR="00126B34" w:rsidRPr="00126B34" w:rsidRDefault="00126B34" w:rsidP="00126B34">
      <w:pPr>
        <w:rPr>
          <w:rFonts w:eastAsia="Times New Roman"/>
          <w:snapToGrid/>
          <w:sz w:val="28"/>
          <w:szCs w:val="28"/>
          <w:vertAlign w:val="baseline"/>
        </w:rPr>
      </w:pPr>
    </w:p>
    <w:p w14:paraId="04B8DEEE" w14:textId="77777777" w:rsidR="00126B34" w:rsidRPr="00126B34" w:rsidRDefault="00126B34" w:rsidP="00126B34">
      <w:pPr>
        <w:keepNext/>
        <w:jc w:val="center"/>
        <w:outlineLvl w:val="2"/>
        <w:rPr>
          <w:rFonts w:eastAsia="Times New Roman"/>
          <w:b/>
          <w:bCs/>
          <w:snapToGrid/>
          <w:sz w:val="28"/>
          <w:szCs w:val="28"/>
          <w:vertAlign w:val="baseline"/>
        </w:rPr>
      </w:pPr>
    </w:p>
    <w:p w14:paraId="434CF567" w14:textId="77777777" w:rsidR="00126B34" w:rsidRPr="00126B34" w:rsidRDefault="00126B34" w:rsidP="00126B34">
      <w:pPr>
        <w:keepNext/>
        <w:jc w:val="center"/>
        <w:outlineLvl w:val="2"/>
        <w:rPr>
          <w:rFonts w:eastAsia="Times New Roman"/>
          <w:b/>
          <w:bCs/>
          <w:snapToGrid/>
          <w:sz w:val="28"/>
          <w:szCs w:val="28"/>
          <w:vertAlign w:val="baseline"/>
        </w:rPr>
      </w:pPr>
    </w:p>
    <w:p w14:paraId="7A6F38F2" w14:textId="77777777" w:rsidR="00126B34" w:rsidRPr="00126B34" w:rsidRDefault="00126B34" w:rsidP="00126B34">
      <w:pPr>
        <w:keepNext/>
        <w:jc w:val="center"/>
        <w:outlineLvl w:val="2"/>
        <w:rPr>
          <w:rFonts w:eastAsia="Times New Roman"/>
          <w:b/>
          <w:bCs/>
          <w:snapToGrid/>
          <w:sz w:val="28"/>
          <w:szCs w:val="28"/>
          <w:vertAlign w:val="baseline"/>
        </w:rPr>
      </w:pPr>
      <w:r w:rsidRPr="00126B34">
        <w:rPr>
          <w:rFonts w:eastAsia="Times New Roman"/>
          <w:b/>
          <w:bCs/>
          <w:snapToGrid/>
          <w:sz w:val="28"/>
          <w:szCs w:val="28"/>
          <w:vertAlign w:val="baseline"/>
        </w:rPr>
        <w:t>IN THE ARIZONA SUPREME COURT</w:t>
      </w:r>
    </w:p>
    <w:p w14:paraId="17E89587" w14:textId="77777777" w:rsidR="00126B34" w:rsidRPr="00126B34" w:rsidRDefault="00126B34" w:rsidP="00126B34">
      <w:pPr>
        <w:jc w:val="center"/>
        <w:rPr>
          <w:rFonts w:eastAsia="Times New Roman"/>
          <w:b/>
          <w:snapToGrid/>
          <w:sz w:val="28"/>
          <w:szCs w:val="28"/>
          <w:vertAlign w:val="baseline"/>
        </w:rPr>
      </w:pPr>
    </w:p>
    <w:tbl>
      <w:tblPr>
        <w:tblW w:w="9326" w:type="dxa"/>
        <w:tblLayout w:type="fixed"/>
        <w:tblCellMar>
          <w:left w:w="0" w:type="dxa"/>
          <w:right w:w="0" w:type="dxa"/>
        </w:tblCellMar>
        <w:tblLook w:val="0000" w:firstRow="0" w:lastRow="0" w:firstColumn="0" w:lastColumn="0" w:noHBand="0" w:noVBand="0"/>
      </w:tblPr>
      <w:tblGrid>
        <w:gridCol w:w="4767"/>
        <w:gridCol w:w="25"/>
        <w:gridCol w:w="4534"/>
      </w:tblGrid>
      <w:tr w:rsidR="00126B34" w:rsidRPr="00126B34" w14:paraId="1CE29504" w14:textId="77777777" w:rsidTr="006B236E">
        <w:trPr>
          <w:trHeight w:val="2655"/>
        </w:trPr>
        <w:tc>
          <w:tcPr>
            <w:tcW w:w="4770" w:type="dxa"/>
            <w:tcBorders>
              <w:bottom w:val="single" w:sz="4" w:space="0" w:color="auto"/>
            </w:tcBorders>
          </w:tcPr>
          <w:p w14:paraId="50BD0806" w14:textId="77777777" w:rsidR="00126B34" w:rsidRPr="00126B34" w:rsidRDefault="00126B34" w:rsidP="00126B34">
            <w:pPr>
              <w:spacing w:after="120"/>
              <w:ind w:right="87"/>
              <w:rPr>
                <w:rFonts w:eastAsia="Times New Roman"/>
                <w:snapToGrid/>
                <w:sz w:val="28"/>
                <w:szCs w:val="28"/>
                <w:vertAlign w:val="baseline"/>
              </w:rPr>
            </w:pPr>
            <w:bookmarkStart w:id="0" w:name="Parties"/>
            <w:bookmarkEnd w:id="0"/>
            <w:r w:rsidRPr="00126B34">
              <w:rPr>
                <w:rFonts w:eastAsia="Times New Roman"/>
                <w:snapToGrid/>
                <w:sz w:val="28"/>
                <w:szCs w:val="28"/>
                <w:vertAlign w:val="baseline"/>
              </w:rPr>
              <w:t>IN THE MATTER OF:</w:t>
            </w:r>
          </w:p>
          <w:p w14:paraId="7EE9BFEB" w14:textId="77777777" w:rsidR="00126B34" w:rsidRPr="00126B34" w:rsidRDefault="00126B34" w:rsidP="00126B34">
            <w:pPr>
              <w:spacing w:after="120"/>
              <w:ind w:right="87"/>
              <w:rPr>
                <w:rFonts w:eastAsia="Times New Roman"/>
                <w:snapToGrid/>
                <w:sz w:val="28"/>
                <w:szCs w:val="28"/>
                <w:vertAlign w:val="baseline"/>
              </w:rPr>
            </w:pPr>
            <w:r w:rsidRPr="00126B34">
              <w:rPr>
                <w:rFonts w:eastAsia="Times New Roman"/>
                <w:snapToGrid/>
                <w:sz w:val="28"/>
                <w:szCs w:val="28"/>
                <w:vertAlign w:val="baseline"/>
              </w:rPr>
              <w:t xml:space="preserve">PETITION TO AMEND THE RULES OF THE SUPREME COURT OF ARIZONA: RULE </w:t>
            </w:r>
            <w:r w:rsidR="0016027E">
              <w:rPr>
                <w:rFonts w:eastAsia="Times New Roman"/>
                <w:snapToGrid/>
                <w:sz w:val="28"/>
                <w:szCs w:val="28"/>
                <w:vertAlign w:val="baseline"/>
              </w:rPr>
              <w:t>24</w:t>
            </w:r>
            <w:r w:rsidRPr="00126B34">
              <w:rPr>
                <w:rFonts w:eastAsia="Times New Roman"/>
                <w:snapToGrid/>
                <w:sz w:val="28"/>
                <w:szCs w:val="28"/>
                <w:vertAlign w:val="baseline"/>
              </w:rPr>
              <w:t xml:space="preserve"> – JURY SELECTION</w:t>
            </w:r>
          </w:p>
        </w:tc>
        <w:tc>
          <w:tcPr>
            <w:tcW w:w="20" w:type="dxa"/>
            <w:tcBorders>
              <w:right w:val="single" w:sz="4" w:space="0" w:color="auto"/>
            </w:tcBorders>
          </w:tcPr>
          <w:p w14:paraId="6874903B" w14:textId="77777777" w:rsidR="00126B34" w:rsidRPr="00126B34" w:rsidRDefault="00126B34" w:rsidP="00126B34">
            <w:pPr>
              <w:spacing w:line="254" w:lineRule="exact"/>
              <w:ind w:right="-40"/>
              <w:rPr>
                <w:rFonts w:eastAsia="Times New Roman"/>
                <w:snapToGrid/>
                <w:sz w:val="28"/>
                <w:szCs w:val="28"/>
                <w:vertAlign w:val="baseline"/>
              </w:rPr>
            </w:pPr>
            <w:r w:rsidRPr="00126B34">
              <w:rPr>
                <w:rFonts w:eastAsia="Times New Roman"/>
                <w:snapToGrid/>
                <w:sz w:val="28"/>
                <w:szCs w:val="28"/>
                <w:vertAlign w:val="baseline"/>
              </w:rPr>
              <w:t xml:space="preserve">  </w:t>
            </w:r>
          </w:p>
        </w:tc>
        <w:tc>
          <w:tcPr>
            <w:tcW w:w="4536" w:type="dxa"/>
            <w:tcBorders>
              <w:left w:val="single" w:sz="4" w:space="0" w:color="auto"/>
            </w:tcBorders>
          </w:tcPr>
          <w:p w14:paraId="5ACE1CFF" w14:textId="77777777" w:rsidR="00126B34" w:rsidRPr="00126B34" w:rsidRDefault="00126B34" w:rsidP="008F33E5">
            <w:pPr>
              <w:spacing w:line="276" w:lineRule="auto"/>
              <w:ind w:left="248" w:right="-40"/>
              <w:rPr>
                <w:rFonts w:eastAsia="Times New Roman"/>
                <w:snapToGrid/>
                <w:sz w:val="28"/>
                <w:szCs w:val="28"/>
                <w:vertAlign w:val="baseline"/>
              </w:rPr>
            </w:pPr>
            <w:bookmarkStart w:id="1" w:name="CaseNumber"/>
            <w:bookmarkEnd w:id="1"/>
            <w:r w:rsidRPr="00126B34">
              <w:rPr>
                <w:rFonts w:eastAsia="Times New Roman"/>
                <w:snapToGrid/>
                <w:sz w:val="28"/>
                <w:szCs w:val="28"/>
                <w:vertAlign w:val="baseline"/>
              </w:rPr>
              <w:t>R-</w:t>
            </w:r>
          </w:p>
          <w:p w14:paraId="303B3C41" w14:textId="77777777" w:rsidR="00126B34" w:rsidRPr="00126B34" w:rsidRDefault="00126B34" w:rsidP="00126B34">
            <w:pPr>
              <w:spacing w:line="254" w:lineRule="exact"/>
              <w:ind w:right="-40"/>
              <w:rPr>
                <w:rFonts w:eastAsia="Times New Roman"/>
                <w:b/>
                <w:bCs/>
                <w:snapToGrid/>
                <w:sz w:val="28"/>
                <w:szCs w:val="28"/>
                <w:vertAlign w:val="baseline"/>
              </w:rPr>
            </w:pPr>
          </w:p>
          <w:p w14:paraId="6B834661" w14:textId="77777777" w:rsidR="00126B34" w:rsidRPr="00126B34" w:rsidRDefault="00126B34" w:rsidP="00126B34">
            <w:pPr>
              <w:spacing w:line="254" w:lineRule="exact"/>
              <w:ind w:right="-40"/>
              <w:rPr>
                <w:rFonts w:eastAsia="Times New Roman"/>
                <w:b/>
                <w:bCs/>
                <w:snapToGrid/>
                <w:sz w:val="28"/>
                <w:szCs w:val="28"/>
                <w:vertAlign w:val="baseline"/>
              </w:rPr>
            </w:pPr>
          </w:p>
          <w:p w14:paraId="262FDCFE" w14:textId="77777777" w:rsidR="00126B34" w:rsidRPr="00126B34" w:rsidRDefault="00126B34" w:rsidP="008F33E5">
            <w:pPr>
              <w:ind w:left="248" w:right="-40"/>
              <w:rPr>
                <w:rFonts w:eastAsia="Times New Roman"/>
                <w:b/>
                <w:bCs/>
                <w:snapToGrid/>
                <w:sz w:val="28"/>
                <w:szCs w:val="28"/>
                <w:vertAlign w:val="baseline"/>
              </w:rPr>
            </w:pPr>
            <w:r w:rsidRPr="00126B34">
              <w:rPr>
                <w:rFonts w:eastAsia="Times New Roman"/>
                <w:snapToGrid/>
                <w:sz w:val="28"/>
                <w:szCs w:val="28"/>
                <w:vertAlign w:val="baseline"/>
              </w:rPr>
              <w:t xml:space="preserve">PETITION TO AMEND THE RULES OF THE SUPREME COURT OF ARIZONA: RULE </w:t>
            </w:r>
            <w:r w:rsidR="0016027E">
              <w:rPr>
                <w:rFonts w:eastAsia="Times New Roman"/>
                <w:snapToGrid/>
                <w:sz w:val="28"/>
                <w:szCs w:val="28"/>
                <w:vertAlign w:val="baseline"/>
              </w:rPr>
              <w:t>24</w:t>
            </w:r>
            <w:r w:rsidRPr="00126B34">
              <w:rPr>
                <w:rFonts w:eastAsia="Times New Roman"/>
                <w:snapToGrid/>
                <w:sz w:val="28"/>
                <w:szCs w:val="28"/>
                <w:vertAlign w:val="baseline"/>
              </w:rPr>
              <w:t xml:space="preserve"> – JURY SELECTION</w:t>
            </w:r>
            <w:r w:rsidRPr="00126B34">
              <w:rPr>
                <w:rFonts w:eastAsia="Times New Roman"/>
                <w:b/>
                <w:bCs/>
                <w:snapToGrid/>
                <w:sz w:val="28"/>
                <w:szCs w:val="28"/>
                <w:vertAlign w:val="baseline"/>
              </w:rPr>
              <w:t xml:space="preserve">                                     </w:t>
            </w:r>
          </w:p>
          <w:p w14:paraId="153DC987" w14:textId="77777777" w:rsidR="00126B34" w:rsidRPr="00126B34" w:rsidRDefault="00126B34" w:rsidP="008F33E5">
            <w:pPr>
              <w:ind w:left="248" w:right="-40"/>
              <w:rPr>
                <w:rFonts w:eastAsia="Times New Roman"/>
                <w:b/>
                <w:bCs/>
                <w:snapToGrid/>
                <w:sz w:val="28"/>
                <w:szCs w:val="28"/>
                <w:vertAlign w:val="baseline"/>
              </w:rPr>
            </w:pPr>
          </w:p>
          <w:p w14:paraId="7E68FDEE" w14:textId="77777777" w:rsidR="00126B34" w:rsidRPr="00126B34" w:rsidRDefault="00126B34" w:rsidP="00126B34">
            <w:pPr>
              <w:spacing w:line="254" w:lineRule="exact"/>
              <w:ind w:left="248" w:right="-40"/>
              <w:rPr>
                <w:rFonts w:eastAsia="Times New Roman"/>
                <w:b/>
                <w:bCs/>
                <w:snapToGrid/>
                <w:sz w:val="28"/>
                <w:szCs w:val="28"/>
                <w:vertAlign w:val="baseline"/>
              </w:rPr>
            </w:pPr>
          </w:p>
        </w:tc>
      </w:tr>
    </w:tbl>
    <w:p w14:paraId="3B7B702D" w14:textId="77777777" w:rsidR="00126B34" w:rsidRPr="00126B34" w:rsidRDefault="00126B34" w:rsidP="00126B34">
      <w:pPr>
        <w:spacing w:line="480" w:lineRule="auto"/>
        <w:ind w:right="58"/>
        <w:jc w:val="both"/>
        <w:rPr>
          <w:rFonts w:eastAsia="Times New Roman"/>
          <w:snapToGrid/>
          <w:sz w:val="28"/>
          <w:szCs w:val="28"/>
          <w:vertAlign w:val="baseline"/>
          <w:lang w:eastAsia="x-none"/>
        </w:rPr>
      </w:pPr>
    </w:p>
    <w:p w14:paraId="098B5142" w14:textId="5CCD8F39" w:rsidR="00126B34" w:rsidRPr="00126B34" w:rsidRDefault="00126B34" w:rsidP="00126B34">
      <w:pPr>
        <w:spacing w:line="480" w:lineRule="auto"/>
        <w:ind w:firstLine="720"/>
        <w:jc w:val="both"/>
        <w:rPr>
          <w:rFonts w:eastAsia="Times New Roman"/>
          <w:snapToGrid/>
          <w:sz w:val="28"/>
          <w:szCs w:val="28"/>
          <w:vertAlign w:val="baseline"/>
          <w:lang w:eastAsia="x-none"/>
        </w:rPr>
      </w:pPr>
      <w:r w:rsidRPr="00126B34">
        <w:rPr>
          <w:rFonts w:eastAsia="Times New Roman"/>
          <w:snapToGrid/>
          <w:sz w:val="28"/>
          <w:szCs w:val="28"/>
          <w:vertAlign w:val="baseline"/>
          <w:lang w:eastAsia="x-none"/>
        </w:rPr>
        <w:t>Pursuant to Rule 28 of the Rules of the Supreme Court</w:t>
      </w:r>
      <w:r w:rsidR="00C40F63">
        <w:rPr>
          <w:rFonts w:eastAsia="Times New Roman"/>
          <w:snapToGrid/>
          <w:sz w:val="28"/>
          <w:szCs w:val="28"/>
          <w:vertAlign w:val="baseline"/>
          <w:lang w:eastAsia="x-none"/>
        </w:rPr>
        <w:t xml:space="preserve"> of Arizona</w:t>
      </w:r>
      <w:r w:rsidRPr="00126B34">
        <w:rPr>
          <w:rFonts w:eastAsia="Times New Roman"/>
          <w:snapToGrid/>
          <w:sz w:val="28"/>
          <w:szCs w:val="28"/>
          <w:vertAlign w:val="baseline"/>
          <w:lang w:eastAsia="x-none"/>
        </w:rPr>
        <w:t xml:space="preserve">, </w:t>
      </w:r>
      <w:r w:rsidR="000D213B">
        <w:rPr>
          <w:rFonts w:eastAsia="Times New Roman"/>
          <w:snapToGrid/>
          <w:sz w:val="28"/>
          <w:szCs w:val="28"/>
          <w:vertAlign w:val="baseline"/>
          <w:lang w:eastAsia="x-none"/>
        </w:rPr>
        <w:t xml:space="preserve">the </w:t>
      </w:r>
      <w:bookmarkStart w:id="2" w:name="_GoBack"/>
      <w:bookmarkEnd w:id="2"/>
      <w:r w:rsidR="0016027E">
        <w:rPr>
          <w:rFonts w:eastAsia="Times New Roman"/>
          <w:snapToGrid/>
          <w:sz w:val="28"/>
          <w:szCs w:val="28"/>
          <w:vertAlign w:val="baseline"/>
          <w:lang w:eastAsia="x-none"/>
        </w:rPr>
        <w:t>Central Arizona National Lawyers Guild (Central AZ NLG</w:t>
      </w:r>
      <w:r w:rsidRPr="00126B34">
        <w:rPr>
          <w:rFonts w:eastAsia="Times New Roman"/>
          <w:snapToGrid/>
          <w:sz w:val="28"/>
          <w:szCs w:val="28"/>
          <w:vertAlign w:val="baseline"/>
          <w:lang w:eastAsia="x-none"/>
        </w:rPr>
        <w:t xml:space="preserve">), respectfully submits this petition to amend the Rules of the Supreme Court of Arizona by adopting a new rule, proposed here as Rule </w:t>
      </w:r>
      <w:r w:rsidR="0016027E">
        <w:rPr>
          <w:rFonts w:eastAsia="Times New Roman"/>
          <w:snapToGrid/>
          <w:sz w:val="28"/>
          <w:szCs w:val="28"/>
          <w:vertAlign w:val="baseline"/>
          <w:lang w:eastAsia="x-none"/>
        </w:rPr>
        <w:t>24</w:t>
      </w:r>
      <w:r w:rsidRPr="00126B34">
        <w:rPr>
          <w:rFonts w:eastAsia="Times New Roman"/>
          <w:snapToGrid/>
          <w:sz w:val="28"/>
          <w:szCs w:val="28"/>
          <w:vertAlign w:val="baseline"/>
          <w:lang w:eastAsia="x-none"/>
        </w:rPr>
        <w:t xml:space="preserve">: Jury Selection, to eliminate the unfair exclusion of potential jurors based on race or ethnicity. The proposed rule would apply to all jury trials conducted by any court in Arizona.  </w:t>
      </w:r>
    </w:p>
    <w:p w14:paraId="40B8FB76" w14:textId="77777777" w:rsidR="00126B34" w:rsidRPr="00126B34" w:rsidRDefault="0016027E" w:rsidP="00126B34">
      <w:pPr>
        <w:spacing w:line="480" w:lineRule="auto"/>
        <w:ind w:firstLine="720"/>
        <w:jc w:val="both"/>
        <w:rPr>
          <w:rFonts w:eastAsia="Times New Roman"/>
          <w:snapToGrid/>
          <w:sz w:val="28"/>
          <w:szCs w:val="28"/>
          <w:vertAlign w:val="baseline"/>
          <w:lang w:eastAsia="x-none"/>
        </w:rPr>
      </w:pPr>
      <w:r>
        <w:rPr>
          <w:rFonts w:eastAsia="Times New Roman"/>
          <w:snapToGrid/>
          <w:sz w:val="28"/>
          <w:szCs w:val="28"/>
          <w:vertAlign w:val="baseline"/>
          <w:lang w:eastAsia="x-none"/>
        </w:rPr>
        <w:t>Central AZ NLG</w:t>
      </w:r>
      <w:r w:rsidR="008F33E5" w:rsidRPr="00126B34">
        <w:rPr>
          <w:rFonts w:eastAsia="Times New Roman"/>
          <w:snapToGrid/>
          <w:sz w:val="28"/>
          <w:szCs w:val="28"/>
          <w:vertAlign w:val="baseline"/>
          <w:lang w:eastAsia="x-none"/>
        </w:rPr>
        <w:t>’s proposed</w:t>
      </w:r>
      <w:r w:rsidR="00126B34" w:rsidRPr="00126B34">
        <w:rPr>
          <w:rFonts w:eastAsia="Times New Roman"/>
          <w:snapToGrid/>
          <w:sz w:val="28"/>
          <w:szCs w:val="28"/>
          <w:vertAlign w:val="baseline"/>
          <w:lang w:eastAsia="x-none"/>
        </w:rPr>
        <w:t xml:space="preserve"> amendment is</w:t>
      </w:r>
      <w:r w:rsidR="00670967">
        <w:rPr>
          <w:rFonts w:eastAsia="Times New Roman"/>
          <w:snapToGrid/>
          <w:sz w:val="28"/>
          <w:szCs w:val="28"/>
          <w:vertAlign w:val="baseline"/>
          <w:lang w:eastAsia="x-none"/>
        </w:rPr>
        <w:t xml:space="preserve"> incorporated into this pleading and</w:t>
      </w:r>
      <w:r w:rsidR="00126B34" w:rsidRPr="00126B34">
        <w:rPr>
          <w:rFonts w:eastAsia="Times New Roman"/>
          <w:snapToGrid/>
          <w:sz w:val="28"/>
          <w:szCs w:val="28"/>
          <w:vertAlign w:val="baseline"/>
          <w:lang w:eastAsia="x-none"/>
        </w:rPr>
        <w:t xml:space="preserve"> attached to this petition. </w:t>
      </w:r>
    </w:p>
    <w:p w14:paraId="1393B756" w14:textId="77777777" w:rsidR="00126B34" w:rsidRPr="00126B34" w:rsidRDefault="00126B34" w:rsidP="00126B34">
      <w:pPr>
        <w:spacing w:line="480" w:lineRule="auto"/>
        <w:ind w:firstLine="720"/>
        <w:jc w:val="both"/>
        <w:rPr>
          <w:rFonts w:eastAsia="Times New Roman"/>
          <w:snapToGrid/>
          <w:sz w:val="28"/>
          <w:szCs w:val="28"/>
          <w:vertAlign w:val="baseline"/>
          <w:lang w:eastAsia="x-none"/>
        </w:rPr>
      </w:pPr>
    </w:p>
    <w:p w14:paraId="24ED0D13" w14:textId="77777777" w:rsidR="00126B34" w:rsidRDefault="00126B34" w:rsidP="00126B34">
      <w:pPr>
        <w:numPr>
          <w:ilvl w:val="0"/>
          <w:numId w:val="1"/>
        </w:numPr>
        <w:spacing w:line="480" w:lineRule="auto"/>
        <w:jc w:val="both"/>
        <w:rPr>
          <w:rFonts w:eastAsia="Times New Roman"/>
          <w:b/>
          <w:snapToGrid/>
          <w:sz w:val="28"/>
          <w:szCs w:val="28"/>
          <w:vertAlign w:val="baseline"/>
          <w:lang w:eastAsia="x-none"/>
        </w:rPr>
      </w:pPr>
      <w:r w:rsidRPr="00126B34">
        <w:rPr>
          <w:rFonts w:eastAsia="Times New Roman"/>
          <w:b/>
          <w:snapToGrid/>
          <w:sz w:val="28"/>
          <w:szCs w:val="28"/>
          <w:vertAlign w:val="baseline"/>
          <w:lang w:eastAsia="x-none"/>
        </w:rPr>
        <w:lastRenderedPageBreak/>
        <w:t xml:space="preserve">INTERESTS OF PETITIONER </w:t>
      </w:r>
    </w:p>
    <w:p w14:paraId="351B5989" w14:textId="77777777" w:rsidR="0016027E" w:rsidRPr="0016027E" w:rsidRDefault="0016027E" w:rsidP="0016027E">
      <w:pPr>
        <w:spacing w:line="480" w:lineRule="auto"/>
        <w:ind w:firstLine="720"/>
        <w:jc w:val="both"/>
        <w:rPr>
          <w:rFonts w:eastAsia="Times New Roman"/>
          <w:snapToGrid/>
          <w:sz w:val="28"/>
          <w:szCs w:val="28"/>
          <w:vertAlign w:val="baseline"/>
          <w:lang w:eastAsia="x-none"/>
        </w:rPr>
      </w:pPr>
      <w:r w:rsidRPr="0016027E">
        <w:rPr>
          <w:rFonts w:eastAsia="Times New Roman"/>
          <w:snapToGrid/>
          <w:sz w:val="28"/>
          <w:szCs w:val="28"/>
          <w:vertAlign w:val="baseline"/>
          <w:lang w:eastAsia="x-none"/>
        </w:rPr>
        <w:t xml:space="preserve">The Central Arizona National Lawyers Guild is a local chapter of the National Lawyers Guild located in the greater Phoenix metropolitan area. </w:t>
      </w:r>
    </w:p>
    <w:p w14:paraId="7546A91E" w14:textId="77777777" w:rsidR="0016027E" w:rsidRPr="0016027E" w:rsidRDefault="0016027E" w:rsidP="0016027E">
      <w:pPr>
        <w:spacing w:line="480" w:lineRule="auto"/>
        <w:ind w:firstLine="720"/>
        <w:jc w:val="both"/>
        <w:rPr>
          <w:sz w:val="28"/>
          <w:szCs w:val="28"/>
          <w:vertAlign w:val="baseline"/>
        </w:rPr>
      </w:pPr>
      <w:r w:rsidRPr="0016027E">
        <w:rPr>
          <w:sz w:val="28"/>
          <w:szCs w:val="28"/>
          <w:vertAlign w:val="baseline"/>
        </w:rPr>
        <w:t xml:space="preserve">The National Lawyers Guild </w:t>
      </w:r>
      <w:r>
        <w:rPr>
          <w:sz w:val="28"/>
          <w:szCs w:val="28"/>
          <w:vertAlign w:val="baseline"/>
        </w:rPr>
        <w:t xml:space="preserve">(NLG) </w:t>
      </w:r>
      <w:r w:rsidRPr="0016027E">
        <w:rPr>
          <w:sz w:val="28"/>
          <w:szCs w:val="28"/>
          <w:vertAlign w:val="baseline"/>
        </w:rPr>
        <w:t>is the nation’s oldest and largest progressive bar association and was the first one in the US to be racially integrated. </w:t>
      </w:r>
      <w:r w:rsidRPr="0016027E">
        <w:rPr>
          <w:rStyle w:val="Strong"/>
          <w:b w:val="0"/>
          <w:sz w:val="28"/>
          <w:szCs w:val="28"/>
          <w:vertAlign w:val="baseline"/>
        </w:rPr>
        <w:t>Our mission is to use law for the people, uniting lawyers, law students, legal workers, and jailhouse lawyers to function as an effective force in the service of the people by valuing human rights and the rights of ecosystems over property interests</w:t>
      </w:r>
      <w:r w:rsidRPr="0016027E">
        <w:rPr>
          <w:b/>
          <w:sz w:val="28"/>
          <w:szCs w:val="28"/>
          <w:vertAlign w:val="baseline"/>
        </w:rPr>
        <w:t>.</w:t>
      </w:r>
      <w:r w:rsidRPr="0016027E">
        <w:rPr>
          <w:sz w:val="28"/>
          <w:szCs w:val="28"/>
          <w:vertAlign w:val="baseline"/>
        </w:rPr>
        <w:t xml:space="preserve"> This is achieved through the work of our members, and the Guild’s numerous organizational committees, caucuses and projects, reflecting a wide spectrum of intersectional issues. Guild members effectively network and hone their legal skills in order to help create change at the local, regional, national, and international levels.</w:t>
      </w:r>
    </w:p>
    <w:p w14:paraId="32D2E7A0" w14:textId="77777777" w:rsidR="0016027E" w:rsidRPr="0016027E" w:rsidRDefault="0016027E" w:rsidP="0016027E">
      <w:pPr>
        <w:pStyle w:val="NormalWeb"/>
        <w:spacing w:line="480" w:lineRule="auto"/>
        <w:ind w:firstLine="720"/>
        <w:jc w:val="both"/>
        <w:rPr>
          <w:sz w:val="28"/>
          <w:szCs w:val="28"/>
        </w:rPr>
      </w:pPr>
      <w:r w:rsidRPr="0016027E">
        <w:rPr>
          <w:sz w:val="28"/>
          <w:szCs w:val="28"/>
        </w:rPr>
        <w:t xml:space="preserve">The NLG is dedicated to the need for basic change in the structure of our political and economic system. Our aim is to bring together all those who recognize the importance of safeguarding and extending the rights of workers, women, LGBTQ people, farmers, people with disabilities and people of color, upon whom the welfare of the entire nation depends; who seek actively to eliminate racism; who work to maintain and protect our civil rights and liberties in the face of persistent </w:t>
      </w:r>
      <w:r w:rsidRPr="0016027E">
        <w:rPr>
          <w:sz w:val="28"/>
          <w:szCs w:val="28"/>
        </w:rPr>
        <w:lastRenderedPageBreak/>
        <w:t>attacks upon them; and who look upon the law as an instrument for the protection of the people, rather than for their repression.</w:t>
      </w:r>
    </w:p>
    <w:p w14:paraId="600CA530" w14:textId="77777777" w:rsidR="00126B34" w:rsidRPr="0016027E" w:rsidRDefault="00126B34" w:rsidP="0016027E">
      <w:pPr>
        <w:spacing w:line="480" w:lineRule="auto"/>
        <w:ind w:firstLine="720"/>
        <w:jc w:val="both"/>
        <w:rPr>
          <w:rFonts w:eastAsia="Times New Roman"/>
          <w:snapToGrid/>
          <w:sz w:val="28"/>
          <w:szCs w:val="28"/>
          <w:vertAlign w:val="baseline"/>
        </w:rPr>
      </w:pPr>
      <w:r w:rsidRPr="0016027E">
        <w:rPr>
          <w:rFonts w:eastAsia="Times New Roman"/>
          <w:snapToGrid/>
          <w:sz w:val="28"/>
          <w:szCs w:val="28"/>
          <w:vertAlign w:val="baseline"/>
        </w:rPr>
        <w:t xml:space="preserve">The proposed rule goes to the heart of </w:t>
      </w:r>
      <w:r w:rsidR="0016027E" w:rsidRPr="0016027E">
        <w:rPr>
          <w:rFonts w:eastAsia="Times New Roman"/>
          <w:snapToGrid/>
          <w:sz w:val="28"/>
          <w:szCs w:val="28"/>
          <w:vertAlign w:val="baseline"/>
        </w:rPr>
        <w:t>Central AZ NLG</w:t>
      </w:r>
      <w:r w:rsidRPr="0016027E">
        <w:rPr>
          <w:rFonts w:eastAsia="Times New Roman"/>
          <w:snapToGrid/>
          <w:sz w:val="28"/>
          <w:szCs w:val="28"/>
          <w:vertAlign w:val="baseline"/>
        </w:rPr>
        <w:t xml:space="preserve">’s mission by ensuring that no person is ever denied a fair trial because a juror was excluded from serving on the jury because of racial or ethnic bias.  </w:t>
      </w:r>
    </w:p>
    <w:p w14:paraId="602A07E4" w14:textId="77777777" w:rsidR="00AF123A" w:rsidRPr="0016027E" w:rsidRDefault="00AF123A" w:rsidP="0016027E">
      <w:pPr>
        <w:spacing w:line="480" w:lineRule="auto"/>
        <w:ind w:firstLine="720"/>
        <w:jc w:val="both"/>
        <w:rPr>
          <w:rFonts w:eastAsia="Times New Roman"/>
          <w:snapToGrid/>
          <w:sz w:val="28"/>
          <w:szCs w:val="28"/>
          <w:vertAlign w:val="baseline"/>
        </w:rPr>
      </w:pPr>
    </w:p>
    <w:p w14:paraId="477D8D6B" w14:textId="77777777" w:rsidR="00AF123A" w:rsidRPr="0016027E" w:rsidRDefault="00AF123A" w:rsidP="00126B34">
      <w:pPr>
        <w:spacing w:line="480" w:lineRule="auto"/>
        <w:ind w:firstLine="720"/>
        <w:jc w:val="both"/>
        <w:rPr>
          <w:rFonts w:eastAsia="Times New Roman"/>
          <w:snapToGrid/>
          <w:sz w:val="28"/>
          <w:szCs w:val="28"/>
          <w:vertAlign w:val="baseline"/>
        </w:rPr>
      </w:pPr>
    </w:p>
    <w:p w14:paraId="36A728AC" w14:textId="77777777" w:rsidR="00AF123A" w:rsidRDefault="00AF123A" w:rsidP="00126B34">
      <w:pPr>
        <w:spacing w:line="480" w:lineRule="auto"/>
        <w:ind w:firstLine="720"/>
        <w:jc w:val="both"/>
        <w:rPr>
          <w:rFonts w:eastAsia="Times New Roman"/>
          <w:snapToGrid/>
          <w:sz w:val="28"/>
          <w:szCs w:val="28"/>
          <w:vertAlign w:val="baseline"/>
        </w:rPr>
      </w:pPr>
    </w:p>
    <w:p w14:paraId="45D0306A" w14:textId="77777777" w:rsidR="00AF123A" w:rsidRDefault="00AF123A" w:rsidP="00126B34">
      <w:pPr>
        <w:spacing w:line="480" w:lineRule="auto"/>
        <w:ind w:firstLine="720"/>
        <w:jc w:val="both"/>
        <w:rPr>
          <w:rFonts w:eastAsia="Times New Roman"/>
          <w:snapToGrid/>
          <w:sz w:val="28"/>
          <w:szCs w:val="28"/>
          <w:vertAlign w:val="baseline"/>
        </w:rPr>
      </w:pPr>
    </w:p>
    <w:p w14:paraId="5EDE3BDB" w14:textId="77777777" w:rsidR="00AF123A" w:rsidRDefault="00AF123A" w:rsidP="00126B34">
      <w:pPr>
        <w:spacing w:line="480" w:lineRule="auto"/>
        <w:ind w:firstLine="720"/>
        <w:jc w:val="both"/>
        <w:rPr>
          <w:rFonts w:eastAsia="Times New Roman"/>
          <w:snapToGrid/>
          <w:sz w:val="28"/>
          <w:szCs w:val="28"/>
          <w:vertAlign w:val="baseline"/>
        </w:rPr>
      </w:pPr>
    </w:p>
    <w:p w14:paraId="0EAB293D" w14:textId="77777777" w:rsidR="00AF123A" w:rsidRDefault="00AF123A" w:rsidP="00126B34">
      <w:pPr>
        <w:spacing w:line="480" w:lineRule="auto"/>
        <w:ind w:firstLine="720"/>
        <w:jc w:val="both"/>
        <w:rPr>
          <w:rFonts w:eastAsia="Times New Roman"/>
          <w:snapToGrid/>
          <w:sz w:val="28"/>
          <w:szCs w:val="28"/>
          <w:vertAlign w:val="baseline"/>
        </w:rPr>
      </w:pPr>
    </w:p>
    <w:p w14:paraId="5759B31E" w14:textId="77777777" w:rsidR="0016027E" w:rsidRDefault="0016027E" w:rsidP="00126B34">
      <w:pPr>
        <w:spacing w:line="480" w:lineRule="auto"/>
        <w:ind w:firstLine="720"/>
        <w:jc w:val="both"/>
        <w:rPr>
          <w:rFonts w:eastAsia="Times New Roman"/>
          <w:snapToGrid/>
          <w:sz w:val="28"/>
          <w:szCs w:val="28"/>
          <w:vertAlign w:val="baseline"/>
        </w:rPr>
      </w:pPr>
    </w:p>
    <w:p w14:paraId="27397B50" w14:textId="77777777" w:rsidR="0016027E" w:rsidRDefault="0016027E" w:rsidP="00126B34">
      <w:pPr>
        <w:spacing w:line="480" w:lineRule="auto"/>
        <w:ind w:firstLine="720"/>
        <w:jc w:val="both"/>
        <w:rPr>
          <w:rFonts w:eastAsia="Times New Roman"/>
          <w:snapToGrid/>
          <w:sz w:val="28"/>
          <w:szCs w:val="28"/>
          <w:vertAlign w:val="baseline"/>
        </w:rPr>
      </w:pPr>
    </w:p>
    <w:p w14:paraId="633C77BD" w14:textId="77777777" w:rsidR="0016027E" w:rsidRDefault="0016027E" w:rsidP="00126B34">
      <w:pPr>
        <w:spacing w:line="480" w:lineRule="auto"/>
        <w:ind w:firstLine="720"/>
        <w:jc w:val="both"/>
        <w:rPr>
          <w:rFonts w:eastAsia="Times New Roman"/>
          <w:snapToGrid/>
          <w:sz w:val="28"/>
          <w:szCs w:val="28"/>
          <w:vertAlign w:val="baseline"/>
        </w:rPr>
      </w:pPr>
    </w:p>
    <w:p w14:paraId="21CA7909" w14:textId="77777777" w:rsidR="0016027E" w:rsidRDefault="0016027E" w:rsidP="00126B34">
      <w:pPr>
        <w:spacing w:line="480" w:lineRule="auto"/>
        <w:ind w:firstLine="720"/>
        <w:jc w:val="both"/>
        <w:rPr>
          <w:rFonts w:eastAsia="Times New Roman"/>
          <w:snapToGrid/>
          <w:sz w:val="28"/>
          <w:szCs w:val="28"/>
          <w:vertAlign w:val="baseline"/>
        </w:rPr>
      </w:pPr>
    </w:p>
    <w:p w14:paraId="6F920CE8" w14:textId="77777777" w:rsidR="0016027E" w:rsidRDefault="0016027E" w:rsidP="00126B34">
      <w:pPr>
        <w:spacing w:line="480" w:lineRule="auto"/>
        <w:ind w:firstLine="720"/>
        <w:jc w:val="both"/>
        <w:rPr>
          <w:rFonts w:eastAsia="Times New Roman"/>
          <w:snapToGrid/>
          <w:sz w:val="28"/>
          <w:szCs w:val="28"/>
          <w:vertAlign w:val="baseline"/>
        </w:rPr>
      </w:pPr>
    </w:p>
    <w:p w14:paraId="51061ACA" w14:textId="77777777" w:rsidR="0016027E" w:rsidRDefault="0016027E" w:rsidP="00126B34">
      <w:pPr>
        <w:spacing w:line="480" w:lineRule="auto"/>
        <w:ind w:firstLine="720"/>
        <w:jc w:val="both"/>
        <w:rPr>
          <w:rFonts w:eastAsia="Times New Roman"/>
          <w:snapToGrid/>
          <w:sz w:val="28"/>
          <w:szCs w:val="28"/>
          <w:vertAlign w:val="baseline"/>
        </w:rPr>
      </w:pPr>
    </w:p>
    <w:p w14:paraId="723E909F" w14:textId="77777777" w:rsidR="0016027E" w:rsidRDefault="0016027E" w:rsidP="00126B34">
      <w:pPr>
        <w:spacing w:line="480" w:lineRule="auto"/>
        <w:ind w:firstLine="720"/>
        <w:jc w:val="both"/>
        <w:rPr>
          <w:rFonts w:eastAsia="Times New Roman"/>
          <w:snapToGrid/>
          <w:sz w:val="28"/>
          <w:szCs w:val="28"/>
          <w:vertAlign w:val="baseline"/>
        </w:rPr>
      </w:pPr>
    </w:p>
    <w:p w14:paraId="653F0A69" w14:textId="77777777" w:rsidR="0016027E" w:rsidRDefault="0016027E" w:rsidP="00126B34">
      <w:pPr>
        <w:spacing w:line="480" w:lineRule="auto"/>
        <w:ind w:firstLine="720"/>
        <w:jc w:val="both"/>
        <w:rPr>
          <w:rFonts w:eastAsia="Times New Roman"/>
          <w:snapToGrid/>
          <w:sz w:val="28"/>
          <w:szCs w:val="28"/>
          <w:vertAlign w:val="baseline"/>
        </w:rPr>
      </w:pPr>
    </w:p>
    <w:p w14:paraId="3E7F58A7" w14:textId="77777777" w:rsidR="00AF123A" w:rsidRPr="00126B34" w:rsidRDefault="00AF123A" w:rsidP="00126B34">
      <w:pPr>
        <w:spacing w:line="480" w:lineRule="auto"/>
        <w:ind w:firstLine="720"/>
        <w:jc w:val="both"/>
        <w:rPr>
          <w:rFonts w:eastAsia="Times New Roman"/>
          <w:snapToGrid/>
          <w:sz w:val="28"/>
          <w:szCs w:val="28"/>
          <w:vertAlign w:val="baseline"/>
        </w:rPr>
      </w:pPr>
    </w:p>
    <w:p w14:paraId="3678D7D5" w14:textId="77777777" w:rsidR="00126B34" w:rsidRDefault="00126B34" w:rsidP="00126B34">
      <w:pPr>
        <w:numPr>
          <w:ilvl w:val="0"/>
          <w:numId w:val="1"/>
        </w:numPr>
        <w:spacing w:line="480" w:lineRule="auto"/>
        <w:jc w:val="both"/>
        <w:rPr>
          <w:rFonts w:eastAsia="Times New Roman"/>
          <w:b/>
          <w:snapToGrid/>
          <w:sz w:val="28"/>
          <w:szCs w:val="28"/>
          <w:vertAlign w:val="baseline"/>
        </w:rPr>
      </w:pPr>
      <w:r w:rsidRPr="00126B34">
        <w:rPr>
          <w:rFonts w:eastAsia="Times New Roman"/>
          <w:b/>
          <w:snapToGrid/>
          <w:sz w:val="28"/>
          <w:szCs w:val="28"/>
          <w:vertAlign w:val="baseline"/>
        </w:rPr>
        <w:lastRenderedPageBreak/>
        <w:t>THE PURPOSE OF THE PROPOSED AMENDMENT</w:t>
      </w:r>
    </w:p>
    <w:p w14:paraId="54FCE610" w14:textId="77777777" w:rsidR="008F33E5" w:rsidRDefault="008F33E5" w:rsidP="008F33E5">
      <w:pPr>
        <w:spacing w:line="480" w:lineRule="auto"/>
        <w:ind w:firstLine="720"/>
        <w:jc w:val="both"/>
        <w:rPr>
          <w:rFonts w:eastAsia="Times New Roman"/>
          <w:snapToGrid/>
          <w:sz w:val="28"/>
          <w:szCs w:val="28"/>
          <w:vertAlign w:val="baseline"/>
        </w:rPr>
      </w:pPr>
    </w:p>
    <w:p w14:paraId="0512CBEF" w14:textId="77777777" w:rsidR="008F33E5" w:rsidRDefault="008F33E5" w:rsidP="008F33E5">
      <w:pPr>
        <w:spacing w:line="480" w:lineRule="auto"/>
        <w:ind w:firstLine="720"/>
        <w:jc w:val="both"/>
        <w:rPr>
          <w:rFonts w:eastAsia="Times New Roman"/>
          <w:snapToGrid/>
          <w:sz w:val="28"/>
          <w:szCs w:val="28"/>
          <w:vertAlign w:val="baseline"/>
        </w:rPr>
      </w:pPr>
      <w:r w:rsidRPr="008F33E5">
        <w:rPr>
          <w:rFonts w:eastAsia="Times New Roman"/>
          <w:snapToGrid/>
          <w:sz w:val="28"/>
          <w:szCs w:val="28"/>
          <w:vertAlign w:val="baseline"/>
        </w:rPr>
        <w:t xml:space="preserve">There is a strong consensus among legal scholars that racial and ethnic discrimination persists during jury selection.  Reform is needed to address the subtle and persistent forms of discrimination that current procedures have </w:t>
      </w:r>
      <w:r w:rsidR="00670967">
        <w:rPr>
          <w:rFonts w:eastAsia="Times New Roman"/>
          <w:snapToGrid/>
          <w:sz w:val="28"/>
          <w:szCs w:val="28"/>
          <w:vertAlign w:val="baseline"/>
        </w:rPr>
        <w:t xml:space="preserve">permitted </w:t>
      </w:r>
      <w:r w:rsidRPr="008F33E5">
        <w:rPr>
          <w:rFonts w:eastAsia="Times New Roman"/>
          <w:snapToGrid/>
          <w:sz w:val="28"/>
          <w:szCs w:val="28"/>
          <w:vertAlign w:val="baseline"/>
        </w:rPr>
        <w:t xml:space="preserve">to continue unchecked. </w:t>
      </w:r>
    </w:p>
    <w:p w14:paraId="3D263451" w14:textId="77777777" w:rsidR="008F33E5" w:rsidRPr="00126B34" w:rsidRDefault="008F33E5" w:rsidP="008F33E5">
      <w:pPr>
        <w:spacing w:line="480" w:lineRule="auto"/>
        <w:ind w:firstLine="720"/>
        <w:jc w:val="both"/>
        <w:rPr>
          <w:rFonts w:eastAsia="Times New Roman"/>
          <w:b/>
          <w:snapToGrid/>
          <w:sz w:val="28"/>
          <w:szCs w:val="28"/>
          <w:vertAlign w:val="baseline"/>
        </w:rPr>
      </w:pPr>
    </w:p>
    <w:p w14:paraId="7DB1CC82" w14:textId="77777777" w:rsidR="00126B34" w:rsidRPr="008F33E5" w:rsidRDefault="00126B34" w:rsidP="008A7C7A">
      <w:pPr>
        <w:pStyle w:val="ListParagraph"/>
        <w:numPr>
          <w:ilvl w:val="0"/>
          <w:numId w:val="4"/>
        </w:numPr>
        <w:jc w:val="both"/>
        <w:rPr>
          <w:rFonts w:eastAsia="Times New Roman"/>
          <w:b/>
          <w:snapToGrid/>
          <w:sz w:val="28"/>
          <w:szCs w:val="28"/>
          <w:vertAlign w:val="baseline"/>
        </w:rPr>
      </w:pPr>
      <w:r w:rsidRPr="008F33E5">
        <w:rPr>
          <w:rFonts w:eastAsia="Times New Roman"/>
          <w:b/>
          <w:i/>
          <w:snapToGrid/>
          <w:sz w:val="28"/>
          <w:szCs w:val="28"/>
          <w:vertAlign w:val="baseline"/>
        </w:rPr>
        <w:t>Batson v. Kentucky</w:t>
      </w:r>
      <w:r w:rsidRPr="008F33E5">
        <w:rPr>
          <w:rFonts w:eastAsia="Times New Roman"/>
          <w:b/>
          <w:snapToGrid/>
          <w:sz w:val="28"/>
          <w:szCs w:val="28"/>
          <w:vertAlign w:val="baseline"/>
        </w:rPr>
        <w:t xml:space="preserve"> has failed to eliminate racial and ethnic discrimination from jury selection. </w:t>
      </w:r>
    </w:p>
    <w:p w14:paraId="28FF8333" w14:textId="77777777" w:rsidR="00126B34" w:rsidRPr="00126B34" w:rsidRDefault="00126B34" w:rsidP="00126B34">
      <w:pPr>
        <w:spacing w:line="480" w:lineRule="auto"/>
        <w:jc w:val="both"/>
        <w:rPr>
          <w:rFonts w:eastAsia="Times New Roman"/>
          <w:snapToGrid/>
          <w:sz w:val="28"/>
          <w:szCs w:val="28"/>
          <w:vertAlign w:val="baseline"/>
        </w:rPr>
      </w:pPr>
    </w:p>
    <w:p w14:paraId="6D590BA0" w14:textId="77777777" w:rsidR="00126B34" w:rsidRPr="00126B34" w:rsidRDefault="00126B34" w:rsidP="00126B34">
      <w:pPr>
        <w:spacing w:line="480" w:lineRule="auto"/>
        <w:ind w:firstLine="720"/>
        <w:jc w:val="both"/>
        <w:rPr>
          <w:rFonts w:eastAsia="Times New Roman"/>
          <w:snapToGrid/>
          <w:sz w:val="28"/>
          <w:szCs w:val="28"/>
          <w:vertAlign w:val="baseline"/>
        </w:rPr>
      </w:pPr>
      <w:r w:rsidRPr="00126B34">
        <w:rPr>
          <w:rFonts w:eastAsia="Times New Roman"/>
          <w:snapToGrid/>
          <w:sz w:val="28"/>
          <w:szCs w:val="28"/>
          <w:vertAlign w:val="baseline"/>
        </w:rPr>
        <w:t xml:space="preserve">“From its inception, the United States Supreme Court's landmark decision in </w:t>
      </w:r>
      <w:r w:rsidRPr="00126B34">
        <w:rPr>
          <w:rFonts w:eastAsia="Times New Roman"/>
          <w:i/>
          <w:snapToGrid/>
          <w:sz w:val="28"/>
          <w:szCs w:val="28"/>
          <w:vertAlign w:val="baseline"/>
        </w:rPr>
        <w:t>Batson v. Kentucky</w:t>
      </w:r>
      <w:r w:rsidRPr="00126B34">
        <w:rPr>
          <w:rFonts w:eastAsia="Times New Roman"/>
          <w:snapToGrid/>
          <w:sz w:val="28"/>
          <w:szCs w:val="28"/>
          <w:vertAlign w:val="baseline"/>
        </w:rPr>
        <w:t xml:space="preserve">, 476 U.S. 79 (1986), has been roundly criticized as ineffectual in addressing the discriminatory use of peremptory challenges during jury selection, largely because it fails to address the effect of implicit bias or lines of voir dire questioning with a disparate impact on minority jurors.” State v. Holmes, 334 Conn. 202, 204–05 (2019) (citing </w:t>
      </w:r>
      <w:hyperlink r:id="rId8" w:history="1">
        <w:r w:rsidRPr="00126B34">
          <w:rPr>
            <w:rFonts w:eastAsia="Times New Roman"/>
            <w:i/>
            <w:iCs/>
            <w:snapToGrid/>
            <w:sz w:val="28"/>
            <w:szCs w:val="28"/>
            <w:vertAlign w:val="baseline"/>
          </w:rPr>
          <w:t>Batson</w:t>
        </w:r>
        <w:r w:rsidRPr="00126B34">
          <w:rPr>
            <w:rFonts w:eastAsia="Times New Roman"/>
            <w:snapToGrid/>
            <w:sz w:val="28"/>
            <w:szCs w:val="28"/>
            <w:vertAlign w:val="baseline"/>
          </w:rPr>
          <w:t xml:space="preserve"> v. </w:t>
        </w:r>
        <w:r w:rsidRPr="00126B34">
          <w:rPr>
            <w:rFonts w:eastAsia="Times New Roman"/>
            <w:i/>
            <w:iCs/>
            <w:snapToGrid/>
            <w:sz w:val="28"/>
            <w:szCs w:val="28"/>
            <w:vertAlign w:val="baseline"/>
          </w:rPr>
          <w:t>Kentucky</w:t>
        </w:r>
        <w:r w:rsidRPr="00126B34">
          <w:rPr>
            <w:rFonts w:eastAsia="Times New Roman"/>
            <w:snapToGrid/>
            <w:sz w:val="28"/>
            <w:szCs w:val="28"/>
            <w:vertAlign w:val="baseline"/>
          </w:rPr>
          <w:t>, supra, 476 U.S. at 106, 106 S.Ct. 1712</w:t>
        </w:r>
      </w:hyperlink>
      <w:r w:rsidRPr="00126B34">
        <w:rPr>
          <w:rFonts w:eastAsia="Times New Roman"/>
          <w:snapToGrid/>
          <w:sz w:val="28"/>
          <w:szCs w:val="28"/>
          <w:vertAlign w:val="baseline"/>
        </w:rPr>
        <w:t xml:space="preserve"> (Marshall, J., concurring); </w:t>
      </w:r>
      <w:hyperlink r:id="rId9" w:anchor="co_pp_sp_595_359" w:history="1">
        <w:r w:rsidRPr="00126B34">
          <w:rPr>
            <w:rFonts w:eastAsia="Times New Roman"/>
            <w:i/>
            <w:iCs/>
            <w:snapToGrid/>
            <w:sz w:val="28"/>
            <w:szCs w:val="28"/>
            <w:vertAlign w:val="baseline"/>
          </w:rPr>
          <w:t>State</w:t>
        </w:r>
        <w:r w:rsidRPr="00126B34">
          <w:rPr>
            <w:rFonts w:eastAsia="Times New Roman"/>
            <w:snapToGrid/>
            <w:sz w:val="28"/>
            <w:szCs w:val="28"/>
            <w:vertAlign w:val="baseline"/>
          </w:rPr>
          <w:t xml:space="preserve"> v. </w:t>
        </w:r>
        <w:r w:rsidRPr="00126B34">
          <w:rPr>
            <w:rFonts w:eastAsia="Times New Roman"/>
            <w:i/>
            <w:iCs/>
            <w:snapToGrid/>
            <w:sz w:val="28"/>
            <w:szCs w:val="28"/>
            <w:vertAlign w:val="baseline"/>
          </w:rPr>
          <w:t>Veal</w:t>
        </w:r>
        <w:r w:rsidRPr="00126B34">
          <w:rPr>
            <w:rFonts w:eastAsia="Times New Roman"/>
            <w:snapToGrid/>
            <w:sz w:val="28"/>
            <w:szCs w:val="28"/>
            <w:vertAlign w:val="baseline"/>
          </w:rPr>
          <w:t>, 930 N.W.2d 319, 359–61 (Iowa 2019)</w:t>
        </w:r>
      </w:hyperlink>
      <w:r w:rsidRPr="00126B34">
        <w:rPr>
          <w:rFonts w:eastAsia="Times New Roman"/>
          <w:snapToGrid/>
          <w:sz w:val="28"/>
          <w:szCs w:val="28"/>
          <w:vertAlign w:val="baseline"/>
        </w:rPr>
        <w:t xml:space="preserve"> (Appel, J., concurring in part and dissenting in part); </w:t>
      </w:r>
      <w:hyperlink r:id="rId10" w:anchor="co_pp_sp_4645_46" w:history="1">
        <w:r w:rsidRPr="00126B34">
          <w:rPr>
            <w:rFonts w:eastAsia="Times New Roman"/>
            <w:i/>
            <w:iCs/>
            <w:snapToGrid/>
            <w:sz w:val="28"/>
            <w:szCs w:val="28"/>
            <w:vertAlign w:val="baseline"/>
          </w:rPr>
          <w:t>State</w:t>
        </w:r>
        <w:r w:rsidRPr="00126B34">
          <w:rPr>
            <w:rFonts w:eastAsia="Times New Roman"/>
            <w:snapToGrid/>
            <w:sz w:val="28"/>
            <w:szCs w:val="28"/>
            <w:vertAlign w:val="baseline"/>
          </w:rPr>
          <w:t xml:space="preserve"> v. </w:t>
        </w:r>
        <w:r w:rsidRPr="00126B34">
          <w:rPr>
            <w:rFonts w:eastAsia="Times New Roman"/>
            <w:i/>
            <w:iCs/>
            <w:snapToGrid/>
            <w:sz w:val="28"/>
            <w:szCs w:val="28"/>
            <w:vertAlign w:val="baseline"/>
          </w:rPr>
          <w:t>Saintcalle</w:t>
        </w:r>
        <w:r w:rsidRPr="00126B34">
          <w:rPr>
            <w:rFonts w:eastAsia="Times New Roman"/>
            <w:snapToGrid/>
            <w:sz w:val="28"/>
            <w:szCs w:val="28"/>
            <w:vertAlign w:val="baseline"/>
          </w:rPr>
          <w:t>, 178 Wash. 2d 34, 46–49, 309 P.3d 326</w:t>
        </w:r>
      </w:hyperlink>
      <w:r w:rsidRPr="00126B34">
        <w:rPr>
          <w:rFonts w:eastAsia="Times New Roman"/>
          <w:snapToGrid/>
          <w:sz w:val="28"/>
          <w:szCs w:val="28"/>
          <w:vertAlign w:val="baseline"/>
        </w:rPr>
        <w:t xml:space="preserve"> (overruled in part on other grounds by </w:t>
      </w:r>
      <w:hyperlink r:id="rId11" w:history="1">
        <w:r w:rsidRPr="00126B34">
          <w:rPr>
            <w:rFonts w:eastAsia="Times New Roman"/>
            <w:i/>
            <w:iCs/>
            <w:snapToGrid/>
            <w:sz w:val="28"/>
            <w:szCs w:val="28"/>
            <w:vertAlign w:val="baseline"/>
          </w:rPr>
          <w:t>Seattle</w:t>
        </w:r>
        <w:r w:rsidRPr="00126B34">
          <w:rPr>
            <w:rFonts w:eastAsia="Times New Roman"/>
            <w:snapToGrid/>
            <w:sz w:val="28"/>
            <w:szCs w:val="28"/>
            <w:vertAlign w:val="baseline"/>
          </w:rPr>
          <w:t xml:space="preserve"> v. </w:t>
        </w:r>
        <w:r w:rsidRPr="00126B34">
          <w:rPr>
            <w:rFonts w:eastAsia="Times New Roman"/>
            <w:i/>
            <w:iCs/>
            <w:snapToGrid/>
            <w:sz w:val="28"/>
            <w:szCs w:val="28"/>
            <w:vertAlign w:val="baseline"/>
          </w:rPr>
          <w:t>Erickson</w:t>
        </w:r>
        <w:r w:rsidRPr="00126B34">
          <w:rPr>
            <w:rFonts w:eastAsia="Times New Roman"/>
            <w:snapToGrid/>
            <w:sz w:val="28"/>
            <w:szCs w:val="28"/>
            <w:vertAlign w:val="baseline"/>
          </w:rPr>
          <w:t>, 188 Wash. 2d 721, 398 P.3d 1124 [2017]</w:t>
        </w:r>
      </w:hyperlink>
      <w:r w:rsidRPr="00126B34">
        <w:rPr>
          <w:rFonts w:eastAsia="Times New Roman"/>
          <w:snapToGrid/>
          <w:sz w:val="28"/>
          <w:szCs w:val="28"/>
          <w:vertAlign w:val="baseline"/>
        </w:rPr>
        <w:t xml:space="preserve">), cert. denied, </w:t>
      </w:r>
      <w:hyperlink r:id="rId12" w:history="1">
        <w:r w:rsidRPr="00126B34">
          <w:rPr>
            <w:rFonts w:eastAsia="Times New Roman"/>
            <w:snapToGrid/>
            <w:sz w:val="28"/>
            <w:szCs w:val="28"/>
            <w:vertAlign w:val="baseline"/>
          </w:rPr>
          <w:t>571 U.S. 1113, 134 S. Ct. 831, 187 L. Ed. 2d 691 (2013)</w:t>
        </w:r>
      </w:hyperlink>
      <w:r w:rsidRPr="00126B34">
        <w:rPr>
          <w:rFonts w:eastAsia="Times New Roman"/>
          <w:snapToGrid/>
          <w:sz w:val="28"/>
          <w:szCs w:val="28"/>
          <w:vertAlign w:val="baseline"/>
        </w:rPr>
        <w:t>; J. Bellin &amp; J. Semitsu, “</w:t>
      </w:r>
      <w:hyperlink r:id="rId13" w:anchor="co_pp_sp_1111_1077" w:history="1">
        <w:r w:rsidRPr="00126B34">
          <w:rPr>
            <w:rFonts w:eastAsia="Times New Roman"/>
            <w:snapToGrid/>
            <w:sz w:val="28"/>
            <w:szCs w:val="28"/>
            <w:vertAlign w:val="baseline"/>
          </w:rPr>
          <w:t xml:space="preserve">Widening </w:t>
        </w:r>
        <w:r w:rsidRPr="00126B34">
          <w:rPr>
            <w:rFonts w:eastAsia="Times New Roman"/>
            <w:i/>
            <w:iCs/>
            <w:snapToGrid/>
            <w:sz w:val="28"/>
            <w:szCs w:val="28"/>
            <w:vertAlign w:val="baseline"/>
          </w:rPr>
          <w:t>Batson</w:t>
        </w:r>
        <w:r w:rsidRPr="00126B34">
          <w:rPr>
            <w:rFonts w:eastAsia="Times New Roman"/>
            <w:snapToGrid/>
            <w:sz w:val="28"/>
            <w:szCs w:val="28"/>
            <w:vertAlign w:val="baseline"/>
          </w:rPr>
          <w:t xml:space="preserve">'s </w:t>
        </w:r>
        <w:r w:rsidRPr="00126B34">
          <w:rPr>
            <w:rFonts w:eastAsia="Times New Roman"/>
            <w:snapToGrid/>
            <w:sz w:val="28"/>
            <w:szCs w:val="28"/>
            <w:vertAlign w:val="baseline"/>
          </w:rPr>
          <w:lastRenderedPageBreak/>
          <w:t>Net To Ensnare More Than the Unapologetically Bigoted or Painfully Unimaginative Attorney,” 96 Cornell L. Rev. 1075, 1077–78 (2011)</w:t>
        </w:r>
      </w:hyperlink>
      <w:r w:rsidRPr="00126B34">
        <w:rPr>
          <w:rFonts w:eastAsia="Times New Roman"/>
          <w:snapToGrid/>
          <w:sz w:val="28"/>
          <w:szCs w:val="28"/>
          <w:vertAlign w:val="baseline"/>
        </w:rPr>
        <w:t>; N. Marder, “</w:t>
      </w:r>
      <w:hyperlink r:id="rId14" w:anchor="co_pp_sp_2276_1182" w:history="1">
        <w:r w:rsidRPr="00126B34">
          <w:rPr>
            <w:rFonts w:eastAsia="Times New Roman"/>
            <w:i/>
            <w:iCs/>
            <w:snapToGrid/>
            <w:sz w:val="28"/>
            <w:szCs w:val="28"/>
            <w:vertAlign w:val="baseline"/>
          </w:rPr>
          <w:t>Foster</w:t>
        </w:r>
        <w:r w:rsidRPr="00126B34">
          <w:rPr>
            <w:rFonts w:eastAsia="Times New Roman"/>
            <w:snapToGrid/>
            <w:sz w:val="28"/>
            <w:szCs w:val="28"/>
            <w:vertAlign w:val="baseline"/>
          </w:rPr>
          <w:t xml:space="preserve"> v. </w:t>
        </w:r>
        <w:r w:rsidRPr="00126B34">
          <w:rPr>
            <w:rFonts w:eastAsia="Times New Roman"/>
            <w:i/>
            <w:iCs/>
            <w:snapToGrid/>
            <w:sz w:val="28"/>
            <w:szCs w:val="28"/>
            <w:vertAlign w:val="baseline"/>
          </w:rPr>
          <w:t>Chatman</w:t>
        </w:r>
        <w:r w:rsidRPr="00126B34">
          <w:rPr>
            <w:rFonts w:eastAsia="Times New Roman"/>
            <w:snapToGrid/>
            <w:sz w:val="28"/>
            <w:szCs w:val="28"/>
            <w:vertAlign w:val="baseline"/>
          </w:rPr>
          <w:t xml:space="preserve">: A Missed Opportunity for </w:t>
        </w:r>
        <w:r w:rsidRPr="00126B34">
          <w:rPr>
            <w:rFonts w:eastAsia="Times New Roman"/>
            <w:i/>
            <w:iCs/>
            <w:snapToGrid/>
            <w:sz w:val="28"/>
            <w:szCs w:val="28"/>
            <w:vertAlign w:val="baseline"/>
          </w:rPr>
          <w:t>Batson</w:t>
        </w:r>
        <w:r w:rsidRPr="00126B34">
          <w:rPr>
            <w:rFonts w:eastAsia="Times New Roman"/>
            <w:snapToGrid/>
            <w:sz w:val="28"/>
            <w:szCs w:val="28"/>
            <w:vertAlign w:val="baseline"/>
          </w:rPr>
          <w:t xml:space="preserve"> and the Peremptory Challenge,” 49 Conn. L. Rev. 1137, 1182–83 (2017)</w:t>
        </w:r>
      </w:hyperlink>
      <w:r w:rsidRPr="00126B34">
        <w:rPr>
          <w:rFonts w:eastAsia="Times New Roman"/>
          <w:snapToGrid/>
          <w:sz w:val="28"/>
          <w:szCs w:val="28"/>
          <w:vertAlign w:val="baseline"/>
        </w:rPr>
        <w:t>; A. Page, “</w:t>
      </w:r>
      <w:hyperlink r:id="rId15" w:anchor="co_pp_sp_3197_178" w:history="1">
        <w:r w:rsidRPr="00126B34">
          <w:rPr>
            <w:rFonts w:eastAsia="Times New Roman"/>
            <w:i/>
            <w:iCs/>
            <w:snapToGrid/>
            <w:sz w:val="28"/>
            <w:szCs w:val="28"/>
            <w:vertAlign w:val="baseline"/>
          </w:rPr>
          <w:t>Batson</w:t>
        </w:r>
        <w:r w:rsidRPr="00126B34">
          <w:rPr>
            <w:rFonts w:eastAsia="Times New Roman"/>
            <w:snapToGrid/>
            <w:sz w:val="28"/>
            <w:szCs w:val="28"/>
            <w:vertAlign w:val="baseline"/>
          </w:rPr>
          <w:t>'s Blind-Spot: Unconscious Stereotyping and the Peremptory Challenge,” 85 B.U. L. Rev. 155, 178–79 and n.102 (2005)</w:t>
        </w:r>
      </w:hyperlink>
      <w:r w:rsidRPr="00126B34">
        <w:rPr>
          <w:rFonts w:eastAsia="Times New Roman"/>
          <w:snapToGrid/>
          <w:sz w:val="28"/>
          <w:szCs w:val="28"/>
          <w:vertAlign w:val="baseline"/>
        </w:rPr>
        <w:t>; T. Tetlow, “</w:t>
      </w:r>
      <w:hyperlink r:id="rId16" w:anchor="co_pp_sp_2984_1887" w:history="1">
        <w:r w:rsidRPr="00126B34">
          <w:rPr>
            <w:rFonts w:eastAsia="Times New Roman"/>
            <w:snapToGrid/>
            <w:sz w:val="28"/>
            <w:szCs w:val="28"/>
            <w:vertAlign w:val="baseline"/>
          </w:rPr>
          <w:t xml:space="preserve">Solving </w:t>
        </w:r>
        <w:r w:rsidRPr="00126B34">
          <w:rPr>
            <w:rFonts w:eastAsia="Times New Roman"/>
            <w:i/>
            <w:iCs/>
            <w:snapToGrid/>
            <w:sz w:val="28"/>
            <w:szCs w:val="28"/>
            <w:vertAlign w:val="baseline"/>
          </w:rPr>
          <w:t>Batson</w:t>
        </w:r>
        <w:r w:rsidRPr="00126B34">
          <w:rPr>
            <w:rFonts w:eastAsia="Times New Roman"/>
            <w:snapToGrid/>
            <w:sz w:val="28"/>
            <w:szCs w:val="28"/>
            <w:vertAlign w:val="baseline"/>
          </w:rPr>
          <w:t>,” 56 Wm. &amp; Mary L. Rev. 1859, 1887–89 (2015)</w:t>
        </w:r>
      </w:hyperlink>
      <w:r w:rsidRPr="00126B34">
        <w:rPr>
          <w:rFonts w:eastAsia="Times New Roman"/>
          <w:snapToGrid/>
          <w:sz w:val="28"/>
          <w:szCs w:val="28"/>
          <w:vertAlign w:val="baseline"/>
        </w:rPr>
        <w:t xml:space="preserve">.). </w:t>
      </w:r>
    </w:p>
    <w:p w14:paraId="0C1FD9A3" w14:textId="77777777" w:rsidR="00670967" w:rsidRDefault="00126B34" w:rsidP="00126B34">
      <w:pPr>
        <w:autoSpaceDE w:val="0"/>
        <w:autoSpaceDN w:val="0"/>
        <w:adjustRightInd w:val="0"/>
        <w:spacing w:line="480" w:lineRule="auto"/>
        <w:ind w:firstLine="720"/>
        <w:jc w:val="both"/>
        <w:rPr>
          <w:rFonts w:eastAsia="Times New Roman"/>
          <w:snapToGrid/>
          <w:sz w:val="28"/>
          <w:szCs w:val="28"/>
          <w:vertAlign w:val="baseline"/>
        </w:rPr>
      </w:pPr>
      <w:r w:rsidRPr="00126B34">
        <w:rPr>
          <w:rFonts w:eastAsia="Times New Roman"/>
          <w:snapToGrid/>
          <w:sz w:val="28"/>
          <w:szCs w:val="28"/>
          <w:vertAlign w:val="baseline"/>
        </w:rPr>
        <w:t xml:space="preserve">In </w:t>
      </w:r>
      <w:r w:rsidRPr="00126B34">
        <w:rPr>
          <w:rFonts w:eastAsia="Times New Roman"/>
          <w:i/>
          <w:iCs/>
          <w:snapToGrid/>
          <w:sz w:val="28"/>
          <w:szCs w:val="28"/>
          <w:vertAlign w:val="baseline"/>
        </w:rPr>
        <w:t>Batson v. Kentucky</w:t>
      </w:r>
      <w:r w:rsidRPr="00126B34">
        <w:rPr>
          <w:rFonts w:eastAsia="Times New Roman"/>
          <w:snapToGrid/>
          <w:sz w:val="28"/>
          <w:szCs w:val="28"/>
          <w:vertAlign w:val="baseline"/>
        </w:rPr>
        <w:t xml:space="preserve">, 476 U.S. 79 (1986), the United States Supreme Court held the Equal Protection Clause of the Fourteenth Amendment is violated when </w:t>
      </w:r>
      <w:r w:rsidR="000D213B">
        <w:rPr>
          <w:rFonts w:eastAsia="Times New Roman"/>
          <w:snapToGrid/>
          <w:sz w:val="28"/>
          <w:szCs w:val="28"/>
          <w:vertAlign w:val="baseline"/>
        </w:rPr>
        <w:t xml:space="preserve">the State </w:t>
      </w:r>
      <w:r w:rsidRPr="00126B34">
        <w:rPr>
          <w:rFonts w:eastAsia="Times New Roman"/>
          <w:snapToGrid/>
          <w:sz w:val="28"/>
          <w:szCs w:val="28"/>
          <w:vertAlign w:val="baseline"/>
        </w:rPr>
        <w:t xml:space="preserve">exercises peremptory strikes in a discriminatory manner. 476 U.S. at 85–86. The right to a jury that represents a fair cross section of society extends to all defendants, regardless of whether the defendant is a member of a minority group. </w:t>
      </w:r>
    </w:p>
    <w:p w14:paraId="3CECF3E5" w14:textId="77777777" w:rsidR="00126B34" w:rsidRPr="00126B34" w:rsidRDefault="00126B34" w:rsidP="00670967">
      <w:pPr>
        <w:autoSpaceDE w:val="0"/>
        <w:autoSpaceDN w:val="0"/>
        <w:adjustRightInd w:val="0"/>
        <w:spacing w:line="480" w:lineRule="auto"/>
        <w:ind w:firstLine="720"/>
        <w:jc w:val="both"/>
        <w:rPr>
          <w:rFonts w:eastAsia="Times New Roman"/>
          <w:snapToGrid/>
          <w:sz w:val="28"/>
          <w:szCs w:val="28"/>
          <w:vertAlign w:val="baseline"/>
        </w:rPr>
      </w:pPr>
      <w:r w:rsidRPr="00126B34">
        <w:rPr>
          <w:rFonts w:eastAsia="Times New Roman"/>
          <w:snapToGrid/>
          <w:sz w:val="28"/>
          <w:szCs w:val="28"/>
          <w:vertAlign w:val="baseline"/>
        </w:rPr>
        <w:t xml:space="preserve">To evaluate whether a prosecutor struck a juror for discriminatory reasons, courts must engage in a three-step process: </w:t>
      </w:r>
    </w:p>
    <w:p w14:paraId="69555C13" w14:textId="77777777" w:rsidR="00126B34" w:rsidRPr="00126B34" w:rsidRDefault="00126B34" w:rsidP="00126B34">
      <w:pPr>
        <w:shd w:val="clear" w:color="auto" w:fill="FFFFFF"/>
        <w:spacing w:after="240"/>
        <w:ind w:left="1440" w:right="1440"/>
        <w:jc w:val="both"/>
        <w:rPr>
          <w:rFonts w:eastAsia="Times New Roman"/>
          <w:snapToGrid/>
          <w:sz w:val="28"/>
          <w:szCs w:val="28"/>
          <w:vertAlign w:val="baseline"/>
        </w:rPr>
      </w:pPr>
      <w:r w:rsidRPr="00126B34">
        <w:rPr>
          <w:rFonts w:eastAsia="Times New Roman"/>
          <w:snapToGrid/>
          <w:sz w:val="28"/>
          <w:szCs w:val="28"/>
          <w:vertAlign w:val="baseline"/>
        </w:rPr>
        <w:t xml:space="preserve">First, a defendant must make a prima facie showing that a peremptory challenge has been exercised on the basis of race. Second, if that showing has been made, the prosecution must offer a race-neutral basis for striking the juror in question. Third, in light of the parties' submissions, the trial court must determine whether the defendant has shown purposeful discrimination.  </w:t>
      </w:r>
    </w:p>
    <w:p w14:paraId="0ABA3479" w14:textId="77777777" w:rsidR="00126B34" w:rsidRPr="00126B34" w:rsidRDefault="00126B34" w:rsidP="00126B34">
      <w:pPr>
        <w:shd w:val="clear" w:color="auto" w:fill="FFFFFF"/>
        <w:spacing w:after="240"/>
        <w:rPr>
          <w:rFonts w:eastAsia="Times New Roman"/>
          <w:snapToGrid/>
          <w:sz w:val="24"/>
          <w:szCs w:val="24"/>
          <w:vertAlign w:val="baseline"/>
        </w:rPr>
      </w:pPr>
    </w:p>
    <w:p w14:paraId="247BCB31" w14:textId="77777777" w:rsidR="00126B34" w:rsidRPr="00126B34" w:rsidRDefault="00126B34" w:rsidP="00126B34">
      <w:pPr>
        <w:shd w:val="clear" w:color="auto" w:fill="FFFFFF"/>
        <w:spacing w:line="480" w:lineRule="auto"/>
        <w:rPr>
          <w:rFonts w:eastAsia="Times New Roman"/>
          <w:snapToGrid/>
          <w:sz w:val="28"/>
          <w:szCs w:val="28"/>
          <w:vertAlign w:val="baseline"/>
        </w:rPr>
      </w:pPr>
      <w:r w:rsidRPr="00126B34">
        <w:rPr>
          <w:rFonts w:eastAsia="Times New Roman"/>
          <w:i/>
          <w:iCs/>
          <w:snapToGrid/>
          <w:sz w:val="28"/>
          <w:szCs w:val="28"/>
          <w:vertAlign w:val="baseline"/>
        </w:rPr>
        <w:lastRenderedPageBreak/>
        <w:t>Miller-El v. Cockrell</w:t>
      </w:r>
      <w:r w:rsidRPr="00126B34">
        <w:rPr>
          <w:rFonts w:eastAsia="Times New Roman"/>
          <w:snapToGrid/>
          <w:sz w:val="28"/>
          <w:szCs w:val="28"/>
          <w:vertAlign w:val="baseline"/>
        </w:rPr>
        <w:t xml:space="preserve">, 537 U.S. 322, 328–29 (2003) (internal citations omitted); </w:t>
      </w:r>
      <w:r w:rsidRPr="00126B34">
        <w:rPr>
          <w:rFonts w:eastAsia="Times New Roman"/>
          <w:i/>
          <w:iCs/>
          <w:snapToGrid/>
          <w:sz w:val="28"/>
          <w:szCs w:val="28"/>
          <w:vertAlign w:val="baseline"/>
        </w:rPr>
        <w:t>accord State v. Hardy</w:t>
      </w:r>
      <w:r w:rsidRPr="00126B34">
        <w:rPr>
          <w:rFonts w:eastAsia="Times New Roman"/>
          <w:snapToGrid/>
          <w:sz w:val="28"/>
          <w:szCs w:val="28"/>
          <w:vertAlign w:val="baseline"/>
        </w:rPr>
        <w:t xml:space="preserve">, 230 Ariz. 281, ¶ 12 (2012). </w:t>
      </w:r>
    </w:p>
    <w:p w14:paraId="3C2EEA59" w14:textId="77777777" w:rsidR="00126B34" w:rsidRPr="00126B34" w:rsidRDefault="00126B34" w:rsidP="00126B34">
      <w:pPr>
        <w:shd w:val="clear" w:color="auto" w:fill="FFFFFF"/>
        <w:spacing w:line="480" w:lineRule="auto"/>
        <w:ind w:firstLine="720"/>
        <w:jc w:val="both"/>
        <w:rPr>
          <w:rFonts w:eastAsia="Times New Roman"/>
          <w:snapToGrid/>
          <w:sz w:val="28"/>
          <w:szCs w:val="28"/>
          <w:vertAlign w:val="baseline"/>
        </w:rPr>
      </w:pPr>
      <w:r w:rsidRPr="00126B34">
        <w:rPr>
          <w:rFonts w:eastAsia="Times New Roman"/>
          <w:snapToGrid/>
          <w:sz w:val="28"/>
          <w:szCs w:val="28"/>
          <w:vertAlign w:val="baseline"/>
        </w:rPr>
        <w:t xml:space="preserve">At the second step, “the issue is the facial validity of the prosecutor's explanation. Unless a discriminatory intent is inherent in the prosecutor's explanation, the reason offered will be deemed race neutral.” </w:t>
      </w:r>
      <w:r w:rsidRPr="00126B34">
        <w:rPr>
          <w:rFonts w:eastAsia="Times New Roman"/>
          <w:i/>
          <w:iCs/>
          <w:snapToGrid/>
          <w:sz w:val="28"/>
          <w:szCs w:val="28"/>
          <w:vertAlign w:val="baseline"/>
        </w:rPr>
        <w:t>Hernandez v. New York</w:t>
      </w:r>
      <w:r w:rsidRPr="00126B34">
        <w:rPr>
          <w:rFonts w:eastAsia="Times New Roman"/>
          <w:snapToGrid/>
          <w:sz w:val="28"/>
          <w:szCs w:val="28"/>
          <w:vertAlign w:val="baseline"/>
        </w:rPr>
        <w:t xml:space="preserve">, 500 U.S. 352, 360 (1991). The second step “does not demand an explanation that is persuasive, or even plausible.” </w:t>
      </w:r>
      <w:r w:rsidRPr="00126B34">
        <w:rPr>
          <w:rFonts w:eastAsia="Times New Roman"/>
          <w:i/>
          <w:iCs/>
          <w:snapToGrid/>
          <w:sz w:val="28"/>
          <w:szCs w:val="28"/>
          <w:vertAlign w:val="baseline"/>
        </w:rPr>
        <w:t>Purkett v. Elem</w:t>
      </w:r>
      <w:r w:rsidRPr="00126B34">
        <w:rPr>
          <w:rFonts w:eastAsia="Times New Roman"/>
          <w:snapToGrid/>
          <w:sz w:val="28"/>
          <w:szCs w:val="28"/>
          <w:vertAlign w:val="baseline"/>
        </w:rPr>
        <w:t xml:space="preserve">, 514 U.S. 765, 767–68 (1995). Thus, even “implausible or fantastic justifications” satisfy the second step. </w:t>
      </w:r>
      <w:r w:rsidRPr="00126B34">
        <w:rPr>
          <w:rFonts w:eastAsia="Times New Roman"/>
          <w:i/>
          <w:iCs/>
          <w:snapToGrid/>
          <w:sz w:val="28"/>
          <w:szCs w:val="28"/>
          <w:vertAlign w:val="baseline"/>
        </w:rPr>
        <w:t>Id</w:t>
      </w:r>
      <w:r w:rsidRPr="00126B34">
        <w:rPr>
          <w:rFonts w:eastAsia="Times New Roman"/>
          <w:snapToGrid/>
          <w:sz w:val="28"/>
          <w:szCs w:val="28"/>
          <w:vertAlign w:val="baseline"/>
        </w:rPr>
        <w:t xml:space="preserve">. at 768. </w:t>
      </w:r>
    </w:p>
    <w:p w14:paraId="6EE1201C" w14:textId="77777777" w:rsidR="00126B34" w:rsidRPr="00126B34" w:rsidRDefault="00670967" w:rsidP="008A7C7A">
      <w:pPr>
        <w:keepNext/>
        <w:keepLines/>
        <w:tabs>
          <w:tab w:val="left" w:pos="0"/>
        </w:tabs>
        <w:autoSpaceDE w:val="0"/>
        <w:autoSpaceDN w:val="0"/>
        <w:adjustRightInd w:val="0"/>
        <w:spacing w:line="480" w:lineRule="auto"/>
        <w:jc w:val="both"/>
        <w:rPr>
          <w:rFonts w:eastAsia="Times New Roman"/>
          <w:snapToGrid/>
          <w:sz w:val="28"/>
          <w:szCs w:val="28"/>
          <w:vertAlign w:val="baseline"/>
        </w:rPr>
      </w:pPr>
      <w:r>
        <w:rPr>
          <w:rFonts w:eastAsia="Times New Roman"/>
          <w:snapToGrid/>
          <w:sz w:val="28"/>
          <w:szCs w:val="28"/>
          <w:vertAlign w:val="baseline"/>
        </w:rPr>
        <w:tab/>
      </w:r>
      <w:r w:rsidR="00126B34" w:rsidRPr="00126B34">
        <w:rPr>
          <w:rFonts w:eastAsia="Times New Roman"/>
          <w:snapToGrid/>
          <w:sz w:val="28"/>
          <w:szCs w:val="28"/>
          <w:vertAlign w:val="baseline"/>
        </w:rPr>
        <w:t xml:space="preserve">The third step is when the trial court evaluates the proffered reasons. </w:t>
      </w:r>
      <w:r w:rsidR="00126B34" w:rsidRPr="00126B34">
        <w:rPr>
          <w:rFonts w:eastAsia="Times New Roman"/>
          <w:i/>
          <w:iCs/>
          <w:snapToGrid/>
          <w:sz w:val="28"/>
          <w:szCs w:val="28"/>
          <w:vertAlign w:val="baseline"/>
        </w:rPr>
        <w:t>Snyder v. Louisiana</w:t>
      </w:r>
      <w:r w:rsidR="00126B34" w:rsidRPr="00126B34">
        <w:rPr>
          <w:rFonts w:eastAsia="Times New Roman"/>
          <w:snapToGrid/>
          <w:sz w:val="28"/>
          <w:szCs w:val="28"/>
          <w:vertAlign w:val="baseline"/>
        </w:rPr>
        <w:t xml:space="preserve">, 552 U.S. 472, 477 (2008). The proffer of a pretextual reason for striking a juror “naturally gives rise to an inference of discriminatory intent.” </w:t>
      </w:r>
      <w:r w:rsidR="00126B34" w:rsidRPr="00126B34">
        <w:rPr>
          <w:rFonts w:eastAsia="Times New Roman"/>
          <w:i/>
          <w:iCs/>
          <w:snapToGrid/>
          <w:sz w:val="28"/>
          <w:szCs w:val="28"/>
          <w:vertAlign w:val="baseline"/>
        </w:rPr>
        <w:t xml:space="preserve">Id. </w:t>
      </w:r>
      <w:r w:rsidR="00126B34" w:rsidRPr="00126B34">
        <w:rPr>
          <w:rFonts w:eastAsia="Times New Roman"/>
          <w:snapToGrid/>
          <w:sz w:val="28"/>
          <w:szCs w:val="28"/>
          <w:vertAlign w:val="baseline"/>
        </w:rPr>
        <w:t xml:space="preserve">at 485. </w:t>
      </w:r>
    </w:p>
    <w:p w14:paraId="4D99D2D3" w14:textId="77777777" w:rsidR="008A7C7A" w:rsidRDefault="00126B34" w:rsidP="008A7C7A">
      <w:pPr>
        <w:tabs>
          <w:tab w:val="left" w:pos="0"/>
        </w:tabs>
        <w:autoSpaceDE w:val="0"/>
        <w:autoSpaceDN w:val="0"/>
        <w:adjustRightInd w:val="0"/>
        <w:spacing w:line="480" w:lineRule="auto"/>
        <w:jc w:val="both"/>
        <w:rPr>
          <w:rFonts w:eastAsia="Times New Roman"/>
          <w:snapToGrid/>
          <w:sz w:val="28"/>
          <w:szCs w:val="28"/>
          <w:vertAlign w:val="baseline"/>
        </w:rPr>
      </w:pPr>
      <w:r w:rsidRPr="00126B34">
        <w:rPr>
          <w:rFonts w:eastAsia="Times New Roman"/>
          <w:snapToGrid/>
          <w:sz w:val="28"/>
          <w:szCs w:val="28"/>
          <w:vertAlign w:val="baseline"/>
        </w:rPr>
        <w:tab/>
        <w:t>However, trial courts are reluctant to find that a member</w:t>
      </w:r>
      <w:r w:rsidRPr="00126B34">
        <w:rPr>
          <w:rFonts w:eastAsia="Times New Roman"/>
          <w:snapToGrid/>
          <w:color w:val="000000"/>
          <w:sz w:val="28"/>
          <w:szCs w:val="28"/>
          <w:vertAlign w:val="baseline"/>
        </w:rPr>
        <w:t xml:space="preserve"> of the bar has committed misconduct by providing a pretextual reason to mask discriminatory intent that served as the basis for striking the juror</w:t>
      </w:r>
      <w:r w:rsidRPr="00126B34">
        <w:rPr>
          <w:rFonts w:eastAsia="Times New Roman"/>
          <w:snapToGrid/>
          <w:sz w:val="28"/>
          <w:szCs w:val="28"/>
          <w:vertAlign w:val="baseline"/>
        </w:rPr>
        <w:t xml:space="preserve">. </w:t>
      </w:r>
      <w:r w:rsidRPr="00126B34">
        <w:rPr>
          <w:rFonts w:eastAsia="Times New Roman"/>
          <w:i/>
          <w:snapToGrid/>
          <w:sz w:val="28"/>
          <w:szCs w:val="28"/>
          <w:vertAlign w:val="baseline"/>
        </w:rPr>
        <w:t>See</w:t>
      </w:r>
      <w:r w:rsidRPr="00126B34">
        <w:rPr>
          <w:rFonts w:eastAsia="Times New Roman"/>
          <w:snapToGrid/>
          <w:sz w:val="28"/>
          <w:szCs w:val="28"/>
          <w:vertAlign w:val="baseline"/>
        </w:rPr>
        <w:t xml:space="preserve"> J. Bellin &amp; J. Semitsu, “</w:t>
      </w:r>
      <w:hyperlink r:id="rId17" w:anchor="co_pp_sp_1111_1113" w:history="1">
        <w:r w:rsidRPr="00126B34">
          <w:rPr>
            <w:rFonts w:eastAsia="Times New Roman"/>
            <w:snapToGrid/>
            <w:sz w:val="28"/>
            <w:szCs w:val="28"/>
            <w:vertAlign w:val="baseline"/>
          </w:rPr>
          <w:t xml:space="preserve">Widening </w:t>
        </w:r>
        <w:r w:rsidRPr="00126B34">
          <w:rPr>
            <w:rFonts w:eastAsia="Times New Roman"/>
            <w:i/>
            <w:iCs/>
            <w:snapToGrid/>
            <w:sz w:val="28"/>
            <w:szCs w:val="28"/>
            <w:vertAlign w:val="baseline"/>
          </w:rPr>
          <w:t>Batson</w:t>
        </w:r>
        <w:r w:rsidRPr="00126B34">
          <w:rPr>
            <w:rFonts w:eastAsia="Times New Roman"/>
            <w:snapToGrid/>
            <w:sz w:val="28"/>
            <w:szCs w:val="28"/>
            <w:vertAlign w:val="baseline"/>
          </w:rPr>
          <w:t>'s Net To Ensnare More Than the Unapologetically Bigoted or Painfully Unimaginative Attorney,” 96 Cornell L. Rev. 1075, 1113 (2011)</w:t>
        </w:r>
      </w:hyperlink>
      <w:r w:rsidRPr="00126B34">
        <w:rPr>
          <w:rFonts w:eastAsia="Times New Roman"/>
          <w:snapToGrid/>
          <w:sz w:val="28"/>
          <w:szCs w:val="28"/>
          <w:vertAlign w:val="baseline"/>
        </w:rPr>
        <w:t xml:space="preserve"> (“so long as a personally and professionally damning finding of attorney misconduct remains a prerequisite to awarding relief under </w:t>
      </w:r>
      <w:hyperlink r:id="rId18" w:history="1">
        <w:r w:rsidRPr="00126B34">
          <w:rPr>
            <w:rFonts w:eastAsia="Times New Roman"/>
            <w:i/>
            <w:iCs/>
            <w:snapToGrid/>
            <w:sz w:val="28"/>
            <w:szCs w:val="28"/>
            <w:vertAlign w:val="baseline"/>
          </w:rPr>
          <w:t>Batson</w:t>
        </w:r>
      </w:hyperlink>
      <w:r w:rsidRPr="00126B34">
        <w:rPr>
          <w:rFonts w:eastAsia="Times New Roman"/>
          <w:snapToGrid/>
          <w:sz w:val="28"/>
          <w:szCs w:val="28"/>
          <w:vertAlign w:val="baseline"/>
        </w:rPr>
        <w:t xml:space="preserve">, trial courts will be understandably reluctant to find </w:t>
      </w:r>
      <w:hyperlink r:id="rId19" w:history="1">
        <w:r w:rsidRPr="00126B34">
          <w:rPr>
            <w:rFonts w:eastAsia="Times New Roman"/>
            <w:i/>
            <w:iCs/>
            <w:snapToGrid/>
            <w:sz w:val="28"/>
            <w:szCs w:val="28"/>
            <w:vertAlign w:val="baseline"/>
          </w:rPr>
          <w:t>Batson</w:t>
        </w:r>
      </w:hyperlink>
      <w:r w:rsidRPr="00126B34">
        <w:rPr>
          <w:rFonts w:eastAsia="Times New Roman"/>
          <w:snapToGrid/>
          <w:sz w:val="28"/>
          <w:szCs w:val="28"/>
          <w:vertAlign w:val="baseline"/>
        </w:rPr>
        <w:t xml:space="preserve"> violations”); M. Bennett, “</w:t>
      </w:r>
      <w:hyperlink r:id="rId20" w:anchor="co_pp_sp_203226_162" w:history="1">
        <w:r w:rsidRPr="00126B34">
          <w:rPr>
            <w:rFonts w:eastAsia="Times New Roman"/>
            <w:snapToGrid/>
            <w:sz w:val="28"/>
            <w:szCs w:val="28"/>
            <w:vertAlign w:val="baseline"/>
          </w:rPr>
          <w:t xml:space="preserve">Unraveling the Gordian Knot of </w:t>
        </w:r>
        <w:r w:rsidRPr="00126B34">
          <w:rPr>
            <w:rFonts w:eastAsia="Times New Roman"/>
            <w:snapToGrid/>
            <w:sz w:val="28"/>
            <w:szCs w:val="28"/>
            <w:vertAlign w:val="baseline"/>
          </w:rPr>
          <w:lastRenderedPageBreak/>
          <w:t xml:space="preserve">Implicit Bias in Jury Selection: The Problems of Judge-Dominated Voir Dire, the Failed Promise of </w:t>
        </w:r>
        <w:r w:rsidRPr="00126B34">
          <w:rPr>
            <w:rFonts w:eastAsia="Times New Roman"/>
            <w:i/>
            <w:iCs/>
            <w:snapToGrid/>
            <w:sz w:val="28"/>
            <w:szCs w:val="28"/>
            <w:vertAlign w:val="baseline"/>
          </w:rPr>
          <w:t>Batson</w:t>
        </w:r>
        <w:r w:rsidRPr="00126B34">
          <w:rPr>
            <w:rFonts w:eastAsia="Times New Roman"/>
            <w:snapToGrid/>
            <w:sz w:val="28"/>
            <w:szCs w:val="28"/>
            <w:vertAlign w:val="baseline"/>
          </w:rPr>
          <w:t>, and Proposed Solutions,” 4 Harv. L. &amp; Policy Rev. 149, 162–63 (2010)</w:t>
        </w:r>
      </w:hyperlink>
      <w:r w:rsidRPr="00126B34">
        <w:rPr>
          <w:rFonts w:eastAsia="Times New Roman"/>
          <w:snapToGrid/>
          <w:sz w:val="28"/>
          <w:szCs w:val="28"/>
          <w:vertAlign w:val="baseline"/>
        </w:rPr>
        <w:t xml:space="preserve"> (noting dual difficulties that “[m]ost trial court judges will ... find such deceit [only] in extreme situations,” while other troubling cases indicated that “some prosecutors are explicitly trained to subvert </w:t>
      </w:r>
      <w:hyperlink r:id="rId21" w:history="1">
        <w:r w:rsidRPr="00126B34">
          <w:rPr>
            <w:rFonts w:eastAsia="Times New Roman"/>
            <w:i/>
            <w:iCs/>
            <w:snapToGrid/>
            <w:sz w:val="28"/>
            <w:szCs w:val="28"/>
            <w:vertAlign w:val="baseline"/>
          </w:rPr>
          <w:t>Batson</w:t>
        </w:r>
      </w:hyperlink>
      <w:r w:rsidRPr="00126B34">
        <w:rPr>
          <w:rFonts w:eastAsia="Times New Roman"/>
          <w:snapToGrid/>
          <w:sz w:val="28"/>
          <w:szCs w:val="28"/>
          <w:vertAlign w:val="baseline"/>
        </w:rPr>
        <w:t>”); R. Charlow, “</w:t>
      </w:r>
      <w:hyperlink r:id="rId22" w:anchor="co_pp_sp_1239_63" w:history="1">
        <w:r w:rsidRPr="00126B34">
          <w:rPr>
            <w:rFonts w:eastAsia="Times New Roman"/>
            <w:snapToGrid/>
            <w:sz w:val="28"/>
            <w:szCs w:val="28"/>
            <w:vertAlign w:val="baseline"/>
          </w:rPr>
          <w:t xml:space="preserve">Tolerating Deception and Discrimination After </w:t>
        </w:r>
        <w:r w:rsidRPr="00126B34">
          <w:rPr>
            <w:rFonts w:eastAsia="Times New Roman"/>
            <w:i/>
            <w:iCs/>
            <w:snapToGrid/>
            <w:sz w:val="28"/>
            <w:szCs w:val="28"/>
            <w:vertAlign w:val="baseline"/>
          </w:rPr>
          <w:t>Batson</w:t>
        </w:r>
        <w:r w:rsidRPr="00126B34">
          <w:rPr>
            <w:rFonts w:eastAsia="Times New Roman"/>
            <w:snapToGrid/>
            <w:sz w:val="28"/>
            <w:szCs w:val="28"/>
            <w:vertAlign w:val="baseline"/>
          </w:rPr>
          <w:t>,” 50 Stan. L. Rev. 9, 63–64 (1997)</w:t>
        </w:r>
      </w:hyperlink>
      <w:r w:rsidRPr="00126B34">
        <w:rPr>
          <w:rFonts w:eastAsia="Times New Roman"/>
          <w:snapToGrid/>
          <w:sz w:val="28"/>
          <w:szCs w:val="28"/>
          <w:vertAlign w:val="baseline"/>
        </w:rPr>
        <w:t xml:space="preserve"> (“[S]hould courts apply </w:t>
      </w:r>
      <w:hyperlink r:id="rId23" w:history="1">
        <w:r w:rsidRPr="00126B34">
          <w:rPr>
            <w:rFonts w:eastAsia="Times New Roman"/>
            <w:i/>
            <w:iCs/>
            <w:snapToGrid/>
            <w:sz w:val="28"/>
            <w:szCs w:val="28"/>
            <w:vertAlign w:val="baseline"/>
          </w:rPr>
          <w:t>Batson</w:t>
        </w:r>
      </w:hyperlink>
      <w:r w:rsidRPr="00126B34">
        <w:rPr>
          <w:rFonts w:eastAsia="Times New Roman"/>
          <w:snapToGrid/>
          <w:sz w:val="28"/>
          <w:szCs w:val="28"/>
          <w:vertAlign w:val="baseline"/>
        </w:rPr>
        <w:t xml:space="preserve"> vigorously, it would be even less appropriate to sanction personally those implicated. Moreover, judges may be hesitant to find </w:t>
      </w:r>
      <w:hyperlink r:id="rId24" w:history="1">
        <w:r w:rsidRPr="00126B34">
          <w:rPr>
            <w:rFonts w:eastAsia="Times New Roman"/>
            <w:i/>
            <w:iCs/>
            <w:snapToGrid/>
            <w:sz w:val="28"/>
            <w:szCs w:val="28"/>
            <w:vertAlign w:val="baseline"/>
          </w:rPr>
          <w:t>Batson</w:t>
        </w:r>
      </w:hyperlink>
      <w:r w:rsidRPr="00126B34">
        <w:rPr>
          <w:rFonts w:eastAsia="Times New Roman"/>
          <w:snapToGrid/>
          <w:sz w:val="28"/>
          <w:szCs w:val="28"/>
          <w:vertAlign w:val="baseline"/>
        </w:rPr>
        <w:t xml:space="preserve"> violations, especially in close cases, if doing so means that attorneys they know and see regularly will be punished personally or professionally as a result.”); T. Tetlow, “</w:t>
      </w:r>
      <w:hyperlink r:id="rId25" w:anchor="co_pp_sp_2984_1897" w:history="1">
        <w:r w:rsidRPr="00126B34">
          <w:rPr>
            <w:rFonts w:eastAsia="Times New Roman"/>
            <w:snapToGrid/>
            <w:sz w:val="28"/>
            <w:szCs w:val="28"/>
            <w:vertAlign w:val="baseline"/>
          </w:rPr>
          <w:t xml:space="preserve">Solving </w:t>
        </w:r>
        <w:r w:rsidRPr="00126B34">
          <w:rPr>
            <w:rFonts w:eastAsia="Times New Roman"/>
            <w:i/>
            <w:iCs/>
            <w:snapToGrid/>
            <w:sz w:val="28"/>
            <w:szCs w:val="28"/>
            <w:vertAlign w:val="baseline"/>
          </w:rPr>
          <w:t>Batson</w:t>
        </w:r>
        <w:r w:rsidRPr="00126B34">
          <w:rPr>
            <w:rFonts w:eastAsia="Times New Roman"/>
            <w:snapToGrid/>
            <w:sz w:val="28"/>
            <w:szCs w:val="28"/>
            <w:vertAlign w:val="baseline"/>
          </w:rPr>
          <w:t>,” 56 Wm. &amp; Mary L. Rev. 1859, 1897–98 (2015)</w:t>
        </w:r>
      </w:hyperlink>
      <w:r w:rsidRPr="00126B34">
        <w:rPr>
          <w:rFonts w:eastAsia="Times New Roman"/>
          <w:snapToGrid/>
          <w:sz w:val="28"/>
          <w:szCs w:val="28"/>
          <w:vertAlign w:val="baseline"/>
        </w:rPr>
        <w:t xml:space="preserve"> (“[The </w:t>
      </w:r>
      <w:hyperlink r:id="rId26" w:history="1">
        <w:r w:rsidRPr="00126B34">
          <w:rPr>
            <w:rFonts w:eastAsia="Times New Roman"/>
            <w:i/>
            <w:iCs/>
            <w:snapToGrid/>
            <w:sz w:val="28"/>
            <w:szCs w:val="28"/>
            <w:vertAlign w:val="baseline"/>
          </w:rPr>
          <w:t>Batson</w:t>
        </w:r>
      </w:hyperlink>
      <w:r w:rsidRPr="00126B34">
        <w:rPr>
          <w:rFonts w:eastAsia="Times New Roman"/>
          <w:snapToGrid/>
          <w:sz w:val="28"/>
          <w:szCs w:val="28"/>
          <w:vertAlign w:val="baseline"/>
        </w:rPr>
        <w:t xml:space="preserve"> rule's focus on pretext] requires personally insulting prosecutors and defense lawyers in a way that judges do not take lightly, calling them liars and implying that they are racist. Technically, as some have argued, lying to the court constitutes an ethics violation that the judge should then report to the bar for disciplinary proceedings. Disconnecting the regulation of jury selection from the motives of lawyers will make judges far more likely to enforce the rule.” [Footnotes omitted.</w:t>
      </w:r>
      <w:r w:rsidR="008F33E5" w:rsidRPr="00126B34">
        <w:rPr>
          <w:rFonts w:eastAsia="Times New Roman"/>
          <w:snapToGrid/>
          <w:sz w:val="28"/>
          <w:szCs w:val="28"/>
          <w:vertAlign w:val="baseline"/>
        </w:rPr>
        <w:t>])</w:t>
      </w:r>
      <w:r w:rsidRPr="00126B34">
        <w:rPr>
          <w:rFonts w:eastAsia="Times New Roman"/>
          <w:snapToGrid/>
          <w:sz w:val="28"/>
          <w:szCs w:val="28"/>
          <w:vertAlign w:val="baseline"/>
        </w:rPr>
        <w:t>.</w:t>
      </w:r>
    </w:p>
    <w:p w14:paraId="2139BDD9" w14:textId="77777777" w:rsidR="00126B34" w:rsidRPr="00126B34" w:rsidRDefault="008A7C7A" w:rsidP="008A7C7A">
      <w:pPr>
        <w:tabs>
          <w:tab w:val="left" w:pos="0"/>
        </w:tabs>
        <w:autoSpaceDE w:val="0"/>
        <w:autoSpaceDN w:val="0"/>
        <w:adjustRightInd w:val="0"/>
        <w:spacing w:line="480" w:lineRule="auto"/>
        <w:jc w:val="both"/>
        <w:rPr>
          <w:rFonts w:eastAsia="Times New Roman"/>
          <w:snapToGrid/>
          <w:color w:val="000000"/>
          <w:sz w:val="28"/>
          <w:szCs w:val="28"/>
          <w:vertAlign w:val="baseline"/>
        </w:rPr>
      </w:pPr>
      <w:r>
        <w:rPr>
          <w:rFonts w:eastAsia="Times New Roman"/>
          <w:snapToGrid/>
          <w:sz w:val="28"/>
          <w:szCs w:val="28"/>
          <w:vertAlign w:val="baseline"/>
        </w:rPr>
        <w:tab/>
      </w:r>
      <w:r w:rsidR="00126B34" w:rsidRPr="00126B34">
        <w:rPr>
          <w:rFonts w:eastAsia="Times New Roman"/>
          <w:snapToGrid/>
          <w:sz w:val="28"/>
          <w:szCs w:val="28"/>
          <w:vertAlign w:val="baseline"/>
        </w:rPr>
        <w:t xml:space="preserve">Even if trial judges were not reluctant to find that a member of the bar sought to strike a juror for discriminatory reasons, the existing </w:t>
      </w:r>
      <w:r w:rsidR="00126B34" w:rsidRPr="00126B34">
        <w:rPr>
          <w:rFonts w:eastAsia="Times New Roman"/>
          <w:i/>
          <w:snapToGrid/>
          <w:sz w:val="28"/>
          <w:szCs w:val="28"/>
          <w:vertAlign w:val="baseline"/>
        </w:rPr>
        <w:t>Batson</w:t>
      </w:r>
      <w:r w:rsidR="00126B34" w:rsidRPr="00126B34">
        <w:rPr>
          <w:rFonts w:eastAsia="Times New Roman"/>
          <w:snapToGrid/>
          <w:sz w:val="28"/>
          <w:szCs w:val="28"/>
          <w:vertAlign w:val="baseline"/>
        </w:rPr>
        <w:t xml:space="preserve"> framework does </w:t>
      </w:r>
      <w:r w:rsidR="00126B34" w:rsidRPr="00126B34">
        <w:rPr>
          <w:rFonts w:eastAsia="Times New Roman"/>
          <w:snapToGrid/>
          <w:sz w:val="28"/>
          <w:szCs w:val="28"/>
          <w:vertAlign w:val="baseline"/>
        </w:rPr>
        <w:lastRenderedPageBreak/>
        <w:t xml:space="preserve">nothing to address the problems that implicit biases inject into our justice system’s efforts to root out discrimination during jury selection. </w:t>
      </w:r>
    </w:p>
    <w:p w14:paraId="3F34F577" w14:textId="77777777" w:rsidR="00126B34" w:rsidRPr="00126B34" w:rsidRDefault="00126B34" w:rsidP="00126B34">
      <w:pPr>
        <w:ind w:left="1800"/>
        <w:jc w:val="both"/>
        <w:rPr>
          <w:rFonts w:eastAsia="Times New Roman"/>
          <w:snapToGrid/>
          <w:sz w:val="28"/>
          <w:szCs w:val="28"/>
          <w:vertAlign w:val="baseline"/>
        </w:rPr>
      </w:pPr>
    </w:p>
    <w:p w14:paraId="6DB9A294" w14:textId="77777777" w:rsidR="00126B34" w:rsidRPr="008F33E5" w:rsidRDefault="00126B34" w:rsidP="008A7C7A">
      <w:pPr>
        <w:pStyle w:val="ListParagraph"/>
        <w:numPr>
          <w:ilvl w:val="0"/>
          <w:numId w:val="4"/>
        </w:numPr>
        <w:jc w:val="both"/>
        <w:rPr>
          <w:rFonts w:eastAsia="Times New Roman"/>
          <w:b/>
          <w:snapToGrid/>
          <w:sz w:val="28"/>
          <w:szCs w:val="28"/>
          <w:vertAlign w:val="baseline"/>
        </w:rPr>
      </w:pPr>
      <w:r w:rsidRPr="008F33E5">
        <w:rPr>
          <w:rFonts w:eastAsia="Times New Roman"/>
          <w:b/>
          <w:snapToGrid/>
          <w:sz w:val="28"/>
          <w:szCs w:val="28"/>
          <w:vertAlign w:val="baseline"/>
        </w:rPr>
        <w:t xml:space="preserve">Implicit bias is difficult to assess, and discriminatory motives are easily veiled. </w:t>
      </w:r>
    </w:p>
    <w:p w14:paraId="059F0B7E" w14:textId="77777777" w:rsidR="00126B34" w:rsidRPr="00126B34" w:rsidRDefault="00126B34" w:rsidP="00126B34">
      <w:pPr>
        <w:jc w:val="both"/>
        <w:rPr>
          <w:rFonts w:eastAsia="Times New Roman"/>
          <w:snapToGrid/>
          <w:sz w:val="28"/>
          <w:szCs w:val="28"/>
          <w:vertAlign w:val="baseline"/>
        </w:rPr>
      </w:pPr>
    </w:p>
    <w:p w14:paraId="4188A0D6" w14:textId="77777777" w:rsidR="00670967" w:rsidRDefault="00126B34" w:rsidP="00126B34">
      <w:pPr>
        <w:spacing w:line="480" w:lineRule="auto"/>
        <w:ind w:firstLine="720"/>
        <w:rPr>
          <w:rFonts w:eastAsia="Times New Roman"/>
          <w:snapToGrid/>
          <w:sz w:val="28"/>
          <w:szCs w:val="28"/>
          <w:vertAlign w:val="baseline"/>
        </w:rPr>
      </w:pPr>
      <w:r w:rsidRPr="00126B34">
        <w:rPr>
          <w:rFonts w:eastAsia="Times New Roman"/>
          <w:snapToGrid/>
          <w:sz w:val="28"/>
          <w:szCs w:val="28"/>
          <w:vertAlign w:val="baseline"/>
        </w:rPr>
        <w:t>“Implicit biases” are discriminatory biases based on either implicit attitudes-feelings that one has about a particular group-or implicit stereotypes-traits that one associates with a particular group</w:t>
      </w:r>
      <w:r w:rsidR="00670967">
        <w:rPr>
          <w:rFonts w:eastAsia="Times New Roman"/>
          <w:snapToGrid/>
          <w:sz w:val="28"/>
          <w:szCs w:val="28"/>
          <w:vertAlign w:val="baseline"/>
        </w:rPr>
        <w:t>.</w:t>
      </w:r>
      <w:r w:rsidR="000D213B">
        <w:rPr>
          <w:rFonts w:eastAsia="Times New Roman"/>
          <w:snapToGrid/>
          <w:sz w:val="28"/>
          <w:szCs w:val="28"/>
          <w:vertAlign w:val="baseline"/>
        </w:rPr>
        <w:t>”</w:t>
      </w:r>
      <w:r w:rsidR="00670967">
        <w:rPr>
          <w:rFonts w:eastAsia="Times New Roman"/>
          <w:snapToGrid/>
          <w:sz w:val="28"/>
          <w:szCs w:val="28"/>
          <w:vertAlign w:val="baseline"/>
        </w:rPr>
        <w:t xml:space="preserve"> </w:t>
      </w:r>
      <w:r w:rsidR="00670967" w:rsidRPr="00670967">
        <w:rPr>
          <w:rFonts w:eastAsia="Times New Roman"/>
          <w:i/>
          <w:snapToGrid/>
          <w:sz w:val="28"/>
          <w:szCs w:val="28"/>
          <w:vertAlign w:val="baseline"/>
        </w:rPr>
        <w:t>See</w:t>
      </w:r>
      <w:r w:rsidRPr="00126B34">
        <w:rPr>
          <w:rFonts w:eastAsia="Times New Roman"/>
          <w:i/>
          <w:snapToGrid/>
          <w:sz w:val="28"/>
          <w:szCs w:val="28"/>
          <w:vertAlign w:val="baseline"/>
        </w:rPr>
        <w:t xml:space="preserve"> </w:t>
      </w:r>
      <w:r w:rsidRPr="00126B34">
        <w:rPr>
          <w:rFonts w:eastAsia="Times New Roman"/>
          <w:snapToGrid/>
          <w:sz w:val="28"/>
          <w:szCs w:val="28"/>
          <w:vertAlign w:val="baseline"/>
        </w:rPr>
        <w:t xml:space="preserve">Anthony G. Greenwald &amp; Linda Hamilton Krieger, </w:t>
      </w:r>
      <w:hyperlink r:id="rId27" w:anchor="co_pp_sp_1107_948" w:history="1">
        <w:r w:rsidRPr="00126B34">
          <w:rPr>
            <w:rFonts w:eastAsia="Times New Roman"/>
            <w:snapToGrid/>
            <w:sz w:val="28"/>
            <w:szCs w:val="28"/>
            <w:vertAlign w:val="baseline"/>
          </w:rPr>
          <w:t>Implicit Bias: Scientific Foundations, 94 Calif. L. Rev. 945, 948-51 (2006)</w:t>
        </w:r>
      </w:hyperlink>
      <w:r w:rsidRPr="00126B34">
        <w:rPr>
          <w:rFonts w:eastAsia="Times New Roman"/>
          <w:snapToGrid/>
          <w:sz w:val="28"/>
          <w:szCs w:val="28"/>
          <w:vertAlign w:val="baseline"/>
        </w:rPr>
        <w:t xml:space="preserve">. </w:t>
      </w:r>
    </w:p>
    <w:p w14:paraId="318F1732" w14:textId="77777777" w:rsidR="00126B34" w:rsidRPr="00126B34" w:rsidRDefault="00126B34" w:rsidP="00126B34">
      <w:pPr>
        <w:spacing w:line="480" w:lineRule="auto"/>
        <w:ind w:firstLine="720"/>
        <w:rPr>
          <w:rFonts w:eastAsia="Times New Roman"/>
          <w:snapToGrid/>
          <w:sz w:val="28"/>
          <w:szCs w:val="28"/>
          <w:vertAlign w:val="baseline"/>
        </w:rPr>
      </w:pPr>
      <w:r w:rsidRPr="00126B34">
        <w:rPr>
          <w:rFonts w:eastAsia="Times New Roman"/>
          <w:snapToGrid/>
          <w:sz w:val="28"/>
          <w:szCs w:val="28"/>
          <w:vertAlign w:val="baseline"/>
        </w:rPr>
        <w:t xml:space="preserve">The Connecticut Supreme Court recently explained why an understanding of implicit bias is paramount to addressing the evil of discrimination in our justice systems: </w:t>
      </w:r>
    </w:p>
    <w:p w14:paraId="5979B0C1" w14:textId="77777777" w:rsidR="00126B34" w:rsidRPr="000D213B" w:rsidRDefault="00126B34" w:rsidP="00126B34">
      <w:pPr>
        <w:ind w:left="1440" w:right="1440"/>
        <w:jc w:val="both"/>
        <w:rPr>
          <w:rFonts w:eastAsia="Times New Roman"/>
          <w:snapToGrid/>
          <w:sz w:val="28"/>
          <w:szCs w:val="28"/>
          <w:vertAlign w:val="baseline"/>
        </w:rPr>
      </w:pPr>
      <w:r w:rsidRPr="000D213B">
        <w:rPr>
          <w:rFonts w:eastAsia="Times New Roman"/>
          <w:snapToGrid/>
          <w:sz w:val="28"/>
          <w:szCs w:val="28"/>
          <w:vertAlign w:val="baseline"/>
        </w:rPr>
        <w:t>In a leading article on implicit bias, Professor Antony Page makes the following observation with respect to a lawyer's own explanations for striking a juror peremptorily: “[W]hat if the lawyer is wrong? What if her awareness of her mental processes is imperfect? What if she does not know, or even cannot know, that, in fact, but for the juror's race or gender, she would not have exercised the challenge?” (Emphasis omitted.) A. Page, “</w:t>
      </w:r>
      <w:hyperlink r:id="rId28" w:anchor="co_pp_sp_3197_156" w:history="1">
        <w:r w:rsidRPr="000D213B">
          <w:rPr>
            <w:rFonts w:eastAsia="Times New Roman"/>
            <w:i/>
            <w:iCs/>
            <w:snapToGrid/>
            <w:sz w:val="28"/>
            <w:szCs w:val="28"/>
            <w:vertAlign w:val="baseline"/>
          </w:rPr>
          <w:t>Batson</w:t>
        </w:r>
        <w:r w:rsidRPr="000D213B">
          <w:rPr>
            <w:rFonts w:eastAsia="Times New Roman"/>
            <w:snapToGrid/>
            <w:sz w:val="28"/>
            <w:szCs w:val="28"/>
            <w:vertAlign w:val="baseline"/>
          </w:rPr>
          <w:t>'s Blind-Spot: Unconscious Stereotyping and the Peremptory Challenge,” 85 B.U. L. Rev. 155, 156 (2005)</w:t>
        </w:r>
      </w:hyperlink>
      <w:r w:rsidRPr="000D213B">
        <w:rPr>
          <w:rFonts w:eastAsia="Times New Roman"/>
          <w:snapToGrid/>
          <w:sz w:val="28"/>
          <w:szCs w:val="28"/>
          <w:vertAlign w:val="baseline"/>
        </w:rPr>
        <w:t xml:space="preserve">. “The attorney is both honest and discriminating </w:t>
      </w:r>
      <w:r w:rsidR="008F33E5" w:rsidRPr="000D213B">
        <w:rPr>
          <w:rFonts w:eastAsia="Times New Roman"/>
          <w:snapToGrid/>
          <w:sz w:val="28"/>
          <w:szCs w:val="28"/>
          <w:vertAlign w:val="baseline"/>
        </w:rPr>
        <w:t>based on</w:t>
      </w:r>
      <w:r w:rsidRPr="000D213B">
        <w:rPr>
          <w:rFonts w:eastAsia="Times New Roman"/>
          <w:snapToGrid/>
          <w:sz w:val="28"/>
          <w:szCs w:val="28"/>
          <w:vertAlign w:val="baseline"/>
        </w:rPr>
        <w:t xml:space="preserve"> race or gender. Such unconscious discrimination occurs, almost inevitably, because of normal cognitive processes that form stereotypes.” (Emphasis omitted.) </w:t>
      </w:r>
      <w:hyperlink r:id="rId29" w:history="1">
        <w:r w:rsidRPr="000D213B">
          <w:rPr>
            <w:rFonts w:eastAsia="Times New Roman"/>
            <w:i/>
            <w:snapToGrid/>
            <w:sz w:val="28"/>
            <w:szCs w:val="28"/>
            <w:vertAlign w:val="baseline"/>
          </w:rPr>
          <w:t>Id</w:t>
        </w:r>
        <w:r w:rsidRPr="000D213B">
          <w:rPr>
            <w:rFonts w:eastAsia="Times New Roman"/>
            <w:snapToGrid/>
            <w:sz w:val="28"/>
            <w:szCs w:val="28"/>
            <w:vertAlign w:val="baseline"/>
          </w:rPr>
          <w:t>., 180</w:t>
        </w:r>
      </w:hyperlink>
      <w:r w:rsidRPr="000D213B">
        <w:rPr>
          <w:rFonts w:eastAsia="Times New Roman"/>
          <w:snapToGrid/>
          <w:sz w:val="28"/>
          <w:szCs w:val="28"/>
          <w:vertAlign w:val="baseline"/>
        </w:rPr>
        <w:t xml:space="preserve">. Professor Page's landmark article “examines the findings from recent psychological research to conclude that the </w:t>
      </w:r>
      <w:r w:rsidRPr="000D213B">
        <w:rPr>
          <w:rFonts w:eastAsia="Times New Roman"/>
          <w:snapToGrid/>
          <w:sz w:val="28"/>
          <w:szCs w:val="28"/>
          <w:vertAlign w:val="baseline"/>
        </w:rPr>
        <w:lastRenderedPageBreak/>
        <w:t xml:space="preserve">lawyer often will be wrong, will be unaware of her mental processes, and would not have exercised the challenge but for the juror's race or gender. As a result (and not because of lying lawyers), the </w:t>
      </w:r>
      <w:hyperlink r:id="rId30" w:history="1">
        <w:r w:rsidRPr="000D213B">
          <w:rPr>
            <w:rFonts w:eastAsia="Times New Roman"/>
            <w:i/>
            <w:iCs/>
            <w:snapToGrid/>
            <w:sz w:val="28"/>
            <w:szCs w:val="28"/>
            <w:vertAlign w:val="baseline"/>
          </w:rPr>
          <w:t>Batson</w:t>
        </w:r>
      </w:hyperlink>
      <w:r w:rsidRPr="000D213B">
        <w:rPr>
          <w:rFonts w:eastAsia="Times New Roman"/>
          <w:snapToGrid/>
          <w:sz w:val="28"/>
          <w:szCs w:val="28"/>
          <w:vertAlign w:val="baseline"/>
        </w:rPr>
        <w:t xml:space="preserve"> peremptory challenge framework is woefully ill-suited to address the problem of race and gender discrimination in jury selection.” (Emphasis omitted.) </w:t>
      </w:r>
      <w:hyperlink r:id="rId31" w:history="1">
        <w:r w:rsidRPr="000D213B">
          <w:rPr>
            <w:rFonts w:eastAsia="Times New Roman"/>
            <w:i/>
            <w:snapToGrid/>
            <w:sz w:val="28"/>
            <w:szCs w:val="28"/>
            <w:vertAlign w:val="baseline"/>
          </w:rPr>
          <w:t>Id</w:t>
        </w:r>
        <w:r w:rsidRPr="000D213B">
          <w:rPr>
            <w:rFonts w:eastAsia="Times New Roman"/>
            <w:snapToGrid/>
            <w:sz w:val="28"/>
            <w:szCs w:val="28"/>
            <w:vertAlign w:val="baseline"/>
          </w:rPr>
          <w:t>., 156</w:t>
        </w:r>
      </w:hyperlink>
      <w:r w:rsidRPr="000D213B">
        <w:rPr>
          <w:rFonts w:eastAsia="Times New Roman"/>
          <w:snapToGrid/>
          <w:sz w:val="28"/>
          <w:szCs w:val="28"/>
          <w:vertAlign w:val="baseline"/>
        </w:rPr>
        <w:t>.</w:t>
      </w:r>
    </w:p>
    <w:p w14:paraId="2C7EC2EB" w14:textId="77777777" w:rsidR="00126B34" w:rsidRPr="000D213B" w:rsidRDefault="00126B34" w:rsidP="00126B34">
      <w:pPr>
        <w:ind w:left="1440" w:right="1440"/>
        <w:jc w:val="both"/>
        <w:rPr>
          <w:rFonts w:eastAsia="Times New Roman"/>
          <w:snapToGrid/>
          <w:sz w:val="28"/>
          <w:szCs w:val="28"/>
          <w:vertAlign w:val="baseline"/>
        </w:rPr>
      </w:pPr>
    </w:p>
    <w:p w14:paraId="16086CF1" w14:textId="77777777" w:rsidR="00126B34" w:rsidRPr="000D213B" w:rsidRDefault="00126B34" w:rsidP="00126B34">
      <w:pPr>
        <w:ind w:left="1440" w:right="1440"/>
        <w:jc w:val="both"/>
        <w:rPr>
          <w:rFonts w:eastAsia="Times New Roman"/>
          <w:snapToGrid/>
          <w:sz w:val="28"/>
          <w:szCs w:val="28"/>
          <w:vertAlign w:val="baseline"/>
        </w:rPr>
      </w:pPr>
      <w:r w:rsidRPr="000D213B">
        <w:rPr>
          <w:rFonts w:eastAsia="Times New Roman"/>
          <w:snapToGrid/>
          <w:sz w:val="28"/>
          <w:szCs w:val="28"/>
          <w:vertAlign w:val="baseline"/>
        </w:rPr>
        <w:t xml:space="preserve">The studies reviewed by Professor Page demonstrate that “few attorneys will always be able to correctly identify the factor that caused them to strike or not strike a particular potential juror. The prosecutor may have actually struck on the basis of race or gender, but she plausibly believes she was actually striking on the basis of a [race neutral] or [gender] neutral factor. Because a judge is unlikely to find pretext, the peremptory challenge will have ultimately denied potential jurors their equal protection rights.” (Footnote omitted.) </w:t>
      </w:r>
      <w:hyperlink r:id="rId32" w:history="1">
        <w:r w:rsidRPr="000D213B">
          <w:rPr>
            <w:rFonts w:eastAsia="Times New Roman"/>
            <w:i/>
            <w:snapToGrid/>
            <w:sz w:val="28"/>
            <w:szCs w:val="28"/>
            <w:vertAlign w:val="baseline"/>
          </w:rPr>
          <w:t>Id</w:t>
        </w:r>
        <w:r w:rsidRPr="000D213B">
          <w:rPr>
            <w:rFonts w:eastAsia="Times New Roman"/>
            <w:snapToGrid/>
            <w:sz w:val="28"/>
            <w:szCs w:val="28"/>
            <w:vertAlign w:val="baseline"/>
          </w:rPr>
          <w:t>., 235</w:t>
        </w:r>
      </w:hyperlink>
      <w:r w:rsidRPr="000D213B">
        <w:rPr>
          <w:rFonts w:eastAsia="Times New Roman"/>
          <w:snapToGrid/>
          <w:sz w:val="28"/>
          <w:szCs w:val="28"/>
          <w:vertAlign w:val="baseline"/>
        </w:rPr>
        <w:t xml:space="preserve">. Although Professor Page argues that the social psychology research supports addressing implicit bias by eliminating peremptory challenges entirely; </w:t>
      </w:r>
      <w:hyperlink r:id="rId33" w:history="1">
        <w:r w:rsidRPr="000D213B">
          <w:rPr>
            <w:rFonts w:eastAsia="Times New Roman"/>
            <w:i/>
            <w:snapToGrid/>
            <w:sz w:val="28"/>
            <w:szCs w:val="28"/>
            <w:vertAlign w:val="baseline"/>
          </w:rPr>
          <w:t>id</w:t>
        </w:r>
        <w:r w:rsidRPr="000D213B">
          <w:rPr>
            <w:rFonts w:eastAsia="Times New Roman"/>
            <w:snapToGrid/>
            <w:sz w:val="28"/>
            <w:szCs w:val="28"/>
            <w:vertAlign w:val="baseline"/>
          </w:rPr>
          <w:t>., 261</w:t>
        </w:r>
      </w:hyperlink>
      <w:r w:rsidRPr="000D213B">
        <w:rPr>
          <w:rFonts w:eastAsia="Times New Roman"/>
          <w:snapToGrid/>
          <w:sz w:val="28"/>
          <w:szCs w:val="28"/>
          <w:vertAlign w:val="baseline"/>
        </w:rPr>
        <w:t xml:space="preserve">; in the alternative, he proposes (1) to eliminate the </w:t>
      </w:r>
      <w:hyperlink r:id="rId34" w:history="1">
        <w:r w:rsidRPr="000D213B">
          <w:rPr>
            <w:rFonts w:eastAsia="Times New Roman"/>
            <w:i/>
            <w:iCs/>
            <w:snapToGrid/>
            <w:sz w:val="28"/>
            <w:szCs w:val="28"/>
            <w:vertAlign w:val="baseline"/>
          </w:rPr>
          <w:t>Batson</w:t>
        </w:r>
      </w:hyperlink>
      <w:r w:rsidRPr="000D213B">
        <w:rPr>
          <w:rFonts w:eastAsia="Times New Roman"/>
          <w:snapToGrid/>
          <w:sz w:val="28"/>
          <w:szCs w:val="28"/>
          <w:vertAlign w:val="baseline"/>
        </w:rPr>
        <w:t xml:space="preserve"> procedure's requirement of subjective discriminatory intent, which also relieves judges of “mak[ing] the difficult finding that the lawyers before them are dishonest,” (2) to instruct jurors about the concepts of unconscious bias and stereotyping, (3) to require educating attorneys about unconscious bias, with a requirement that they “actively and vocally affirm their commitment to egalitarian [nondiscriminatory] principles,” and (4) to increase the use of race blind and gender blind questionnaires. </w:t>
      </w:r>
      <w:hyperlink r:id="rId35" w:history="1">
        <w:r w:rsidRPr="000D213B">
          <w:rPr>
            <w:rFonts w:eastAsia="Times New Roman"/>
            <w:i/>
            <w:snapToGrid/>
            <w:sz w:val="28"/>
            <w:szCs w:val="28"/>
            <w:vertAlign w:val="baseline"/>
          </w:rPr>
          <w:t>Id</w:t>
        </w:r>
        <w:r w:rsidRPr="000D213B">
          <w:rPr>
            <w:rFonts w:eastAsia="Times New Roman"/>
            <w:snapToGrid/>
            <w:sz w:val="28"/>
            <w:szCs w:val="28"/>
            <w:vertAlign w:val="baseline"/>
          </w:rPr>
          <w:t>., 260–61</w:t>
        </w:r>
      </w:hyperlink>
      <w:r w:rsidRPr="000D213B">
        <w:rPr>
          <w:rFonts w:eastAsia="Times New Roman"/>
          <w:snapToGrid/>
          <w:sz w:val="28"/>
          <w:szCs w:val="28"/>
          <w:vertAlign w:val="baseline"/>
        </w:rPr>
        <w:t>.</w:t>
      </w:r>
    </w:p>
    <w:p w14:paraId="5C481C89" w14:textId="77777777" w:rsidR="00126B34" w:rsidRPr="000D213B" w:rsidRDefault="00126B34" w:rsidP="00126B34">
      <w:pPr>
        <w:ind w:left="1440" w:right="1440"/>
        <w:jc w:val="both"/>
        <w:rPr>
          <w:rFonts w:eastAsia="Times New Roman"/>
          <w:snapToGrid/>
          <w:sz w:val="28"/>
          <w:szCs w:val="28"/>
          <w:vertAlign w:val="baseline"/>
        </w:rPr>
      </w:pPr>
    </w:p>
    <w:p w14:paraId="557B9C72" w14:textId="77777777" w:rsidR="00126B34" w:rsidRPr="000D213B" w:rsidRDefault="00126B34" w:rsidP="00126B34">
      <w:pPr>
        <w:ind w:left="1440" w:right="1440"/>
        <w:jc w:val="both"/>
        <w:rPr>
          <w:rFonts w:eastAsia="Times New Roman"/>
          <w:snapToGrid/>
          <w:sz w:val="28"/>
          <w:szCs w:val="28"/>
          <w:vertAlign w:val="baseline"/>
        </w:rPr>
      </w:pPr>
      <w:r w:rsidRPr="000D213B">
        <w:rPr>
          <w:rFonts w:eastAsia="Times New Roman"/>
          <w:snapToGrid/>
          <w:sz w:val="28"/>
          <w:szCs w:val="28"/>
          <w:vertAlign w:val="baseline"/>
        </w:rPr>
        <w:t xml:space="preserve">Similarly, Judge Mark W. Bennett, an experienced federal district judge, considers the “standards for ferreting out lawyers' potential explicit and implicit bias during jury selection ... a shameful sham”; he, too, urges (1) the inclusion of jury instructions and presentations during jury selection on the topic of implicit bias, to adequately explore a juror's impartiality, and (2) the administration of implicit bias testing to prospective jurors. M. Bennett, </w:t>
      </w:r>
      <w:r w:rsidRPr="000D213B">
        <w:rPr>
          <w:rFonts w:eastAsia="Times New Roman"/>
          <w:snapToGrid/>
          <w:sz w:val="28"/>
          <w:szCs w:val="28"/>
          <w:vertAlign w:val="baseline"/>
        </w:rPr>
        <w:lastRenderedPageBreak/>
        <w:t xml:space="preserve">supra, 4 Harv. L. &amp; Policy Rev. 169–70. </w:t>
      </w:r>
      <w:r w:rsidRPr="000D213B">
        <w:rPr>
          <w:rFonts w:eastAsia="Times New Roman"/>
          <w:i/>
          <w:snapToGrid/>
          <w:sz w:val="28"/>
          <w:szCs w:val="28"/>
          <w:vertAlign w:val="baseline"/>
        </w:rPr>
        <w:t>But see</w:t>
      </w:r>
      <w:r w:rsidRPr="000D213B">
        <w:rPr>
          <w:rFonts w:eastAsia="Times New Roman"/>
          <w:snapToGrid/>
          <w:sz w:val="28"/>
          <w:szCs w:val="28"/>
          <w:vertAlign w:val="baseline"/>
        </w:rPr>
        <w:t xml:space="preserve"> J. Abel, “</w:t>
      </w:r>
      <w:hyperlink r:id="rId36" w:anchor="co_pp_sp_3050_762" w:history="1">
        <w:r w:rsidRPr="000D213B">
          <w:rPr>
            <w:rFonts w:eastAsia="Times New Roman"/>
            <w:i/>
            <w:iCs/>
            <w:snapToGrid/>
            <w:sz w:val="28"/>
            <w:szCs w:val="28"/>
            <w:vertAlign w:val="baseline"/>
          </w:rPr>
          <w:t>Batson</w:t>
        </w:r>
        <w:r w:rsidRPr="000D213B">
          <w:rPr>
            <w:rFonts w:eastAsia="Times New Roman"/>
            <w:snapToGrid/>
            <w:sz w:val="28"/>
            <w:szCs w:val="28"/>
            <w:vertAlign w:val="baseline"/>
          </w:rPr>
          <w:t>'s Appellate Appeal and Trial Tribulations,” 118 Colum. L. Rev. 713, 762–66 (2018)</w:t>
        </w:r>
      </w:hyperlink>
      <w:r w:rsidRPr="000D213B">
        <w:rPr>
          <w:rFonts w:eastAsia="Times New Roman"/>
          <w:snapToGrid/>
          <w:sz w:val="28"/>
          <w:szCs w:val="28"/>
          <w:vertAlign w:val="baseline"/>
        </w:rPr>
        <w:t xml:space="preserve"> (discussing </w:t>
      </w:r>
      <w:hyperlink r:id="rId37" w:history="1">
        <w:r w:rsidRPr="000D213B">
          <w:rPr>
            <w:rFonts w:eastAsia="Times New Roman"/>
            <w:i/>
            <w:iCs/>
            <w:snapToGrid/>
            <w:sz w:val="28"/>
            <w:szCs w:val="28"/>
            <w:vertAlign w:val="baseline"/>
          </w:rPr>
          <w:t>Batson</w:t>
        </w:r>
        <w:r w:rsidRPr="000D213B">
          <w:rPr>
            <w:rFonts w:eastAsia="Times New Roman"/>
            <w:snapToGrid/>
            <w:sz w:val="28"/>
            <w:szCs w:val="28"/>
            <w:vertAlign w:val="baseline"/>
          </w:rPr>
          <w:t>'s</w:t>
        </w:r>
      </w:hyperlink>
      <w:r w:rsidRPr="000D213B">
        <w:rPr>
          <w:rFonts w:eastAsia="Times New Roman"/>
          <w:snapToGrid/>
          <w:sz w:val="28"/>
          <w:szCs w:val="28"/>
          <w:vertAlign w:val="baseline"/>
        </w:rPr>
        <w:t xml:space="preserve"> greater value in direct and collateral postconviction review proceedings, particularly in habeas cases that afford access to evidence beyond trial record to prove discrimination).</w:t>
      </w:r>
    </w:p>
    <w:p w14:paraId="022D91BE" w14:textId="77777777" w:rsidR="00126B34" w:rsidRPr="00126B34" w:rsidRDefault="00126B34" w:rsidP="00126B34">
      <w:pPr>
        <w:shd w:val="clear" w:color="auto" w:fill="FFFFFF"/>
        <w:rPr>
          <w:rFonts w:eastAsia="Times New Roman"/>
          <w:snapToGrid/>
          <w:sz w:val="24"/>
          <w:szCs w:val="24"/>
          <w:vertAlign w:val="baseline"/>
        </w:rPr>
      </w:pPr>
    </w:p>
    <w:p w14:paraId="293CCEB6" w14:textId="77777777" w:rsidR="00126B34" w:rsidRPr="00126B34" w:rsidRDefault="00126B34" w:rsidP="00126B34">
      <w:pPr>
        <w:shd w:val="clear" w:color="auto" w:fill="FFFFFF"/>
        <w:rPr>
          <w:rFonts w:eastAsia="Times New Roman"/>
          <w:snapToGrid/>
          <w:color w:val="000000"/>
          <w:sz w:val="28"/>
          <w:szCs w:val="28"/>
          <w:vertAlign w:val="baseline"/>
        </w:rPr>
      </w:pPr>
      <w:r w:rsidRPr="00126B34">
        <w:rPr>
          <w:rFonts w:eastAsia="Times New Roman"/>
          <w:i/>
          <w:iCs/>
          <w:snapToGrid/>
          <w:color w:val="000000"/>
          <w:sz w:val="28"/>
          <w:szCs w:val="28"/>
          <w:vertAlign w:val="baseline"/>
        </w:rPr>
        <w:t>State v. Holmes</w:t>
      </w:r>
      <w:r w:rsidRPr="00126B34">
        <w:rPr>
          <w:rFonts w:eastAsia="Times New Roman"/>
          <w:snapToGrid/>
          <w:color w:val="000000"/>
          <w:sz w:val="28"/>
          <w:szCs w:val="28"/>
          <w:vertAlign w:val="baseline"/>
        </w:rPr>
        <w:t xml:space="preserve">, 334 Conn. 202, 238–40 (2019). </w:t>
      </w:r>
    </w:p>
    <w:p w14:paraId="1CD2E7CD" w14:textId="77777777" w:rsidR="00126B34" w:rsidRPr="00126B34" w:rsidRDefault="00126B34" w:rsidP="00126B34">
      <w:pPr>
        <w:ind w:firstLine="720"/>
        <w:jc w:val="both"/>
        <w:rPr>
          <w:rFonts w:eastAsia="Times New Roman"/>
          <w:snapToGrid/>
          <w:color w:val="000000"/>
          <w:sz w:val="24"/>
          <w:szCs w:val="24"/>
          <w:vertAlign w:val="baseline"/>
        </w:rPr>
      </w:pPr>
    </w:p>
    <w:p w14:paraId="6213591F" w14:textId="77777777" w:rsidR="00126B34" w:rsidRPr="00126B34" w:rsidRDefault="00126B34" w:rsidP="00126B34">
      <w:pPr>
        <w:spacing w:line="480" w:lineRule="auto"/>
        <w:ind w:firstLine="720"/>
        <w:jc w:val="both"/>
        <w:rPr>
          <w:rFonts w:eastAsia="Times New Roman"/>
          <w:snapToGrid/>
          <w:sz w:val="28"/>
          <w:szCs w:val="28"/>
          <w:vertAlign w:val="baseline"/>
        </w:rPr>
      </w:pPr>
      <w:r w:rsidRPr="00126B34">
        <w:rPr>
          <w:rFonts w:eastAsia="Times New Roman"/>
          <w:snapToGrid/>
          <w:sz w:val="28"/>
          <w:szCs w:val="28"/>
          <w:vertAlign w:val="baseline"/>
        </w:rPr>
        <w:t xml:space="preserve">In </w:t>
      </w:r>
      <w:r w:rsidRPr="00126B34">
        <w:rPr>
          <w:rFonts w:eastAsia="Times New Roman"/>
          <w:i/>
          <w:snapToGrid/>
          <w:sz w:val="28"/>
          <w:szCs w:val="28"/>
          <w:vertAlign w:val="baseline"/>
        </w:rPr>
        <w:t>Holmes</w:t>
      </w:r>
      <w:r w:rsidRPr="00126B34">
        <w:rPr>
          <w:rFonts w:eastAsia="Times New Roman"/>
          <w:snapToGrid/>
          <w:sz w:val="28"/>
          <w:szCs w:val="28"/>
          <w:vertAlign w:val="baseline"/>
        </w:rPr>
        <w:t xml:space="preserve">, the Connecticut Supreme Court concluded that it should follow the lead of the Washington Supreme Court by exploring ways that discrimination during jury selection could be ameliorated with the adoption of  new rules.  </w:t>
      </w:r>
      <w:r w:rsidRPr="00126B34">
        <w:rPr>
          <w:rFonts w:eastAsia="Times New Roman"/>
          <w:i/>
          <w:snapToGrid/>
          <w:sz w:val="28"/>
          <w:szCs w:val="28"/>
          <w:vertAlign w:val="baseline"/>
        </w:rPr>
        <w:t>Id</w:t>
      </w:r>
      <w:r w:rsidRPr="00126B34">
        <w:rPr>
          <w:rFonts w:eastAsia="Times New Roman"/>
          <w:snapToGrid/>
          <w:sz w:val="28"/>
          <w:szCs w:val="28"/>
          <w:vertAlign w:val="baseline"/>
        </w:rPr>
        <w:t xml:space="preserve">. at 248-249.  This petition invites this Court to adopt the same rule that Washington promulgated as Washington General Rule 37.  </w:t>
      </w:r>
    </w:p>
    <w:p w14:paraId="1B4ED634" w14:textId="77777777" w:rsidR="00126B34" w:rsidRPr="00126B34" w:rsidRDefault="00126B34" w:rsidP="00126B34">
      <w:pPr>
        <w:ind w:left="720"/>
        <w:jc w:val="both"/>
        <w:rPr>
          <w:rFonts w:eastAsia="Times New Roman"/>
          <w:snapToGrid/>
          <w:sz w:val="28"/>
          <w:szCs w:val="28"/>
          <w:vertAlign w:val="baseline"/>
        </w:rPr>
      </w:pPr>
    </w:p>
    <w:p w14:paraId="3A7C377F" w14:textId="77777777" w:rsidR="00126B34" w:rsidRPr="008F33E5" w:rsidRDefault="00126B34" w:rsidP="008F33E5">
      <w:pPr>
        <w:pStyle w:val="ListParagraph"/>
        <w:numPr>
          <w:ilvl w:val="0"/>
          <w:numId w:val="4"/>
        </w:numPr>
        <w:jc w:val="both"/>
        <w:rPr>
          <w:rFonts w:eastAsia="Times New Roman"/>
          <w:b/>
          <w:snapToGrid/>
          <w:sz w:val="28"/>
          <w:szCs w:val="28"/>
          <w:vertAlign w:val="baseline"/>
        </w:rPr>
      </w:pPr>
      <w:r w:rsidRPr="008F33E5">
        <w:rPr>
          <w:rFonts w:eastAsia="Times New Roman"/>
          <w:b/>
          <w:snapToGrid/>
          <w:sz w:val="28"/>
          <w:szCs w:val="28"/>
          <w:vertAlign w:val="baseline"/>
        </w:rPr>
        <w:t xml:space="preserve">The proposed rule provides guidance to litigants and the courts by creating standards that ameliorate the lack of guidance offered by </w:t>
      </w:r>
      <w:r w:rsidRPr="008F33E5">
        <w:rPr>
          <w:rFonts w:eastAsia="Times New Roman"/>
          <w:b/>
          <w:i/>
          <w:snapToGrid/>
          <w:sz w:val="28"/>
          <w:szCs w:val="28"/>
          <w:vertAlign w:val="baseline"/>
        </w:rPr>
        <w:t xml:space="preserve">Batson </w:t>
      </w:r>
      <w:r w:rsidRPr="008F33E5">
        <w:rPr>
          <w:rFonts w:eastAsia="Times New Roman"/>
          <w:b/>
          <w:snapToGrid/>
          <w:sz w:val="28"/>
          <w:szCs w:val="28"/>
          <w:vertAlign w:val="baseline"/>
        </w:rPr>
        <w:t xml:space="preserve">and its progeny. </w:t>
      </w:r>
    </w:p>
    <w:p w14:paraId="4A69DC3A" w14:textId="77777777" w:rsidR="00126B34" w:rsidRPr="00126B34" w:rsidRDefault="00126B34" w:rsidP="00126B34">
      <w:pPr>
        <w:spacing w:line="508" w:lineRule="exact"/>
        <w:ind w:left="720"/>
        <w:rPr>
          <w:rFonts w:eastAsia="Times New Roman"/>
          <w:snapToGrid/>
          <w:sz w:val="28"/>
          <w:szCs w:val="28"/>
          <w:vertAlign w:val="baseline"/>
        </w:rPr>
      </w:pPr>
    </w:p>
    <w:p w14:paraId="5A3275C9" w14:textId="77777777" w:rsidR="00126B34" w:rsidRPr="00126B34" w:rsidRDefault="00126B34" w:rsidP="008A7C7A">
      <w:pPr>
        <w:autoSpaceDE w:val="0"/>
        <w:autoSpaceDN w:val="0"/>
        <w:adjustRightInd w:val="0"/>
        <w:spacing w:line="480" w:lineRule="auto"/>
        <w:ind w:firstLine="720"/>
        <w:jc w:val="both"/>
        <w:rPr>
          <w:rFonts w:eastAsia="Times New Roman"/>
          <w:snapToGrid/>
          <w:color w:val="000000"/>
          <w:sz w:val="28"/>
          <w:szCs w:val="28"/>
          <w:vertAlign w:val="baseline"/>
        </w:rPr>
      </w:pPr>
      <w:r w:rsidRPr="00126B34">
        <w:rPr>
          <w:rFonts w:eastAsia="Times New Roman"/>
          <w:snapToGrid/>
          <w:color w:val="000000"/>
          <w:sz w:val="28"/>
          <w:szCs w:val="28"/>
          <w:vertAlign w:val="baseline"/>
        </w:rPr>
        <w:t xml:space="preserve">To date, Arizona law has not been especially concerned with the failure of </w:t>
      </w:r>
      <w:r w:rsidRPr="00126B34">
        <w:rPr>
          <w:rFonts w:eastAsia="Times New Roman"/>
          <w:i/>
          <w:snapToGrid/>
          <w:color w:val="000000"/>
          <w:sz w:val="28"/>
          <w:szCs w:val="28"/>
          <w:vertAlign w:val="baseline"/>
        </w:rPr>
        <w:t>Batson</w:t>
      </w:r>
      <w:r w:rsidRPr="00126B34">
        <w:rPr>
          <w:rFonts w:eastAsia="Times New Roman"/>
          <w:snapToGrid/>
          <w:color w:val="000000"/>
          <w:sz w:val="28"/>
          <w:szCs w:val="28"/>
          <w:vertAlign w:val="baseline"/>
        </w:rPr>
        <w:t xml:space="preserve"> to remedy the ongoing evil of discrimination during the jury selection process; rather Arizona law has emphasized whether its </w:t>
      </w:r>
      <w:r w:rsidRPr="00126B34">
        <w:rPr>
          <w:rFonts w:eastAsia="Times New Roman"/>
          <w:i/>
          <w:iCs/>
          <w:snapToGrid/>
          <w:color w:val="000000"/>
          <w:sz w:val="28"/>
          <w:szCs w:val="28"/>
          <w:vertAlign w:val="baseline"/>
        </w:rPr>
        <w:t xml:space="preserve">Batson </w:t>
      </w:r>
      <w:r w:rsidRPr="00126B34">
        <w:rPr>
          <w:rFonts w:eastAsia="Times New Roman"/>
          <w:snapToGrid/>
          <w:color w:val="000000"/>
          <w:sz w:val="28"/>
          <w:szCs w:val="28"/>
          <w:vertAlign w:val="baseline"/>
        </w:rPr>
        <w:t xml:space="preserve">approach is merely “sufficient” under the Fourteenth Amendment. </w:t>
      </w:r>
      <w:r w:rsidRPr="00126B34">
        <w:rPr>
          <w:rFonts w:eastAsia="Times New Roman"/>
          <w:i/>
          <w:iCs/>
          <w:snapToGrid/>
          <w:color w:val="000000"/>
          <w:sz w:val="28"/>
          <w:szCs w:val="28"/>
          <w:vertAlign w:val="baseline"/>
        </w:rPr>
        <w:t>See</w:t>
      </w:r>
      <w:r w:rsidRPr="00126B34">
        <w:rPr>
          <w:rFonts w:eastAsia="Times New Roman"/>
          <w:snapToGrid/>
          <w:color w:val="000000"/>
          <w:sz w:val="28"/>
          <w:szCs w:val="28"/>
          <w:vertAlign w:val="baseline"/>
        </w:rPr>
        <w:t xml:space="preserve">, </w:t>
      </w:r>
      <w:r w:rsidRPr="00126B34">
        <w:rPr>
          <w:rFonts w:eastAsia="Times New Roman"/>
          <w:i/>
          <w:iCs/>
          <w:snapToGrid/>
          <w:color w:val="000000"/>
          <w:sz w:val="28"/>
          <w:szCs w:val="28"/>
          <w:vertAlign w:val="baseline"/>
        </w:rPr>
        <w:t>e.g</w:t>
      </w:r>
      <w:r w:rsidRPr="00126B34">
        <w:rPr>
          <w:rFonts w:eastAsia="Times New Roman"/>
          <w:snapToGrid/>
          <w:color w:val="000000"/>
          <w:sz w:val="28"/>
          <w:szCs w:val="28"/>
          <w:vertAlign w:val="baseline"/>
        </w:rPr>
        <w:t xml:space="preserve">., </w:t>
      </w:r>
      <w:r w:rsidRPr="00126B34">
        <w:rPr>
          <w:rFonts w:eastAsia="Times New Roman"/>
          <w:i/>
          <w:iCs/>
          <w:snapToGrid/>
          <w:sz w:val="28"/>
          <w:szCs w:val="28"/>
          <w:vertAlign w:val="baseline"/>
        </w:rPr>
        <w:t>State v. Urrea</w:t>
      </w:r>
      <w:r w:rsidRPr="00126B34">
        <w:rPr>
          <w:rFonts w:eastAsia="Times New Roman"/>
          <w:snapToGrid/>
          <w:sz w:val="28"/>
          <w:szCs w:val="28"/>
          <w:vertAlign w:val="baseline"/>
        </w:rPr>
        <w:t>, 244 Ariz. 443, ¶ 10 (2018)</w:t>
      </w:r>
      <w:r w:rsidRPr="00126B34">
        <w:rPr>
          <w:rFonts w:eastAsia="Times New Roman"/>
          <w:snapToGrid/>
          <w:color w:val="0000FF"/>
          <w:sz w:val="28"/>
          <w:szCs w:val="28"/>
          <w:vertAlign w:val="baseline"/>
        </w:rPr>
        <w:t xml:space="preserve"> </w:t>
      </w:r>
      <w:r w:rsidRPr="00126B34">
        <w:rPr>
          <w:rFonts w:eastAsia="Times New Roman"/>
          <w:snapToGrid/>
          <w:color w:val="000000"/>
          <w:sz w:val="28"/>
          <w:szCs w:val="28"/>
          <w:vertAlign w:val="baseline"/>
        </w:rPr>
        <w:t xml:space="preserve">(assessing the sufficiency of a trial court’s remedy of a </w:t>
      </w:r>
      <w:r w:rsidRPr="00126B34">
        <w:rPr>
          <w:rFonts w:eastAsia="Times New Roman"/>
          <w:i/>
          <w:iCs/>
          <w:snapToGrid/>
          <w:color w:val="000000"/>
          <w:sz w:val="28"/>
          <w:szCs w:val="28"/>
          <w:vertAlign w:val="baseline"/>
        </w:rPr>
        <w:t xml:space="preserve">Batson </w:t>
      </w:r>
      <w:r w:rsidRPr="00126B34">
        <w:rPr>
          <w:rFonts w:eastAsia="Times New Roman"/>
          <w:snapToGrid/>
          <w:color w:val="000000"/>
          <w:sz w:val="28"/>
          <w:szCs w:val="28"/>
          <w:vertAlign w:val="baseline"/>
        </w:rPr>
        <w:t>violation). Arizon</w:t>
      </w:r>
      <w:r w:rsidR="00670967">
        <w:rPr>
          <w:rFonts w:eastAsia="Times New Roman"/>
          <w:snapToGrid/>
          <w:color w:val="000000"/>
          <w:sz w:val="28"/>
          <w:szCs w:val="28"/>
          <w:vertAlign w:val="baseline"/>
        </w:rPr>
        <w:t>ans</w:t>
      </w:r>
      <w:r w:rsidRPr="00126B34">
        <w:rPr>
          <w:rFonts w:eastAsia="Times New Roman"/>
          <w:snapToGrid/>
          <w:color w:val="000000"/>
          <w:sz w:val="28"/>
          <w:szCs w:val="28"/>
          <w:vertAlign w:val="baseline"/>
        </w:rPr>
        <w:t xml:space="preserve"> deserve more than a “minimally adequate” framework to root out discrimination in jury selection. </w:t>
      </w:r>
      <w:r w:rsidR="00670967">
        <w:rPr>
          <w:rFonts w:eastAsia="Times New Roman"/>
          <w:i/>
          <w:iCs/>
          <w:snapToGrid/>
          <w:color w:val="000000"/>
          <w:sz w:val="28"/>
          <w:szCs w:val="28"/>
          <w:vertAlign w:val="baseline"/>
        </w:rPr>
        <w:t>Id</w:t>
      </w:r>
      <w:r w:rsidR="00670967" w:rsidRPr="00670967">
        <w:rPr>
          <w:rFonts w:eastAsia="Times New Roman"/>
          <w:iCs/>
          <w:snapToGrid/>
          <w:color w:val="000000"/>
          <w:sz w:val="28"/>
          <w:szCs w:val="28"/>
          <w:vertAlign w:val="baseline"/>
        </w:rPr>
        <w:t xml:space="preserve">. </w:t>
      </w:r>
      <w:proofErr w:type="gramStart"/>
      <w:r w:rsidR="00670967" w:rsidRPr="00670967">
        <w:rPr>
          <w:rFonts w:eastAsia="Times New Roman"/>
          <w:iCs/>
          <w:snapToGrid/>
          <w:color w:val="000000"/>
          <w:sz w:val="28"/>
          <w:szCs w:val="28"/>
          <w:vertAlign w:val="baseline"/>
        </w:rPr>
        <w:t>at</w:t>
      </w:r>
      <w:r w:rsidR="00670967">
        <w:rPr>
          <w:rFonts w:eastAsia="Times New Roman"/>
          <w:i/>
          <w:iCs/>
          <w:snapToGrid/>
          <w:color w:val="000000"/>
          <w:sz w:val="28"/>
          <w:szCs w:val="28"/>
          <w:vertAlign w:val="baseline"/>
        </w:rPr>
        <w:t xml:space="preserve"> </w:t>
      </w:r>
      <w:r w:rsidRPr="00126B34">
        <w:rPr>
          <w:rFonts w:eastAsia="Times New Roman"/>
          <w:snapToGrid/>
          <w:color w:val="000000"/>
          <w:sz w:val="28"/>
          <w:szCs w:val="28"/>
          <w:vertAlign w:val="baseline"/>
        </w:rPr>
        <w:t xml:space="preserve"> ¶</w:t>
      </w:r>
      <w:proofErr w:type="gramEnd"/>
      <w:r w:rsidRPr="00126B34">
        <w:rPr>
          <w:rFonts w:eastAsia="Times New Roman"/>
          <w:snapToGrid/>
          <w:color w:val="000000"/>
          <w:sz w:val="28"/>
          <w:szCs w:val="28"/>
          <w:vertAlign w:val="baseline"/>
        </w:rPr>
        <w:t xml:space="preserve"> 20.</w:t>
      </w:r>
    </w:p>
    <w:p w14:paraId="5CDD7C41" w14:textId="77777777" w:rsidR="00670967" w:rsidRDefault="00126B34" w:rsidP="008A7C7A">
      <w:pPr>
        <w:keepNext/>
        <w:keepLines/>
        <w:autoSpaceDE w:val="0"/>
        <w:autoSpaceDN w:val="0"/>
        <w:adjustRightInd w:val="0"/>
        <w:spacing w:line="480" w:lineRule="auto"/>
        <w:ind w:firstLine="720"/>
        <w:jc w:val="both"/>
        <w:rPr>
          <w:rFonts w:eastAsia="Times New Roman"/>
          <w:snapToGrid/>
          <w:color w:val="000000"/>
          <w:sz w:val="28"/>
          <w:szCs w:val="28"/>
          <w:vertAlign w:val="baseline"/>
        </w:rPr>
      </w:pPr>
      <w:r w:rsidRPr="00126B34">
        <w:rPr>
          <w:rFonts w:eastAsia="Times New Roman"/>
          <w:snapToGrid/>
          <w:color w:val="000000"/>
          <w:sz w:val="28"/>
          <w:szCs w:val="28"/>
          <w:vertAlign w:val="baseline"/>
        </w:rPr>
        <w:lastRenderedPageBreak/>
        <w:t xml:space="preserve">Rather than permit juries to be selected in a manner that </w:t>
      </w:r>
      <w:r w:rsidR="000D213B">
        <w:rPr>
          <w:rFonts w:eastAsia="Times New Roman"/>
          <w:snapToGrid/>
          <w:color w:val="000000"/>
          <w:sz w:val="28"/>
          <w:szCs w:val="28"/>
          <w:vertAlign w:val="baseline"/>
        </w:rPr>
        <w:t>is</w:t>
      </w:r>
      <w:r w:rsidRPr="00126B34">
        <w:rPr>
          <w:rFonts w:eastAsia="Times New Roman"/>
          <w:snapToGrid/>
          <w:color w:val="000000"/>
          <w:sz w:val="28"/>
          <w:szCs w:val="28"/>
          <w:vertAlign w:val="baseline"/>
        </w:rPr>
        <w:t xml:space="preserve"> minimally adequate under the Fourteenth Amendment, the proposed rule will ensure that Arizona’s </w:t>
      </w:r>
      <w:r w:rsidRPr="00126B34">
        <w:rPr>
          <w:rFonts w:eastAsia="Times New Roman"/>
          <w:i/>
          <w:snapToGrid/>
          <w:color w:val="000000"/>
          <w:sz w:val="28"/>
          <w:szCs w:val="28"/>
          <w:vertAlign w:val="baseline"/>
        </w:rPr>
        <w:t>Batson</w:t>
      </w:r>
      <w:r w:rsidRPr="00126B34">
        <w:rPr>
          <w:rFonts w:eastAsia="Times New Roman"/>
          <w:snapToGrid/>
          <w:color w:val="000000"/>
          <w:sz w:val="28"/>
          <w:szCs w:val="28"/>
          <w:vertAlign w:val="baseline"/>
        </w:rPr>
        <w:t xml:space="preserve"> procedures are robust enough to effectively combat discrimination in the selection of juries.</w:t>
      </w:r>
      <w:r w:rsidR="008F33E5">
        <w:rPr>
          <w:rFonts w:eastAsia="Times New Roman"/>
          <w:snapToGrid/>
          <w:color w:val="000000"/>
          <w:sz w:val="28"/>
          <w:szCs w:val="28"/>
          <w:vertAlign w:val="baseline"/>
        </w:rPr>
        <w:t xml:space="preserve"> </w:t>
      </w:r>
      <w:r w:rsidRPr="00126B34">
        <w:rPr>
          <w:rFonts w:eastAsia="Times New Roman"/>
          <w:snapToGrid/>
          <w:color w:val="000000"/>
          <w:sz w:val="28"/>
          <w:szCs w:val="28"/>
          <w:vertAlign w:val="baseline"/>
        </w:rPr>
        <w:t xml:space="preserve">The proposed rule accomplishes this goal by providing explicit guidance to parties and the courts by outlining the procedures for conducting a </w:t>
      </w:r>
      <w:r w:rsidRPr="00126B34">
        <w:rPr>
          <w:rFonts w:eastAsia="Times New Roman"/>
          <w:i/>
          <w:snapToGrid/>
          <w:color w:val="000000"/>
          <w:sz w:val="28"/>
          <w:szCs w:val="28"/>
          <w:vertAlign w:val="baseline"/>
        </w:rPr>
        <w:t xml:space="preserve">Batson </w:t>
      </w:r>
      <w:r w:rsidRPr="00126B34">
        <w:rPr>
          <w:rFonts w:eastAsia="Times New Roman"/>
          <w:snapToGrid/>
          <w:color w:val="000000"/>
          <w:sz w:val="28"/>
          <w:szCs w:val="28"/>
          <w:vertAlign w:val="baseline"/>
        </w:rPr>
        <w:t xml:space="preserve">inquiry during jury selection. </w:t>
      </w:r>
    </w:p>
    <w:p w14:paraId="37F4BA75" w14:textId="77777777" w:rsidR="008A7C7A" w:rsidRDefault="00126B34" w:rsidP="008A7C7A">
      <w:pPr>
        <w:keepNext/>
        <w:keepLines/>
        <w:autoSpaceDE w:val="0"/>
        <w:autoSpaceDN w:val="0"/>
        <w:adjustRightInd w:val="0"/>
        <w:spacing w:line="480" w:lineRule="auto"/>
        <w:ind w:firstLine="720"/>
        <w:jc w:val="both"/>
        <w:rPr>
          <w:rFonts w:eastAsia="Times New Roman"/>
          <w:snapToGrid/>
          <w:color w:val="000000"/>
          <w:sz w:val="28"/>
          <w:szCs w:val="28"/>
          <w:vertAlign w:val="baseline"/>
        </w:rPr>
      </w:pPr>
      <w:r w:rsidRPr="00126B34">
        <w:rPr>
          <w:rFonts w:eastAsia="Times New Roman"/>
          <w:snapToGrid/>
          <w:color w:val="000000"/>
          <w:sz w:val="28"/>
          <w:szCs w:val="28"/>
          <w:vertAlign w:val="baseline"/>
        </w:rPr>
        <w:t xml:space="preserve">The proposed rule is the product of extensive consideration of a working group established by the Washington Supreme Court. </w:t>
      </w:r>
      <w:r w:rsidRPr="00126B34">
        <w:rPr>
          <w:rFonts w:eastAsia="Times New Roman"/>
          <w:i/>
          <w:snapToGrid/>
          <w:color w:val="000000"/>
          <w:sz w:val="28"/>
          <w:szCs w:val="28"/>
          <w:vertAlign w:val="baseline"/>
        </w:rPr>
        <w:t xml:space="preserve">See </w:t>
      </w:r>
      <w:r w:rsidRPr="00126B34">
        <w:rPr>
          <w:rFonts w:eastAsia="Times New Roman"/>
          <w:snapToGrid/>
          <w:color w:val="000000"/>
          <w:sz w:val="28"/>
          <w:szCs w:val="28"/>
          <w:vertAlign w:val="baseline"/>
        </w:rPr>
        <w:t xml:space="preserve">“Proposed New GR 37- Jury Selection Workgroup: Final Report”  (available at </w:t>
      </w:r>
      <w:hyperlink r:id="rId38" w:history="1">
        <w:r w:rsidRPr="00126B34">
          <w:rPr>
            <w:rFonts w:eastAsia="Times New Roman"/>
            <w:snapToGrid/>
            <w:color w:val="0000FF"/>
            <w:sz w:val="28"/>
            <w:szCs w:val="28"/>
            <w:u w:val="single"/>
            <w:vertAlign w:val="baseline"/>
          </w:rPr>
          <w:t>https://www.courts.wa.gov/content/publicUpload/Supreme%20Court%20Orders/OrderNo25700-A-1221Workgroup.pdf</w:t>
        </w:r>
      </w:hyperlink>
      <w:r w:rsidRPr="00126B34">
        <w:rPr>
          <w:rFonts w:eastAsia="Times New Roman"/>
          <w:snapToGrid/>
          <w:color w:val="000000"/>
          <w:sz w:val="28"/>
          <w:szCs w:val="28"/>
          <w:vertAlign w:val="baseline"/>
        </w:rPr>
        <w:t xml:space="preserve">). </w:t>
      </w:r>
    </w:p>
    <w:p w14:paraId="42A1E31C" w14:textId="77777777" w:rsidR="00126B34" w:rsidRDefault="00126B34" w:rsidP="008A7C7A">
      <w:pPr>
        <w:keepNext/>
        <w:keepLines/>
        <w:autoSpaceDE w:val="0"/>
        <w:autoSpaceDN w:val="0"/>
        <w:adjustRightInd w:val="0"/>
        <w:spacing w:line="480" w:lineRule="auto"/>
        <w:ind w:firstLine="720"/>
        <w:jc w:val="both"/>
        <w:rPr>
          <w:rFonts w:eastAsia="Times New Roman"/>
          <w:snapToGrid/>
          <w:color w:val="000000"/>
          <w:sz w:val="28"/>
          <w:szCs w:val="28"/>
          <w:vertAlign w:val="baseline"/>
        </w:rPr>
      </w:pPr>
      <w:r w:rsidRPr="00126B34">
        <w:rPr>
          <w:rFonts w:eastAsia="Times New Roman"/>
          <w:snapToGrid/>
          <w:color w:val="000000"/>
          <w:sz w:val="28"/>
          <w:szCs w:val="28"/>
          <w:vertAlign w:val="baseline"/>
        </w:rPr>
        <w:t xml:space="preserve">In addition to outlining the procedures for courts, subsection (e) of the proposed rule accounts for implicit bias by modifying the third prong of the </w:t>
      </w:r>
      <w:r w:rsidRPr="00126B34">
        <w:rPr>
          <w:rFonts w:eastAsia="Times New Roman"/>
          <w:i/>
          <w:snapToGrid/>
          <w:color w:val="000000"/>
          <w:sz w:val="28"/>
          <w:szCs w:val="28"/>
          <w:vertAlign w:val="baseline"/>
        </w:rPr>
        <w:t>Batson</w:t>
      </w:r>
      <w:r w:rsidRPr="00126B34">
        <w:rPr>
          <w:rFonts w:eastAsia="Times New Roman"/>
          <w:snapToGrid/>
          <w:color w:val="000000"/>
          <w:sz w:val="28"/>
          <w:szCs w:val="28"/>
          <w:vertAlign w:val="baseline"/>
        </w:rPr>
        <w:t xml:space="preserve"> analysis to establish an objective observer test. This objective observer test ameliorates the well-documented problems that judges face when confronted with the proposition that a member of the bar has committed misconduct by intentionally misleading a court about the party’s discriminatory intent. Instead of requiring a finding of purposeful discrimination, the court would be tasked with assessing whether an objective observer would, under the totality of the circumstances, view race or ethnicity as a factor in the use of the peremptory strike.  </w:t>
      </w:r>
    </w:p>
    <w:p w14:paraId="57928362" w14:textId="77777777" w:rsidR="00126B34" w:rsidRPr="00126B34" w:rsidRDefault="00126B34" w:rsidP="00126B34">
      <w:pPr>
        <w:pageBreakBefore/>
        <w:autoSpaceDE w:val="0"/>
        <w:autoSpaceDN w:val="0"/>
        <w:adjustRightInd w:val="0"/>
        <w:spacing w:line="480" w:lineRule="auto"/>
        <w:ind w:firstLine="720"/>
        <w:jc w:val="both"/>
        <w:rPr>
          <w:rFonts w:eastAsia="Times New Roman"/>
          <w:snapToGrid/>
          <w:color w:val="000000"/>
          <w:sz w:val="28"/>
          <w:szCs w:val="28"/>
          <w:vertAlign w:val="baseline"/>
        </w:rPr>
      </w:pPr>
      <w:r w:rsidRPr="00126B34">
        <w:rPr>
          <w:rFonts w:eastAsia="Times New Roman"/>
          <w:snapToGrid/>
          <w:color w:val="000000"/>
          <w:sz w:val="28"/>
          <w:szCs w:val="28"/>
          <w:vertAlign w:val="baseline"/>
        </w:rPr>
        <w:lastRenderedPageBreak/>
        <w:t xml:space="preserve">The objective observer test would also empower appellate courts to remedy discriminatory acts during jury selection.  In </w:t>
      </w:r>
      <w:r w:rsidRPr="00126B34">
        <w:rPr>
          <w:rFonts w:eastAsia="Times New Roman"/>
          <w:i/>
          <w:snapToGrid/>
          <w:color w:val="000000"/>
          <w:sz w:val="28"/>
          <w:szCs w:val="28"/>
          <w:vertAlign w:val="baseline"/>
        </w:rPr>
        <w:t>State v. Jefferson</w:t>
      </w:r>
      <w:r w:rsidRPr="00126B34">
        <w:rPr>
          <w:rFonts w:eastAsia="Times New Roman"/>
          <w:snapToGrid/>
          <w:color w:val="000000"/>
          <w:sz w:val="28"/>
          <w:szCs w:val="28"/>
          <w:vertAlign w:val="baseline"/>
        </w:rPr>
        <w:t>, the Washington Supreme Court explained the impact of the adoption of the objective-observer test:</w:t>
      </w:r>
    </w:p>
    <w:p w14:paraId="2AC73B1E" w14:textId="77777777" w:rsidR="00126B34" w:rsidRDefault="00126B34" w:rsidP="00126B34">
      <w:pPr>
        <w:autoSpaceDE w:val="0"/>
        <w:autoSpaceDN w:val="0"/>
        <w:adjustRightInd w:val="0"/>
        <w:ind w:left="1440" w:right="1350"/>
        <w:jc w:val="both"/>
        <w:rPr>
          <w:rFonts w:eastAsia="Times New Roman"/>
          <w:snapToGrid/>
          <w:color w:val="000000"/>
          <w:sz w:val="28"/>
          <w:szCs w:val="28"/>
          <w:vertAlign w:val="baseline"/>
        </w:rPr>
      </w:pPr>
      <w:r w:rsidRPr="00126B34">
        <w:rPr>
          <w:rFonts w:eastAsia="Times New Roman"/>
          <w:snapToGrid/>
          <w:color w:val="000000"/>
          <w:sz w:val="28"/>
          <w:szCs w:val="28"/>
          <w:vertAlign w:val="baseline"/>
        </w:rPr>
        <w:t xml:space="preserve">Whether “an objective observer could view race as a factor in the use of the peremptory challenge” is an objective inquiry. It is not a question of fact about whether a party intentionally used “purposeful discrimination,” as step three of the prior </w:t>
      </w:r>
      <w:r w:rsidRPr="00126B34">
        <w:rPr>
          <w:rFonts w:eastAsia="Times New Roman"/>
          <w:i/>
          <w:iCs/>
          <w:snapToGrid/>
          <w:color w:val="000000"/>
          <w:sz w:val="28"/>
          <w:szCs w:val="28"/>
          <w:vertAlign w:val="baseline"/>
        </w:rPr>
        <w:t xml:space="preserve">Batson </w:t>
      </w:r>
      <w:r w:rsidRPr="00126B34">
        <w:rPr>
          <w:rFonts w:eastAsia="Times New Roman"/>
          <w:snapToGrid/>
          <w:color w:val="000000"/>
          <w:sz w:val="28"/>
          <w:szCs w:val="28"/>
          <w:vertAlign w:val="baseline"/>
        </w:rPr>
        <w:t xml:space="preserve">test was. It is an objective inquiry based on the average reasonable person—defined here as a person who is aware of the history of explicit race discrimination in America and aware of how that impacts our current decision making in non-explicit, or implicit, unstated, ways. For that reason, we stand in the same position as does the trial court, and we review the record and the trial court’s conclusions on this third </w:t>
      </w:r>
      <w:r w:rsidRPr="00126B34">
        <w:rPr>
          <w:rFonts w:eastAsia="Times New Roman"/>
          <w:i/>
          <w:iCs/>
          <w:snapToGrid/>
          <w:color w:val="000000"/>
          <w:sz w:val="28"/>
          <w:szCs w:val="28"/>
          <w:vertAlign w:val="baseline"/>
        </w:rPr>
        <w:t xml:space="preserve">Batson </w:t>
      </w:r>
      <w:r w:rsidRPr="00126B34">
        <w:rPr>
          <w:rFonts w:eastAsia="Times New Roman"/>
          <w:snapToGrid/>
          <w:color w:val="000000"/>
          <w:sz w:val="28"/>
          <w:szCs w:val="28"/>
          <w:vertAlign w:val="baseline"/>
        </w:rPr>
        <w:t xml:space="preserve">step </w:t>
      </w:r>
      <w:r w:rsidRPr="00126B34">
        <w:rPr>
          <w:rFonts w:eastAsia="Times New Roman"/>
          <w:i/>
          <w:iCs/>
          <w:snapToGrid/>
          <w:color w:val="000000"/>
          <w:sz w:val="28"/>
          <w:szCs w:val="28"/>
          <w:vertAlign w:val="baseline"/>
        </w:rPr>
        <w:t>de novo</w:t>
      </w:r>
      <w:r w:rsidRPr="00126B34">
        <w:rPr>
          <w:rFonts w:eastAsia="Times New Roman"/>
          <w:snapToGrid/>
          <w:color w:val="000000"/>
          <w:sz w:val="28"/>
          <w:szCs w:val="28"/>
          <w:vertAlign w:val="baseline"/>
        </w:rPr>
        <w:t>.</w:t>
      </w:r>
      <w:r w:rsidRPr="00126B34">
        <w:rPr>
          <w:rFonts w:eastAsia="Times New Roman"/>
          <w:snapToGrid/>
          <w:color w:val="000000"/>
          <w:sz w:val="18"/>
          <w:szCs w:val="18"/>
          <w:vertAlign w:val="baseline"/>
        </w:rPr>
        <w:t xml:space="preserve"> </w:t>
      </w:r>
      <w:r w:rsidRPr="00126B34">
        <w:rPr>
          <w:rFonts w:eastAsia="Times New Roman"/>
          <w:snapToGrid/>
          <w:color w:val="000000"/>
          <w:sz w:val="28"/>
          <w:szCs w:val="28"/>
          <w:vertAlign w:val="baseline"/>
        </w:rPr>
        <w:t xml:space="preserve">This is a change from </w:t>
      </w:r>
      <w:r w:rsidRPr="00126B34">
        <w:rPr>
          <w:rFonts w:eastAsia="Times New Roman"/>
          <w:i/>
          <w:iCs/>
          <w:snapToGrid/>
          <w:color w:val="000000"/>
          <w:sz w:val="28"/>
          <w:szCs w:val="28"/>
          <w:vertAlign w:val="baseline"/>
        </w:rPr>
        <w:t>Batson</w:t>
      </w:r>
      <w:r w:rsidRPr="00126B34">
        <w:rPr>
          <w:rFonts w:eastAsia="Times New Roman"/>
          <w:snapToGrid/>
          <w:color w:val="000000"/>
          <w:sz w:val="28"/>
          <w:szCs w:val="28"/>
          <w:vertAlign w:val="baseline"/>
        </w:rPr>
        <w:t xml:space="preserve">’s deferential, “clearly erroneous” standard of review of the purely factual conclusion about “purposeful discrimination.” </w:t>
      </w:r>
    </w:p>
    <w:p w14:paraId="3833B2AF" w14:textId="77777777" w:rsidR="00126B34" w:rsidRDefault="00126B34" w:rsidP="00126B34">
      <w:pPr>
        <w:autoSpaceDE w:val="0"/>
        <w:autoSpaceDN w:val="0"/>
        <w:adjustRightInd w:val="0"/>
        <w:ind w:right="1350"/>
        <w:jc w:val="both"/>
        <w:rPr>
          <w:rFonts w:eastAsia="Times New Roman"/>
          <w:snapToGrid/>
          <w:color w:val="000000"/>
          <w:sz w:val="28"/>
          <w:szCs w:val="28"/>
          <w:vertAlign w:val="baseline"/>
        </w:rPr>
      </w:pPr>
    </w:p>
    <w:p w14:paraId="325AB3AC" w14:textId="77777777" w:rsidR="00126B34" w:rsidRDefault="00126B34" w:rsidP="00126B34">
      <w:pPr>
        <w:shd w:val="clear" w:color="auto" w:fill="FFFFFF"/>
        <w:rPr>
          <w:rFonts w:eastAsia="Times New Roman"/>
          <w:snapToGrid/>
          <w:color w:val="000000"/>
          <w:sz w:val="28"/>
          <w:szCs w:val="28"/>
          <w:vertAlign w:val="baseline"/>
        </w:rPr>
      </w:pPr>
      <w:r w:rsidRPr="00126B34">
        <w:rPr>
          <w:rFonts w:eastAsia="Times New Roman"/>
          <w:i/>
          <w:iCs/>
          <w:snapToGrid/>
          <w:color w:val="000000"/>
          <w:sz w:val="28"/>
          <w:szCs w:val="28"/>
          <w:vertAlign w:val="baseline"/>
        </w:rPr>
        <w:t>State v. Jefferson</w:t>
      </w:r>
      <w:r w:rsidRPr="00126B34">
        <w:rPr>
          <w:rFonts w:eastAsia="Times New Roman"/>
          <w:snapToGrid/>
          <w:color w:val="000000"/>
          <w:sz w:val="28"/>
          <w:szCs w:val="28"/>
          <w:vertAlign w:val="baseline"/>
        </w:rPr>
        <w:t>, 192 Wash. 2d 225, 249–50, 429 P.3d 467, 480 (2018).</w:t>
      </w:r>
      <w:r>
        <w:rPr>
          <w:rFonts w:eastAsia="Times New Roman"/>
          <w:snapToGrid/>
          <w:color w:val="000000"/>
          <w:sz w:val="28"/>
          <w:szCs w:val="28"/>
          <w:vertAlign w:val="baseline"/>
        </w:rPr>
        <w:t xml:space="preserve"> </w:t>
      </w:r>
    </w:p>
    <w:p w14:paraId="5CABADFE" w14:textId="77777777" w:rsidR="00126B34" w:rsidRDefault="00126B34" w:rsidP="00126B34">
      <w:pPr>
        <w:shd w:val="clear" w:color="auto" w:fill="FFFFFF"/>
        <w:rPr>
          <w:rFonts w:eastAsia="Times New Roman"/>
          <w:snapToGrid/>
          <w:color w:val="000000"/>
          <w:sz w:val="28"/>
          <w:szCs w:val="28"/>
          <w:vertAlign w:val="baseline"/>
        </w:rPr>
      </w:pPr>
    </w:p>
    <w:p w14:paraId="413EC150" w14:textId="77777777" w:rsidR="00126B34" w:rsidRDefault="00126B34" w:rsidP="008A7C7A">
      <w:pPr>
        <w:shd w:val="clear" w:color="auto" w:fill="FFFFFF"/>
        <w:spacing w:line="480" w:lineRule="auto"/>
        <w:ind w:firstLine="720"/>
        <w:jc w:val="both"/>
        <w:rPr>
          <w:rFonts w:eastAsia="Times New Roman"/>
          <w:snapToGrid/>
          <w:color w:val="000000"/>
          <w:sz w:val="28"/>
          <w:szCs w:val="28"/>
          <w:vertAlign w:val="baseline"/>
        </w:rPr>
      </w:pPr>
      <w:r w:rsidRPr="00126B34">
        <w:rPr>
          <w:rFonts w:eastAsia="Times New Roman"/>
          <w:snapToGrid/>
          <w:color w:val="000000"/>
          <w:sz w:val="28"/>
          <w:szCs w:val="28"/>
          <w:vertAlign w:val="baseline"/>
        </w:rPr>
        <w:t xml:space="preserve">Perhaps most importantly, subsections (h) and (i) of the proposed rule eliminate pretextual justifications for discriminatory strikes by establishing that certain explanations for striking a juror are presumptively invalid because they are historically connected to the life experiences of jurors who are often subject to </w:t>
      </w:r>
      <w:r w:rsidR="00670967">
        <w:rPr>
          <w:rFonts w:eastAsia="Times New Roman"/>
          <w:snapToGrid/>
          <w:color w:val="000000"/>
          <w:sz w:val="28"/>
          <w:szCs w:val="28"/>
          <w:vertAlign w:val="baseline"/>
        </w:rPr>
        <w:t xml:space="preserve">racial and ethnic </w:t>
      </w:r>
      <w:r w:rsidRPr="00126B34">
        <w:rPr>
          <w:rFonts w:eastAsia="Times New Roman"/>
          <w:snapToGrid/>
          <w:color w:val="000000"/>
          <w:sz w:val="28"/>
          <w:szCs w:val="28"/>
          <w:vertAlign w:val="baseline"/>
        </w:rPr>
        <w:t>discrimination.</w:t>
      </w:r>
      <w:r>
        <w:rPr>
          <w:rFonts w:eastAsia="Times New Roman"/>
          <w:snapToGrid/>
          <w:color w:val="000000"/>
          <w:sz w:val="28"/>
          <w:szCs w:val="28"/>
          <w:vertAlign w:val="baseline"/>
        </w:rPr>
        <w:t xml:space="preserve">  </w:t>
      </w:r>
    </w:p>
    <w:p w14:paraId="1F8B0450" w14:textId="77777777" w:rsidR="00126B34" w:rsidRDefault="00126B34" w:rsidP="008A7C7A">
      <w:pPr>
        <w:shd w:val="clear" w:color="auto" w:fill="FFFFFF"/>
        <w:spacing w:line="480" w:lineRule="auto"/>
        <w:ind w:firstLine="720"/>
        <w:jc w:val="both"/>
        <w:rPr>
          <w:rFonts w:eastAsia="Times New Roman"/>
          <w:snapToGrid/>
          <w:color w:val="000000"/>
          <w:sz w:val="28"/>
          <w:szCs w:val="28"/>
          <w:vertAlign w:val="baseline"/>
        </w:rPr>
      </w:pPr>
      <w:r>
        <w:rPr>
          <w:rFonts w:eastAsia="Times New Roman"/>
          <w:snapToGrid/>
          <w:color w:val="000000"/>
          <w:sz w:val="28"/>
          <w:szCs w:val="28"/>
          <w:vertAlign w:val="baseline"/>
        </w:rPr>
        <w:t xml:space="preserve">The proposed rule is easy to comprehend, provides fair notice to all parties about the applicable standards, and is fair. </w:t>
      </w:r>
    </w:p>
    <w:p w14:paraId="33313A45" w14:textId="77777777" w:rsidR="00126B34" w:rsidRDefault="00126B34" w:rsidP="008A7C7A">
      <w:pPr>
        <w:jc w:val="both"/>
        <w:rPr>
          <w:rFonts w:eastAsia="Times New Roman"/>
          <w:snapToGrid/>
          <w:color w:val="000000"/>
          <w:sz w:val="28"/>
          <w:szCs w:val="28"/>
          <w:vertAlign w:val="baseline"/>
        </w:rPr>
      </w:pPr>
    </w:p>
    <w:p w14:paraId="02952E4E" w14:textId="77777777" w:rsidR="00126B34" w:rsidRPr="00126B34" w:rsidRDefault="00126B34" w:rsidP="008A7C7A">
      <w:pPr>
        <w:jc w:val="both"/>
        <w:rPr>
          <w:rFonts w:eastAsia="Times New Roman"/>
          <w:snapToGrid/>
          <w:sz w:val="28"/>
          <w:szCs w:val="28"/>
          <w:vertAlign w:val="baseline"/>
        </w:rPr>
      </w:pPr>
    </w:p>
    <w:p w14:paraId="301E1385" w14:textId="77777777" w:rsidR="00126B34" w:rsidRDefault="00126B34" w:rsidP="008A7C7A">
      <w:pPr>
        <w:pStyle w:val="ListParagraph"/>
        <w:numPr>
          <w:ilvl w:val="0"/>
          <w:numId w:val="1"/>
        </w:numPr>
        <w:spacing w:line="480" w:lineRule="auto"/>
        <w:jc w:val="both"/>
        <w:rPr>
          <w:rFonts w:eastAsia="Times New Roman"/>
          <w:b/>
          <w:snapToGrid/>
          <w:sz w:val="28"/>
          <w:szCs w:val="28"/>
          <w:vertAlign w:val="baseline"/>
        </w:rPr>
      </w:pPr>
      <w:r w:rsidRPr="008A7C7A">
        <w:rPr>
          <w:rFonts w:eastAsia="Times New Roman"/>
          <w:b/>
          <w:snapToGrid/>
          <w:sz w:val="28"/>
          <w:szCs w:val="28"/>
          <w:vertAlign w:val="baseline"/>
        </w:rPr>
        <w:lastRenderedPageBreak/>
        <w:t>THE PROPOSED AMENDMENT</w:t>
      </w:r>
    </w:p>
    <w:p w14:paraId="0CDF9D1A" w14:textId="77777777" w:rsidR="008F33E5" w:rsidRPr="008A7C7A" w:rsidRDefault="008F33E5" w:rsidP="008F33E5">
      <w:pPr>
        <w:pStyle w:val="ListParagraph"/>
        <w:spacing w:line="480" w:lineRule="auto"/>
        <w:ind w:left="1440"/>
        <w:jc w:val="both"/>
        <w:rPr>
          <w:rFonts w:eastAsia="Times New Roman"/>
          <w:b/>
          <w:snapToGrid/>
          <w:sz w:val="28"/>
          <w:szCs w:val="28"/>
          <w:vertAlign w:val="baseline"/>
        </w:rPr>
      </w:pPr>
    </w:p>
    <w:p w14:paraId="799AB95F" w14:textId="77777777" w:rsidR="00126B34" w:rsidRPr="00126B34" w:rsidRDefault="00126B34" w:rsidP="00126B34">
      <w:pPr>
        <w:ind w:left="1440"/>
        <w:jc w:val="both"/>
        <w:rPr>
          <w:rFonts w:eastAsia="Times New Roman"/>
          <w:b/>
          <w:bCs/>
          <w:snapToGrid/>
          <w:sz w:val="28"/>
          <w:szCs w:val="28"/>
          <w:vertAlign w:val="baseline"/>
        </w:rPr>
      </w:pPr>
      <w:r w:rsidRPr="00126B34">
        <w:rPr>
          <w:rFonts w:eastAsia="Times New Roman"/>
          <w:b/>
          <w:bCs/>
          <w:snapToGrid/>
          <w:sz w:val="28"/>
          <w:szCs w:val="28"/>
          <w:vertAlign w:val="baseline"/>
        </w:rPr>
        <w:t xml:space="preserve">Rules of the Supreme Court of Arizona: Rule </w:t>
      </w:r>
      <w:r w:rsidR="0016027E">
        <w:rPr>
          <w:rFonts w:eastAsia="Times New Roman"/>
          <w:b/>
          <w:bCs/>
          <w:snapToGrid/>
          <w:sz w:val="28"/>
          <w:szCs w:val="28"/>
          <w:vertAlign w:val="baseline"/>
        </w:rPr>
        <w:t>24</w:t>
      </w:r>
    </w:p>
    <w:p w14:paraId="3FC663ED" w14:textId="77777777" w:rsidR="00126B34" w:rsidRPr="00126B34" w:rsidRDefault="00126B34" w:rsidP="00126B34">
      <w:pPr>
        <w:ind w:left="1440"/>
        <w:jc w:val="both"/>
        <w:rPr>
          <w:rFonts w:eastAsia="Times New Roman"/>
          <w:b/>
          <w:bCs/>
          <w:snapToGrid/>
          <w:sz w:val="28"/>
          <w:szCs w:val="28"/>
          <w:vertAlign w:val="baseline"/>
        </w:rPr>
      </w:pPr>
    </w:p>
    <w:p w14:paraId="38F46306" w14:textId="77777777" w:rsidR="00126B34" w:rsidRPr="00126B34" w:rsidRDefault="00126B34" w:rsidP="00126B34">
      <w:pPr>
        <w:numPr>
          <w:ilvl w:val="0"/>
          <w:numId w:val="3"/>
        </w:numPr>
        <w:spacing w:line="508" w:lineRule="exact"/>
        <w:jc w:val="both"/>
        <w:rPr>
          <w:rFonts w:eastAsia="Times New Roman"/>
          <w:snapToGrid/>
          <w:sz w:val="28"/>
          <w:szCs w:val="28"/>
          <w:vertAlign w:val="baseline"/>
        </w:rPr>
      </w:pPr>
      <w:r w:rsidRPr="00126B34">
        <w:rPr>
          <w:rFonts w:eastAsia="Times New Roman"/>
          <w:b/>
          <w:bCs/>
          <w:snapToGrid/>
          <w:sz w:val="28"/>
          <w:szCs w:val="28"/>
          <w:vertAlign w:val="baseline"/>
        </w:rPr>
        <w:t>Policy and Purpose.</w:t>
      </w:r>
      <w:r w:rsidRPr="00126B34">
        <w:rPr>
          <w:rFonts w:eastAsia="Times New Roman"/>
          <w:snapToGrid/>
          <w:sz w:val="28"/>
          <w:szCs w:val="28"/>
          <w:vertAlign w:val="baseline"/>
        </w:rPr>
        <w:t xml:space="preserve"> The purpose of this rule is to eliminate the unfair exclusion of potential jurors based on race or ethnicity.</w:t>
      </w:r>
    </w:p>
    <w:p w14:paraId="1287B48D" w14:textId="77777777" w:rsidR="00126B34" w:rsidRPr="00126B34" w:rsidRDefault="00126B34" w:rsidP="00126B34">
      <w:pPr>
        <w:ind w:left="1800"/>
        <w:jc w:val="both"/>
        <w:rPr>
          <w:rFonts w:eastAsia="Times New Roman"/>
          <w:snapToGrid/>
          <w:sz w:val="28"/>
          <w:szCs w:val="28"/>
          <w:vertAlign w:val="baseline"/>
        </w:rPr>
      </w:pPr>
    </w:p>
    <w:p w14:paraId="7B2630C1" w14:textId="77777777" w:rsidR="00126B34" w:rsidRPr="00126B34" w:rsidRDefault="00126B34" w:rsidP="00126B34">
      <w:pPr>
        <w:ind w:left="1440"/>
        <w:jc w:val="both"/>
        <w:rPr>
          <w:rFonts w:eastAsia="Times New Roman"/>
          <w:snapToGrid/>
          <w:sz w:val="28"/>
          <w:szCs w:val="28"/>
          <w:vertAlign w:val="baseline"/>
        </w:rPr>
      </w:pPr>
      <w:r w:rsidRPr="00126B34">
        <w:rPr>
          <w:rFonts w:eastAsia="Times New Roman"/>
          <w:b/>
          <w:bCs/>
          <w:snapToGrid/>
          <w:sz w:val="28"/>
          <w:szCs w:val="28"/>
          <w:vertAlign w:val="baseline"/>
        </w:rPr>
        <w:t>(b) Scope.</w:t>
      </w:r>
      <w:r w:rsidRPr="00126B34">
        <w:rPr>
          <w:rFonts w:eastAsia="Times New Roman"/>
          <w:snapToGrid/>
          <w:sz w:val="28"/>
          <w:szCs w:val="28"/>
          <w:vertAlign w:val="baseline"/>
        </w:rPr>
        <w:t xml:space="preserve"> This rule applies in all jury trials.</w:t>
      </w:r>
    </w:p>
    <w:p w14:paraId="03294A69" w14:textId="77777777" w:rsidR="00126B34" w:rsidRPr="00126B34" w:rsidRDefault="00126B34" w:rsidP="00126B34">
      <w:pPr>
        <w:ind w:left="1440"/>
        <w:jc w:val="both"/>
        <w:rPr>
          <w:rFonts w:eastAsia="Times New Roman"/>
          <w:snapToGrid/>
          <w:sz w:val="28"/>
          <w:szCs w:val="28"/>
          <w:vertAlign w:val="baseline"/>
        </w:rPr>
      </w:pPr>
    </w:p>
    <w:p w14:paraId="62186001" w14:textId="77777777" w:rsidR="00126B34" w:rsidRPr="00126B34" w:rsidRDefault="00126B34" w:rsidP="00126B34">
      <w:pPr>
        <w:ind w:left="1440"/>
        <w:jc w:val="both"/>
        <w:rPr>
          <w:rFonts w:eastAsia="Times New Roman"/>
          <w:snapToGrid/>
          <w:sz w:val="28"/>
          <w:szCs w:val="28"/>
          <w:vertAlign w:val="baseline"/>
        </w:rPr>
      </w:pPr>
      <w:r w:rsidRPr="00126B34">
        <w:rPr>
          <w:rFonts w:eastAsia="Times New Roman"/>
          <w:b/>
          <w:bCs/>
          <w:snapToGrid/>
          <w:sz w:val="28"/>
          <w:szCs w:val="28"/>
          <w:vertAlign w:val="baseline"/>
        </w:rPr>
        <w:t>(c) Objection.</w:t>
      </w:r>
      <w:r w:rsidRPr="00126B34">
        <w:rPr>
          <w:rFonts w:eastAsia="Times New Roman"/>
          <w:snapToGrid/>
          <w:sz w:val="28"/>
          <w:szCs w:val="28"/>
          <w:vertAlign w:val="baseline"/>
        </w:rPr>
        <w:t xml:space="preserve"> A party may object to the use of a peremptory challenge to raise the issue of improper bias. The court may also raise this objection on its own. The objection shall be made by simple citation to this rule, and any further discussion shall be conducted outside the presence of the panel. The objection must be made before the potential juror is excused, unless new information is discovered.</w:t>
      </w:r>
    </w:p>
    <w:p w14:paraId="5C27F99B" w14:textId="77777777" w:rsidR="00126B34" w:rsidRPr="00126B34" w:rsidRDefault="00126B34" w:rsidP="00126B34">
      <w:pPr>
        <w:ind w:left="1440"/>
        <w:jc w:val="both"/>
        <w:rPr>
          <w:rFonts w:eastAsia="Times New Roman"/>
          <w:snapToGrid/>
          <w:sz w:val="28"/>
          <w:szCs w:val="28"/>
          <w:vertAlign w:val="baseline"/>
        </w:rPr>
      </w:pPr>
    </w:p>
    <w:p w14:paraId="049F87BA" w14:textId="77777777" w:rsidR="00126B34" w:rsidRPr="00126B34" w:rsidRDefault="00126B34" w:rsidP="00126B34">
      <w:pPr>
        <w:ind w:left="1440"/>
        <w:jc w:val="both"/>
        <w:rPr>
          <w:rFonts w:eastAsia="Times New Roman"/>
          <w:snapToGrid/>
          <w:sz w:val="28"/>
          <w:szCs w:val="28"/>
          <w:vertAlign w:val="baseline"/>
        </w:rPr>
      </w:pPr>
      <w:r w:rsidRPr="00126B34">
        <w:rPr>
          <w:rFonts w:eastAsia="Times New Roman"/>
          <w:b/>
          <w:bCs/>
          <w:snapToGrid/>
          <w:sz w:val="28"/>
          <w:szCs w:val="28"/>
          <w:vertAlign w:val="baseline"/>
        </w:rPr>
        <w:t>(d) Response.</w:t>
      </w:r>
      <w:r w:rsidRPr="00126B34">
        <w:rPr>
          <w:rFonts w:eastAsia="Times New Roman"/>
          <w:snapToGrid/>
          <w:sz w:val="28"/>
          <w:szCs w:val="28"/>
          <w:vertAlign w:val="baseline"/>
        </w:rPr>
        <w:t xml:space="preserve"> Upon objection to the exercise of a peremptory challenge pursuant to this rule, the party exercising the peremptory challenge shall articulate the reasons that the peremptory challenge has been exercised.</w:t>
      </w:r>
    </w:p>
    <w:p w14:paraId="7726AAEE" w14:textId="77777777" w:rsidR="00126B34" w:rsidRPr="00126B34" w:rsidRDefault="00126B34" w:rsidP="00126B34">
      <w:pPr>
        <w:ind w:left="1440"/>
        <w:jc w:val="both"/>
        <w:rPr>
          <w:rFonts w:eastAsia="Times New Roman"/>
          <w:snapToGrid/>
          <w:sz w:val="28"/>
          <w:szCs w:val="28"/>
          <w:vertAlign w:val="baseline"/>
        </w:rPr>
      </w:pPr>
    </w:p>
    <w:p w14:paraId="21786DCA" w14:textId="77777777" w:rsidR="00126B34" w:rsidRPr="00126B34" w:rsidRDefault="00126B34" w:rsidP="00126B34">
      <w:pPr>
        <w:ind w:left="1440"/>
        <w:jc w:val="both"/>
        <w:rPr>
          <w:rFonts w:eastAsia="Times New Roman"/>
          <w:snapToGrid/>
          <w:sz w:val="28"/>
          <w:szCs w:val="28"/>
          <w:vertAlign w:val="baseline"/>
        </w:rPr>
      </w:pPr>
      <w:r w:rsidRPr="00126B34">
        <w:rPr>
          <w:rFonts w:eastAsia="Times New Roman"/>
          <w:b/>
          <w:bCs/>
          <w:snapToGrid/>
          <w:sz w:val="28"/>
          <w:szCs w:val="28"/>
          <w:vertAlign w:val="baseline"/>
        </w:rPr>
        <w:t>(e) Determination.</w:t>
      </w:r>
      <w:r w:rsidRPr="00126B34">
        <w:rPr>
          <w:rFonts w:eastAsia="Times New Roman"/>
          <w:snapToGrid/>
          <w:sz w:val="28"/>
          <w:szCs w:val="28"/>
          <w:vertAlign w:val="baseline"/>
        </w:rPr>
        <w:t xml:space="preserve"> The court shall then evaluate the reasons given to justify the peremptory challenge in light of the totality of circumstances. If the court determines that an objective observer could view race or ethnicity as a factor in the use of the peremptory challenge, then the peremptory challenge shall be denied. The court need not find purposeful discrimination to deny the peremptory challenge. The court should explain its ruling on the record.</w:t>
      </w:r>
    </w:p>
    <w:p w14:paraId="2418A5A4" w14:textId="77777777" w:rsidR="00126B34" w:rsidRPr="00126B34" w:rsidRDefault="00126B34" w:rsidP="00126B34">
      <w:pPr>
        <w:ind w:left="1440"/>
        <w:jc w:val="both"/>
        <w:rPr>
          <w:rFonts w:eastAsia="Times New Roman"/>
          <w:snapToGrid/>
          <w:sz w:val="28"/>
          <w:szCs w:val="28"/>
          <w:vertAlign w:val="baseline"/>
        </w:rPr>
      </w:pPr>
    </w:p>
    <w:p w14:paraId="60975473" w14:textId="77777777" w:rsidR="00126B34" w:rsidRPr="00126B34" w:rsidRDefault="00126B34" w:rsidP="00126B34">
      <w:pPr>
        <w:ind w:left="1440"/>
        <w:jc w:val="both"/>
        <w:rPr>
          <w:rFonts w:eastAsia="Times New Roman"/>
          <w:snapToGrid/>
          <w:sz w:val="28"/>
          <w:szCs w:val="28"/>
          <w:vertAlign w:val="baseline"/>
        </w:rPr>
      </w:pPr>
      <w:r w:rsidRPr="00126B34">
        <w:rPr>
          <w:rFonts w:eastAsia="Times New Roman"/>
          <w:b/>
          <w:bCs/>
          <w:snapToGrid/>
          <w:sz w:val="28"/>
          <w:szCs w:val="28"/>
          <w:vertAlign w:val="baseline"/>
        </w:rPr>
        <w:t>(f) Nature of Observer.</w:t>
      </w:r>
      <w:r w:rsidRPr="00126B34">
        <w:rPr>
          <w:rFonts w:eastAsia="Times New Roman"/>
          <w:snapToGrid/>
          <w:sz w:val="28"/>
          <w:szCs w:val="28"/>
          <w:vertAlign w:val="baseline"/>
        </w:rPr>
        <w:t xml:space="preserve"> For purposes of this rule, an objective observer is aware that implicit, institutional, and unconscious biases, in addition to purposeful discrimination, have resulted in the unfair exclusion of potential jurors. </w:t>
      </w:r>
    </w:p>
    <w:p w14:paraId="288FB1BF" w14:textId="77777777" w:rsidR="00126B34" w:rsidRPr="00126B34" w:rsidRDefault="00126B34" w:rsidP="00126B34">
      <w:pPr>
        <w:ind w:left="1440"/>
        <w:jc w:val="both"/>
        <w:rPr>
          <w:rFonts w:eastAsia="Times New Roman"/>
          <w:snapToGrid/>
          <w:sz w:val="28"/>
          <w:szCs w:val="28"/>
          <w:vertAlign w:val="baseline"/>
        </w:rPr>
      </w:pPr>
    </w:p>
    <w:p w14:paraId="2BA2AA6E" w14:textId="77777777" w:rsidR="00126B34" w:rsidRPr="00126B34" w:rsidRDefault="00126B34" w:rsidP="00126B34">
      <w:pPr>
        <w:ind w:left="1440"/>
        <w:jc w:val="both"/>
        <w:rPr>
          <w:rFonts w:eastAsia="Times New Roman"/>
          <w:snapToGrid/>
          <w:sz w:val="28"/>
          <w:szCs w:val="28"/>
          <w:vertAlign w:val="baseline"/>
        </w:rPr>
      </w:pPr>
      <w:r w:rsidRPr="00126B34">
        <w:rPr>
          <w:rFonts w:eastAsia="Times New Roman"/>
          <w:b/>
          <w:bCs/>
          <w:snapToGrid/>
          <w:sz w:val="28"/>
          <w:szCs w:val="28"/>
          <w:vertAlign w:val="baseline"/>
        </w:rPr>
        <w:t>(g) Circumstances Considered.</w:t>
      </w:r>
      <w:r w:rsidRPr="00126B34">
        <w:rPr>
          <w:rFonts w:eastAsia="Times New Roman"/>
          <w:snapToGrid/>
          <w:sz w:val="28"/>
          <w:szCs w:val="28"/>
          <w:vertAlign w:val="baseline"/>
        </w:rPr>
        <w:t xml:space="preserve"> In making its determination, the circumstances the court should consider include, but are not limited to, the following:</w:t>
      </w:r>
    </w:p>
    <w:p w14:paraId="1A7100BA" w14:textId="77777777" w:rsidR="00126B34" w:rsidRPr="00126B34" w:rsidRDefault="00126B34" w:rsidP="00126B34">
      <w:pPr>
        <w:ind w:left="1440"/>
        <w:jc w:val="both"/>
        <w:rPr>
          <w:rFonts w:eastAsia="Times New Roman"/>
          <w:snapToGrid/>
          <w:sz w:val="28"/>
          <w:szCs w:val="28"/>
          <w:vertAlign w:val="baseline"/>
        </w:rPr>
      </w:pPr>
    </w:p>
    <w:p w14:paraId="7C358CF9" w14:textId="77777777" w:rsidR="00126B34" w:rsidRPr="00126B34" w:rsidRDefault="00126B34" w:rsidP="00126B34">
      <w:pPr>
        <w:ind w:left="2160"/>
        <w:jc w:val="both"/>
        <w:rPr>
          <w:rFonts w:eastAsia="Times New Roman"/>
          <w:snapToGrid/>
          <w:sz w:val="28"/>
          <w:szCs w:val="28"/>
          <w:vertAlign w:val="baseline"/>
        </w:rPr>
      </w:pPr>
      <w:r w:rsidRPr="00126B34">
        <w:rPr>
          <w:rFonts w:eastAsia="Times New Roman"/>
          <w:snapToGrid/>
          <w:sz w:val="28"/>
          <w:szCs w:val="28"/>
          <w:vertAlign w:val="baseline"/>
        </w:rPr>
        <w:lastRenderedPageBreak/>
        <w:t>(i) the number and types of Questions posed to the prospective juror, which may include consideration of whether the party exercising the peremptory challenge failed to Question the prospective juror about the alleged concern or the types of Questions asked about it;</w:t>
      </w:r>
    </w:p>
    <w:p w14:paraId="2D6E2F82" w14:textId="77777777" w:rsidR="00126B34" w:rsidRPr="00126B34" w:rsidRDefault="00126B34" w:rsidP="00126B34">
      <w:pPr>
        <w:ind w:left="1440"/>
        <w:jc w:val="both"/>
        <w:rPr>
          <w:rFonts w:eastAsia="Times New Roman"/>
          <w:snapToGrid/>
          <w:sz w:val="28"/>
          <w:szCs w:val="28"/>
          <w:vertAlign w:val="baseline"/>
        </w:rPr>
      </w:pPr>
    </w:p>
    <w:p w14:paraId="77215C39" w14:textId="77777777" w:rsidR="00126B34" w:rsidRPr="00126B34" w:rsidRDefault="00126B34" w:rsidP="00126B34">
      <w:pPr>
        <w:ind w:left="2160"/>
        <w:jc w:val="both"/>
        <w:rPr>
          <w:rFonts w:eastAsia="Times New Roman"/>
          <w:snapToGrid/>
          <w:sz w:val="28"/>
          <w:szCs w:val="28"/>
          <w:vertAlign w:val="baseline"/>
        </w:rPr>
      </w:pPr>
      <w:r w:rsidRPr="00126B34">
        <w:rPr>
          <w:rFonts w:eastAsia="Times New Roman"/>
          <w:snapToGrid/>
          <w:sz w:val="28"/>
          <w:szCs w:val="28"/>
          <w:vertAlign w:val="baseline"/>
        </w:rPr>
        <w:t>(ii) whether the party exercising the peremptory challenge asked significantly more Questions or different Questions of the potential juror against whom the peremptory challenge was used in contrast to other jurors;</w:t>
      </w:r>
    </w:p>
    <w:p w14:paraId="55DBFA48" w14:textId="77777777" w:rsidR="00126B34" w:rsidRPr="00126B34" w:rsidRDefault="00126B34" w:rsidP="00126B34">
      <w:pPr>
        <w:ind w:left="1440"/>
        <w:jc w:val="both"/>
        <w:rPr>
          <w:rFonts w:eastAsia="Times New Roman"/>
          <w:snapToGrid/>
          <w:sz w:val="28"/>
          <w:szCs w:val="28"/>
          <w:vertAlign w:val="baseline"/>
        </w:rPr>
      </w:pPr>
    </w:p>
    <w:p w14:paraId="731D747E" w14:textId="77777777" w:rsidR="00126B34" w:rsidRPr="00126B34" w:rsidRDefault="00126B34" w:rsidP="00126B34">
      <w:pPr>
        <w:ind w:left="2160"/>
        <w:jc w:val="both"/>
        <w:rPr>
          <w:rFonts w:eastAsia="Times New Roman"/>
          <w:snapToGrid/>
          <w:sz w:val="28"/>
          <w:szCs w:val="28"/>
          <w:vertAlign w:val="baseline"/>
        </w:rPr>
      </w:pPr>
      <w:r w:rsidRPr="00126B34">
        <w:rPr>
          <w:rFonts w:eastAsia="Times New Roman"/>
          <w:snapToGrid/>
          <w:sz w:val="28"/>
          <w:szCs w:val="28"/>
          <w:vertAlign w:val="baseline"/>
        </w:rPr>
        <w:t>(iii) whether other prospective jurors provided similar answers but were not the subject of a peremptory challenge by that party;</w:t>
      </w:r>
    </w:p>
    <w:p w14:paraId="4C0B0BE5" w14:textId="77777777" w:rsidR="00126B34" w:rsidRPr="00126B34" w:rsidRDefault="00126B34" w:rsidP="00126B34">
      <w:pPr>
        <w:ind w:left="1440"/>
        <w:jc w:val="both"/>
        <w:rPr>
          <w:rFonts w:eastAsia="Times New Roman"/>
          <w:snapToGrid/>
          <w:sz w:val="28"/>
          <w:szCs w:val="28"/>
          <w:vertAlign w:val="baseline"/>
        </w:rPr>
      </w:pPr>
    </w:p>
    <w:p w14:paraId="5ED42F6C" w14:textId="77777777" w:rsidR="00126B34" w:rsidRPr="00126B34" w:rsidRDefault="00126B34" w:rsidP="00126B34">
      <w:pPr>
        <w:ind w:left="2160"/>
        <w:jc w:val="both"/>
        <w:rPr>
          <w:rFonts w:eastAsia="Times New Roman"/>
          <w:snapToGrid/>
          <w:sz w:val="28"/>
          <w:szCs w:val="28"/>
          <w:vertAlign w:val="baseline"/>
        </w:rPr>
      </w:pPr>
      <w:r w:rsidRPr="00126B34">
        <w:rPr>
          <w:rFonts w:eastAsia="Times New Roman"/>
          <w:snapToGrid/>
          <w:sz w:val="28"/>
          <w:szCs w:val="28"/>
          <w:vertAlign w:val="baseline"/>
        </w:rPr>
        <w:t>(iv) whether a reason might be disproportionately associated with a race or ethnicity; and</w:t>
      </w:r>
    </w:p>
    <w:p w14:paraId="0D2C3D45" w14:textId="77777777" w:rsidR="00126B34" w:rsidRPr="00126B34" w:rsidRDefault="00126B34" w:rsidP="00126B34">
      <w:pPr>
        <w:ind w:left="1440"/>
        <w:jc w:val="both"/>
        <w:rPr>
          <w:rFonts w:eastAsia="Times New Roman"/>
          <w:snapToGrid/>
          <w:sz w:val="28"/>
          <w:szCs w:val="28"/>
          <w:vertAlign w:val="baseline"/>
        </w:rPr>
      </w:pPr>
    </w:p>
    <w:p w14:paraId="75373D48" w14:textId="77777777" w:rsidR="00126B34" w:rsidRPr="00126B34" w:rsidRDefault="00126B34" w:rsidP="00126B34">
      <w:pPr>
        <w:ind w:left="2160"/>
        <w:jc w:val="both"/>
        <w:rPr>
          <w:rFonts w:eastAsia="Times New Roman"/>
          <w:snapToGrid/>
          <w:sz w:val="28"/>
          <w:szCs w:val="28"/>
          <w:vertAlign w:val="baseline"/>
        </w:rPr>
      </w:pPr>
      <w:r w:rsidRPr="00126B34">
        <w:rPr>
          <w:rFonts w:eastAsia="Times New Roman"/>
          <w:snapToGrid/>
          <w:sz w:val="28"/>
          <w:szCs w:val="28"/>
          <w:vertAlign w:val="baseline"/>
        </w:rPr>
        <w:t>(v) whether the party has used peremptory challenges disproportionately against a given race or ethnicity, in the present case or in past cases.</w:t>
      </w:r>
    </w:p>
    <w:p w14:paraId="6336DC5B" w14:textId="77777777" w:rsidR="00126B34" w:rsidRPr="00126B34" w:rsidRDefault="00126B34" w:rsidP="00126B34">
      <w:pPr>
        <w:ind w:left="1440"/>
        <w:jc w:val="both"/>
        <w:rPr>
          <w:rFonts w:eastAsia="Times New Roman"/>
          <w:b/>
          <w:bCs/>
          <w:snapToGrid/>
          <w:sz w:val="28"/>
          <w:szCs w:val="28"/>
          <w:vertAlign w:val="baseline"/>
        </w:rPr>
      </w:pPr>
    </w:p>
    <w:p w14:paraId="4AB069CC" w14:textId="77777777" w:rsidR="00126B34" w:rsidRPr="00126B34" w:rsidRDefault="00126B34" w:rsidP="00126B34">
      <w:pPr>
        <w:ind w:left="1440"/>
        <w:jc w:val="both"/>
        <w:rPr>
          <w:rFonts w:eastAsia="Times New Roman"/>
          <w:snapToGrid/>
          <w:sz w:val="28"/>
          <w:szCs w:val="28"/>
          <w:vertAlign w:val="baseline"/>
        </w:rPr>
      </w:pPr>
      <w:r w:rsidRPr="00126B34">
        <w:rPr>
          <w:rFonts w:eastAsia="Times New Roman"/>
          <w:b/>
          <w:bCs/>
          <w:snapToGrid/>
          <w:sz w:val="28"/>
          <w:szCs w:val="28"/>
          <w:vertAlign w:val="baseline"/>
        </w:rPr>
        <w:t>(h) Reasons Presumptively Invalid.</w:t>
      </w:r>
      <w:r w:rsidRPr="00126B34">
        <w:rPr>
          <w:rFonts w:eastAsia="Times New Roman"/>
          <w:snapToGrid/>
          <w:sz w:val="28"/>
          <w:szCs w:val="28"/>
          <w:vertAlign w:val="baseline"/>
        </w:rPr>
        <w:t xml:space="preserve"> Because historically the following reasons for peremptory challenges have been associated with improper discrimination in jury selection, the following are presumptively invalid reasons for a peremptory challenge;</w:t>
      </w:r>
    </w:p>
    <w:p w14:paraId="6CD78FAC" w14:textId="77777777" w:rsidR="00126B34" w:rsidRPr="00126B34" w:rsidRDefault="00126B34" w:rsidP="00126B34">
      <w:pPr>
        <w:ind w:left="1440"/>
        <w:jc w:val="both"/>
        <w:rPr>
          <w:rFonts w:eastAsia="Times New Roman"/>
          <w:snapToGrid/>
          <w:sz w:val="28"/>
          <w:szCs w:val="28"/>
          <w:vertAlign w:val="baseline"/>
        </w:rPr>
      </w:pPr>
    </w:p>
    <w:p w14:paraId="24AFAE26" w14:textId="77777777" w:rsidR="00126B34" w:rsidRPr="00126B34" w:rsidRDefault="00126B34" w:rsidP="00126B34">
      <w:pPr>
        <w:ind w:left="1440" w:firstLine="720"/>
        <w:jc w:val="both"/>
        <w:rPr>
          <w:rFonts w:eastAsia="Times New Roman"/>
          <w:snapToGrid/>
          <w:sz w:val="28"/>
          <w:szCs w:val="28"/>
          <w:vertAlign w:val="baseline"/>
        </w:rPr>
      </w:pPr>
      <w:r w:rsidRPr="00126B34">
        <w:rPr>
          <w:rFonts w:eastAsia="Times New Roman"/>
          <w:snapToGrid/>
          <w:sz w:val="28"/>
          <w:szCs w:val="28"/>
          <w:vertAlign w:val="baseline"/>
        </w:rPr>
        <w:t>(i) having prior contact with law enforcement officers;</w:t>
      </w:r>
    </w:p>
    <w:p w14:paraId="02B8BA9B" w14:textId="77777777" w:rsidR="00126B34" w:rsidRPr="00126B34" w:rsidRDefault="00126B34" w:rsidP="00126B34">
      <w:pPr>
        <w:ind w:left="1440" w:firstLine="720"/>
        <w:jc w:val="both"/>
        <w:rPr>
          <w:rFonts w:eastAsia="Times New Roman"/>
          <w:snapToGrid/>
          <w:sz w:val="28"/>
          <w:szCs w:val="28"/>
          <w:vertAlign w:val="baseline"/>
        </w:rPr>
      </w:pPr>
    </w:p>
    <w:p w14:paraId="03DB74C6" w14:textId="77777777" w:rsidR="00126B34" w:rsidRPr="00126B34" w:rsidRDefault="00126B34" w:rsidP="00126B34">
      <w:pPr>
        <w:ind w:left="2160"/>
        <w:jc w:val="both"/>
        <w:rPr>
          <w:rFonts w:eastAsia="Times New Roman"/>
          <w:snapToGrid/>
          <w:sz w:val="28"/>
          <w:szCs w:val="28"/>
          <w:vertAlign w:val="baseline"/>
        </w:rPr>
      </w:pPr>
      <w:r w:rsidRPr="00126B34">
        <w:rPr>
          <w:rFonts w:eastAsia="Times New Roman"/>
          <w:snapToGrid/>
          <w:sz w:val="28"/>
          <w:szCs w:val="28"/>
          <w:vertAlign w:val="baseline"/>
        </w:rPr>
        <w:t>(ii) expressing a distrust of law enforcement or a belief that law enforcement officers engage in racial profiling;</w:t>
      </w:r>
    </w:p>
    <w:p w14:paraId="151B86B5" w14:textId="77777777" w:rsidR="00126B34" w:rsidRPr="00126B34" w:rsidRDefault="00126B34" w:rsidP="00126B34">
      <w:pPr>
        <w:ind w:left="1440"/>
        <w:jc w:val="both"/>
        <w:rPr>
          <w:rFonts w:eastAsia="Times New Roman"/>
          <w:snapToGrid/>
          <w:sz w:val="28"/>
          <w:szCs w:val="28"/>
          <w:vertAlign w:val="baseline"/>
        </w:rPr>
      </w:pPr>
    </w:p>
    <w:p w14:paraId="5C0B8FC1" w14:textId="77777777" w:rsidR="00126B34" w:rsidRPr="00126B34" w:rsidRDefault="00126B34" w:rsidP="00126B34">
      <w:pPr>
        <w:ind w:left="2160"/>
        <w:jc w:val="both"/>
        <w:rPr>
          <w:rFonts w:eastAsia="Times New Roman"/>
          <w:snapToGrid/>
          <w:sz w:val="28"/>
          <w:szCs w:val="28"/>
          <w:vertAlign w:val="baseline"/>
        </w:rPr>
      </w:pPr>
      <w:r w:rsidRPr="00126B34">
        <w:rPr>
          <w:rFonts w:eastAsia="Times New Roman"/>
          <w:snapToGrid/>
          <w:sz w:val="28"/>
          <w:szCs w:val="28"/>
          <w:vertAlign w:val="baseline"/>
        </w:rPr>
        <w:t>(iii) having a close relationship with people who have been stopped, arrested, or convicted of a crime;</w:t>
      </w:r>
    </w:p>
    <w:p w14:paraId="4296D10B" w14:textId="77777777" w:rsidR="00126B34" w:rsidRPr="00126B34" w:rsidRDefault="00126B34" w:rsidP="00126B34">
      <w:pPr>
        <w:ind w:left="1440"/>
        <w:jc w:val="both"/>
        <w:rPr>
          <w:rFonts w:eastAsia="Times New Roman"/>
          <w:snapToGrid/>
          <w:sz w:val="28"/>
          <w:szCs w:val="28"/>
          <w:vertAlign w:val="baseline"/>
        </w:rPr>
      </w:pPr>
    </w:p>
    <w:p w14:paraId="2EDE60C6" w14:textId="77777777" w:rsidR="00126B34" w:rsidRPr="00126B34" w:rsidRDefault="00126B34" w:rsidP="00126B34">
      <w:pPr>
        <w:ind w:left="1440" w:firstLine="720"/>
        <w:jc w:val="both"/>
        <w:rPr>
          <w:rFonts w:eastAsia="Times New Roman"/>
          <w:snapToGrid/>
          <w:sz w:val="28"/>
          <w:szCs w:val="28"/>
          <w:vertAlign w:val="baseline"/>
        </w:rPr>
      </w:pPr>
      <w:r w:rsidRPr="00126B34">
        <w:rPr>
          <w:rFonts w:eastAsia="Times New Roman"/>
          <w:snapToGrid/>
          <w:sz w:val="28"/>
          <w:szCs w:val="28"/>
          <w:vertAlign w:val="baseline"/>
        </w:rPr>
        <w:t>(iv) living in a high-crime neighborhood;</w:t>
      </w:r>
    </w:p>
    <w:p w14:paraId="2433543D" w14:textId="77777777" w:rsidR="00126B34" w:rsidRPr="00126B34" w:rsidRDefault="00126B34" w:rsidP="00126B34">
      <w:pPr>
        <w:ind w:left="1440"/>
        <w:jc w:val="both"/>
        <w:rPr>
          <w:rFonts w:eastAsia="Times New Roman"/>
          <w:snapToGrid/>
          <w:sz w:val="28"/>
          <w:szCs w:val="28"/>
          <w:vertAlign w:val="baseline"/>
        </w:rPr>
      </w:pPr>
    </w:p>
    <w:p w14:paraId="60336680" w14:textId="77777777" w:rsidR="00126B34" w:rsidRPr="00126B34" w:rsidRDefault="00126B34" w:rsidP="00126B34">
      <w:pPr>
        <w:ind w:left="1440" w:firstLine="720"/>
        <w:jc w:val="both"/>
        <w:rPr>
          <w:rFonts w:eastAsia="Times New Roman"/>
          <w:snapToGrid/>
          <w:sz w:val="28"/>
          <w:szCs w:val="28"/>
          <w:vertAlign w:val="baseline"/>
        </w:rPr>
      </w:pPr>
      <w:r w:rsidRPr="00126B34">
        <w:rPr>
          <w:rFonts w:eastAsia="Times New Roman"/>
          <w:snapToGrid/>
          <w:sz w:val="28"/>
          <w:szCs w:val="28"/>
          <w:vertAlign w:val="baseline"/>
        </w:rPr>
        <w:t>(v) having a child outside of marriage;</w:t>
      </w:r>
    </w:p>
    <w:p w14:paraId="2EF01B23" w14:textId="77777777" w:rsidR="00126B34" w:rsidRPr="00126B34" w:rsidRDefault="00126B34" w:rsidP="00126B34">
      <w:pPr>
        <w:ind w:left="1440"/>
        <w:jc w:val="both"/>
        <w:rPr>
          <w:rFonts w:eastAsia="Times New Roman"/>
          <w:snapToGrid/>
          <w:sz w:val="28"/>
          <w:szCs w:val="28"/>
          <w:vertAlign w:val="baseline"/>
        </w:rPr>
      </w:pPr>
    </w:p>
    <w:p w14:paraId="4C4DD100" w14:textId="77777777" w:rsidR="00126B34" w:rsidRPr="00126B34" w:rsidRDefault="00126B34" w:rsidP="00126B34">
      <w:pPr>
        <w:ind w:left="1440" w:firstLine="720"/>
        <w:jc w:val="both"/>
        <w:rPr>
          <w:rFonts w:eastAsia="Times New Roman"/>
          <w:snapToGrid/>
          <w:sz w:val="28"/>
          <w:szCs w:val="28"/>
          <w:vertAlign w:val="baseline"/>
        </w:rPr>
      </w:pPr>
      <w:r w:rsidRPr="00126B34">
        <w:rPr>
          <w:rFonts w:eastAsia="Times New Roman"/>
          <w:snapToGrid/>
          <w:sz w:val="28"/>
          <w:szCs w:val="28"/>
          <w:vertAlign w:val="baseline"/>
        </w:rPr>
        <w:t>(vi) receiving state benefits; and</w:t>
      </w:r>
    </w:p>
    <w:p w14:paraId="6057CB2F" w14:textId="77777777" w:rsidR="00126B34" w:rsidRPr="00126B34" w:rsidRDefault="00126B34" w:rsidP="00126B34">
      <w:pPr>
        <w:ind w:left="1440" w:firstLine="720"/>
        <w:jc w:val="both"/>
        <w:rPr>
          <w:rFonts w:eastAsia="Times New Roman"/>
          <w:snapToGrid/>
          <w:sz w:val="28"/>
          <w:szCs w:val="28"/>
          <w:vertAlign w:val="baseline"/>
        </w:rPr>
      </w:pPr>
    </w:p>
    <w:p w14:paraId="231AB047" w14:textId="77777777" w:rsidR="00126B34" w:rsidRPr="00126B34" w:rsidRDefault="00126B34" w:rsidP="00126B34">
      <w:pPr>
        <w:ind w:left="1440" w:firstLine="720"/>
        <w:jc w:val="both"/>
        <w:rPr>
          <w:rFonts w:eastAsia="Times New Roman"/>
          <w:snapToGrid/>
          <w:sz w:val="28"/>
          <w:szCs w:val="28"/>
          <w:vertAlign w:val="baseline"/>
        </w:rPr>
      </w:pPr>
      <w:r w:rsidRPr="00126B34">
        <w:rPr>
          <w:rFonts w:eastAsia="Times New Roman"/>
          <w:snapToGrid/>
          <w:sz w:val="28"/>
          <w:szCs w:val="28"/>
          <w:vertAlign w:val="baseline"/>
        </w:rPr>
        <w:lastRenderedPageBreak/>
        <w:t>(vii) not being a native English speaker.</w:t>
      </w:r>
    </w:p>
    <w:p w14:paraId="51E96457" w14:textId="77777777" w:rsidR="00126B34" w:rsidRPr="00126B34" w:rsidRDefault="00126B34" w:rsidP="00126B34">
      <w:pPr>
        <w:ind w:left="1440" w:firstLine="720"/>
        <w:jc w:val="both"/>
        <w:rPr>
          <w:rFonts w:eastAsia="Times New Roman"/>
          <w:snapToGrid/>
          <w:sz w:val="28"/>
          <w:szCs w:val="28"/>
          <w:vertAlign w:val="baseline"/>
        </w:rPr>
      </w:pPr>
    </w:p>
    <w:p w14:paraId="01BB4190" w14:textId="77777777" w:rsidR="00126B34" w:rsidRPr="00126B34" w:rsidRDefault="00126B34" w:rsidP="00126B34">
      <w:pPr>
        <w:ind w:left="1440"/>
        <w:jc w:val="both"/>
        <w:rPr>
          <w:rFonts w:eastAsia="Times New Roman"/>
          <w:snapToGrid/>
          <w:sz w:val="28"/>
          <w:szCs w:val="28"/>
          <w:vertAlign w:val="baseline"/>
        </w:rPr>
      </w:pPr>
      <w:r w:rsidRPr="00126B34">
        <w:rPr>
          <w:rFonts w:eastAsia="Times New Roman"/>
          <w:b/>
          <w:bCs/>
          <w:snapToGrid/>
          <w:sz w:val="28"/>
          <w:szCs w:val="28"/>
          <w:vertAlign w:val="baseline"/>
        </w:rPr>
        <w:t>(i) Reliance on Conduct.</w:t>
      </w:r>
      <w:r w:rsidRPr="00126B34">
        <w:rPr>
          <w:rFonts w:eastAsia="Times New Roman"/>
          <w:snapToGrid/>
          <w:sz w:val="28"/>
          <w:szCs w:val="28"/>
          <w:vertAlign w:val="baseline"/>
        </w:rPr>
        <w:t xml:space="preserve"> The following reasons for peremptory challenges also have historically been associated with improper discrimination in jury selection: allegations that the prospective juror was sleeping, inattentive, or staring or failing to make eye contact; exhibited a problematic attitude, body language, or demeanor; or provided unintelligent or confused answers. If any party intends to offer one of these reasons or a similar reason as the justification for a peremptory challenge, that party must provide reasonable notice to the court and the other parties so the behavior can be verified and addressed in a timely manner. A lack of corroboration by the judge or opposing counsel verifying the behavior shall invalidate the given reason for the peremptory challenge.</w:t>
      </w:r>
    </w:p>
    <w:p w14:paraId="07CEF0A1" w14:textId="77777777" w:rsidR="00126B34" w:rsidRPr="00126B34" w:rsidRDefault="00126B34" w:rsidP="00126B34">
      <w:pPr>
        <w:spacing w:line="480" w:lineRule="auto"/>
        <w:jc w:val="both"/>
        <w:rPr>
          <w:rFonts w:eastAsia="Times New Roman"/>
          <w:snapToGrid/>
          <w:sz w:val="28"/>
          <w:szCs w:val="28"/>
          <w:vertAlign w:val="baseline"/>
        </w:rPr>
      </w:pPr>
    </w:p>
    <w:p w14:paraId="28F216A0" w14:textId="77777777" w:rsidR="00126B34" w:rsidRPr="00126B34" w:rsidRDefault="00126B34" w:rsidP="008A7C7A">
      <w:pPr>
        <w:numPr>
          <w:ilvl w:val="0"/>
          <w:numId w:val="1"/>
        </w:numPr>
        <w:spacing w:line="480" w:lineRule="auto"/>
        <w:jc w:val="both"/>
        <w:rPr>
          <w:rFonts w:eastAsia="Times New Roman"/>
          <w:b/>
          <w:snapToGrid/>
          <w:sz w:val="28"/>
          <w:szCs w:val="28"/>
          <w:vertAlign w:val="baseline"/>
        </w:rPr>
      </w:pPr>
      <w:r w:rsidRPr="00126B34">
        <w:rPr>
          <w:rFonts w:eastAsia="Times New Roman"/>
          <w:b/>
          <w:snapToGrid/>
          <w:sz w:val="28"/>
          <w:szCs w:val="28"/>
          <w:vertAlign w:val="baseline"/>
        </w:rPr>
        <w:t xml:space="preserve">CONCLUSION </w:t>
      </w:r>
    </w:p>
    <w:p w14:paraId="6A5AC331" w14:textId="77777777" w:rsidR="00126B34" w:rsidRPr="00126B34" w:rsidRDefault="00126B34" w:rsidP="00AF123A">
      <w:pPr>
        <w:spacing w:line="480" w:lineRule="auto"/>
        <w:ind w:firstLine="720"/>
        <w:jc w:val="both"/>
        <w:rPr>
          <w:rFonts w:eastAsia="Times New Roman"/>
          <w:b/>
          <w:snapToGrid/>
          <w:sz w:val="28"/>
          <w:szCs w:val="28"/>
          <w:vertAlign w:val="baseline"/>
        </w:rPr>
      </w:pPr>
      <w:r w:rsidRPr="00126B34">
        <w:rPr>
          <w:rFonts w:eastAsia="Times New Roman"/>
          <w:snapToGrid/>
          <w:sz w:val="28"/>
          <w:szCs w:val="28"/>
          <w:vertAlign w:val="baseline"/>
        </w:rPr>
        <w:t xml:space="preserve">“Other than voting, serving on a jury is the most substantial opportunity that most citizens have to participate in the democratic process.” </w:t>
      </w:r>
      <w:r w:rsidRPr="00126B34">
        <w:rPr>
          <w:rFonts w:eastAsia="Times New Roman"/>
          <w:i/>
          <w:snapToGrid/>
          <w:sz w:val="28"/>
          <w:szCs w:val="28"/>
          <w:vertAlign w:val="baseline"/>
        </w:rPr>
        <w:t>Flowers v. Mississippi</w:t>
      </w:r>
      <w:r w:rsidRPr="00126B34">
        <w:rPr>
          <w:rFonts w:eastAsia="Times New Roman"/>
          <w:snapToGrid/>
          <w:sz w:val="28"/>
          <w:szCs w:val="28"/>
          <w:vertAlign w:val="baseline"/>
        </w:rPr>
        <w:t xml:space="preserve">, 139 S. Ct. 2228, 2238 (2019). There is great “constitutional value in having diverse juries,” insofar as “equally fundamental to our democracy is that all citizens have the opportunity to participate in the organs of government, including the jury. If we allow the systematic removal of minority jurors, we create a badge of inferiority, cheapening the value of the jury verdict. And it is also fundamental that the defendant who looks at the jurors sitting in the box have good reason to believe that the jurors will judge as impartially and fairly as possible. Our democratic system cannot tolerate any less.” </w:t>
      </w:r>
      <w:hyperlink r:id="rId39" w:anchor="co_pp_sp_4645_49" w:history="1">
        <w:r w:rsidRPr="00126B34">
          <w:rPr>
            <w:rFonts w:eastAsia="Times New Roman"/>
            <w:i/>
            <w:iCs/>
            <w:snapToGrid/>
            <w:sz w:val="28"/>
            <w:szCs w:val="28"/>
            <w:vertAlign w:val="baseline"/>
          </w:rPr>
          <w:t>State</w:t>
        </w:r>
        <w:r w:rsidRPr="00126B34">
          <w:rPr>
            <w:rFonts w:eastAsia="Times New Roman"/>
            <w:snapToGrid/>
            <w:sz w:val="28"/>
            <w:szCs w:val="28"/>
            <w:vertAlign w:val="baseline"/>
          </w:rPr>
          <w:t xml:space="preserve"> v. </w:t>
        </w:r>
        <w:r w:rsidRPr="00126B34">
          <w:rPr>
            <w:rFonts w:eastAsia="Times New Roman"/>
            <w:i/>
            <w:iCs/>
            <w:snapToGrid/>
            <w:sz w:val="28"/>
            <w:szCs w:val="28"/>
            <w:vertAlign w:val="baseline"/>
          </w:rPr>
          <w:t>Saintcalle</w:t>
        </w:r>
        <w:r w:rsidRPr="00126B34">
          <w:rPr>
            <w:rFonts w:eastAsia="Times New Roman"/>
            <w:snapToGrid/>
            <w:sz w:val="28"/>
            <w:szCs w:val="28"/>
            <w:vertAlign w:val="baseline"/>
          </w:rPr>
          <w:t>, 178 Wash. 2d 34, 49–50, 309 P.3d 326</w:t>
        </w:r>
      </w:hyperlink>
      <w:r w:rsidRPr="00126B34">
        <w:rPr>
          <w:rFonts w:eastAsia="Times New Roman"/>
          <w:snapToGrid/>
          <w:sz w:val="28"/>
          <w:szCs w:val="28"/>
          <w:vertAlign w:val="baseline"/>
        </w:rPr>
        <w:t xml:space="preserve"> (overruled in part on other grounds by </w:t>
      </w:r>
      <w:hyperlink r:id="rId40" w:history="1">
        <w:r w:rsidRPr="00126B34">
          <w:rPr>
            <w:rFonts w:eastAsia="Times New Roman"/>
            <w:i/>
            <w:iCs/>
            <w:snapToGrid/>
            <w:sz w:val="28"/>
            <w:szCs w:val="28"/>
            <w:vertAlign w:val="baseline"/>
          </w:rPr>
          <w:t>Seattle</w:t>
        </w:r>
        <w:r w:rsidRPr="00126B34">
          <w:rPr>
            <w:rFonts w:eastAsia="Times New Roman"/>
            <w:snapToGrid/>
            <w:sz w:val="28"/>
            <w:szCs w:val="28"/>
            <w:vertAlign w:val="baseline"/>
          </w:rPr>
          <w:t xml:space="preserve"> v. </w:t>
        </w:r>
        <w:r w:rsidRPr="00126B34">
          <w:rPr>
            <w:rFonts w:eastAsia="Times New Roman"/>
            <w:i/>
            <w:iCs/>
            <w:snapToGrid/>
            <w:sz w:val="28"/>
            <w:szCs w:val="28"/>
            <w:vertAlign w:val="baseline"/>
          </w:rPr>
          <w:t>Erickson</w:t>
        </w:r>
        <w:r w:rsidRPr="00126B34">
          <w:rPr>
            <w:rFonts w:eastAsia="Times New Roman"/>
            <w:snapToGrid/>
            <w:sz w:val="28"/>
            <w:szCs w:val="28"/>
            <w:vertAlign w:val="baseline"/>
          </w:rPr>
          <w:t xml:space="preserve">, 188 Wash. 2d 721, 398 </w:t>
        </w:r>
        <w:r w:rsidRPr="00126B34">
          <w:rPr>
            <w:rFonts w:eastAsia="Times New Roman"/>
            <w:snapToGrid/>
            <w:sz w:val="28"/>
            <w:szCs w:val="28"/>
            <w:vertAlign w:val="baseline"/>
          </w:rPr>
          <w:lastRenderedPageBreak/>
          <w:t>P.3d 1124 [2017]</w:t>
        </w:r>
      </w:hyperlink>
      <w:r w:rsidRPr="00126B34">
        <w:rPr>
          <w:rFonts w:eastAsia="Times New Roman"/>
          <w:snapToGrid/>
          <w:sz w:val="28"/>
          <w:szCs w:val="28"/>
          <w:vertAlign w:val="baseline"/>
        </w:rPr>
        <w:t xml:space="preserve">), </w:t>
      </w:r>
      <w:r w:rsidRPr="00126B34">
        <w:rPr>
          <w:rFonts w:eastAsia="Times New Roman"/>
          <w:i/>
          <w:snapToGrid/>
          <w:sz w:val="28"/>
          <w:szCs w:val="28"/>
          <w:vertAlign w:val="baseline"/>
        </w:rPr>
        <w:t>cert. denied</w:t>
      </w:r>
      <w:r w:rsidRPr="00126B34">
        <w:rPr>
          <w:rFonts w:eastAsia="Times New Roman"/>
          <w:snapToGrid/>
          <w:sz w:val="28"/>
          <w:szCs w:val="28"/>
          <w:vertAlign w:val="baseline"/>
        </w:rPr>
        <w:t xml:space="preserve">, </w:t>
      </w:r>
      <w:hyperlink r:id="rId41" w:history="1">
        <w:r w:rsidRPr="00126B34">
          <w:rPr>
            <w:rFonts w:eastAsia="Times New Roman"/>
            <w:snapToGrid/>
            <w:sz w:val="28"/>
            <w:szCs w:val="28"/>
            <w:vertAlign w:val="baseline"/>
          </w:rPr>
          <w:t>571 U.S. 1113, 134 S. Ct. 831, 187 L. Ed. 2d 691 (2013)</w:t>
        </w:r>
      </w:hyperlink>
      <w:r w:rsidRPr="00126B34">
        <w:rPr>
          <w:rFonts w:eastAsia="Times New Roman"/>
          <w:snapToGrid/>
          <w:sz w:val="28"/>
          <w:szCs w:val="28"/>
          <w:vertAlign w:val="baseline"/>
        </w:rPr>
        <w:t>.</w:t>
      </w:r>
    </w:p>
    <w:p w14:paraId="36FF1FE8" w14:textId="77777777" w:rsidR="008A7C7A" w:rsidRDefault="00126B34" w:rsidP="008A7C7A">
      <w:pPr>
        <w:spacing w:line="480" w:lineRule="auto"/>
        <w:ind w:firstLine="720"/>
        <w:jc w:val="both"/>
        <w:rPr>
          <w:rFonts w:eastAsia="Times New Roman"/>
          <w:snapToGrid/>
          <w:sz w:val="28"/>
          <w:szCs w:val="28"/>
          <w:vertAlign w:val="baseline"/>
        </w:rPr>
      </w:pPr>
      <w:r w:rsidRPr="00126B34">
        <w:rPr>
          <w:rFonts w:eastAsia="Times New Roman"/>
          <w:snapToGrid/>
          <w:sz w:val="28"/>
          <w:szCs w:val="28"/>
          <w:vertAlign w:val="baseline"/>
        </w:rPr>
        <w:t xml:space="preserve">Yet, there is a strong consensus that discrimination during jury selection has not been remedied by the existing procedures established by this Court and the United States Supreme Court. </w:t>
      </w:r>
    </w:p>
    <w:p w14:paraId="7477D50E" w14:textId="77777777" w:rsidR="00126B34" w:rsidRDefault="00126B34" w:rsidP="008A7C7A">
      <w:pPr>
        <w:spacing w:line="480" w:lineRule="auto"/>
        <w:ind w:firstLine="720"/>
        <w:jc w:val="both"/>
        <w:rPr>
          <w:rFonts w:eastAsia="Times New Roman"/>
          <w:snapToGrid/>
          <w:sz w:val="28"/>
          <w:szCs w:val="28"/>
          <w:vertAlign w:val="baseline"/>
        </w:rPr>
      </w:pPr>
      <w:r w:rsidRPr="00126B34">
        <w:rPr>
          <w:rFonts w:eastAsia="Times New Roman"/>
          <w:snapToGrid/>
          <w:sz w:val="28"/>
          <w:szCs w:val="28"/>
          <w:vertAlign w:val="baseline"/>
        </w:rPr>
        <w:t>Reform is necessary to ensure the integrity of our justice systems.</w:t>
      </w:r>
    </w:p>
    <w:p w14:paraId="343568C2" w14:textId="77777777" w:rsidR="008A7C7A" w:rsidRPr="00126B34" w:rsidRDefault="008A7C7A" w:rsidP="008A7C7A">
      <w:pPr>
        <w:spacing w:line="480" w:lineRule="auto"/>
        <w:ind w:firstLine="720"/>
        <w:jc w:val="both"/>
        <w:rPr>
          <w:rFonts w:eastAsia="Times New Roman"/>
          <w:snapToGrid/>
          <w:sz w:val="28"/>
          <w:szCs w:val="28"/>
          <w:vertAlign w:val="baseline"/>
        </w:rPr>
      </w:pPr>
      <w:r>
        <w:rPr>
          <w:rFonts w:eastAsia="Times New Roman"/>
          <w:snapToGrid/>
          <w:sz w:val="28"/>
          <w:szCs w:val="28"/>
          <w:vertAlign w:val="baseline"/>
        </w:rPr>
        <w:t xml:space="preserve">The proposed rule provides the reform needed to root out discrimination during jury selection. </w:t>
      </w:r>
    </w:p>
    <w:p w14:paraId="000098E5" w14:textId="77777777" w:rsidR="00126B34" w:rsidRPr="00126B34" w:rsidRDefault="00126B34" w:rsidP="00126B34">
      <w:pPr>
        <w:spacing w:line="480" w:lineRule="auto"/>
        <w:ind w:left="720"/>
        <w:jc w:val="both"/>
        <w:rPr>
          <w:rFonts w:eastAsia="Times New Roman"/>
          <w:snapToGrid/>
          <w:sz w:val="28"/>
          <w:szCs w:val="28"/>
          <w:vertAlign w:val="baseline"/>
        </w:rPr>
      </w:pPr>
      <w:r w:rsidRPr="00126B34">
        <w:rPr>
          <w:rFonts w:eastAsia="Times New Roman"/>
          <w:snapToGrid/>
          <w:sz w:val="28"/>
          <w:szCs w:val="28"/>
          <w:vertAlign w:val="baseline"/>
        </w:rPr>
        <w:t xml:space="preserve">For these reasons, this Court should adopt the proposed rule. </w:t>
      </w:r>
    </w:p>
    <w:p w14:paraId="31F6486F" w14:textId="77777777" w:rsidR="008A7C7A" w:rsidRDefault="008A7C7A" w:rsidP="008A7C7A">
      <w:pPr>
        <w:ind w:right="58"/>
        <w:rPr>
          <w:rFonts w:eastAsia="Times New Roman"/>
          <w:snapToGrid/>
          <w:sz w:val="28"/>
          <w:szCs w:val="28"/>
          <w:vertAlign w:val="baseline"/>
        </w:rPr>
      </w:pPr>
    </w:p>
    <w:p w14:paraId="5045897D" w14:textId="77777777" w:rsidR="008A7C7A" w:rsidRDefault="008A7C7A" w:rsidP="008A7C7A">
      <w:pPr>
        <w:ind w:right="58"/>
        <w:rPr>
          <w:rFonts w:eastAsia="Times New Roman"/>
          <w:snapToGrid/>
          <w:sz w:val="28"/>
          <w:szCs w:val="28"/>
          <w:vertAlign w:val="baseline"/>
        </w:rPr>
      </w:pPr>
    </w:p>
    <w:p w14:paraId="16B86CC2" w14:textId="77777777" w:rsidR="008A7C7A" w:rsidRDefault="008A7C7A" w:rsidP="008A7C7A">
      <w:pPr>
        <w:ind w:right="58"/>
        <w:rPr>
          <w:rFonts w:eastAsia="Times New Roman"/>
          <w:snapToGrid/>
          <w:sz w:val="28"/>
          <w:szCs w:val="28"/>
          <w:vertAlign w:val="baseline"/>
        </w:rPr>
      </w:pPr>
    </w:p>
    <w:p w14:paraId="3C311AFB" w14:textId="77777777" w:rsidR="0016027E" w:rsidRDefault="0016027E" w:rsidP="0016027E">
      <w:pPr>
        <w:ind w:right="58"/>
        <w:rPr>
          <w:rFonts w:eastAsia="Times New Roman"/>
          <w:snapToGrid/>
          <w:sz w:val="28"/>
          <w:szCs w:val="28"/>
          <w:vertAlign w:val="baseline"/>
          <w:lang w:eastAsia="x-none"/>
        </w:rPr>
      </w:pPr>
    </w:p>
    <w:p w14:paraId="42E4D41E" w14:textId="77777777" w:rsidR="00126B34" w:rsidRDefault="00126B34" w:rsidP="0016027E">
      <w:pPr>
        <w:ind w:right="58"/>
        <w:rPr>
          <w:rFonts w:eastAsia="Times New Roman"/>
          <w:snapToGrid/>
          <w:sz w:val="28"/>
          <w:szCs w:val="28"/>
          <w:vertAlign w:val="baseline"/>
          <w:lang w:eastAsia="x-none"/>
        </w:rPr>
      </w:pPr>
      <w:r w:rsidRPr="00126B34">
        <w:rPr>
          <w:rFonts w:eastAsia="Times New Roman"/>
          <w:snapToGrid/>
          <w:sz w:val="28"/>
          <w:szCs w:val="28"/>
          <w:vertAlign w:val="baseline"/>
          <w:lang w:eastAsia="x-none"/>
        </w:rPr>
        <w:t xml:space="preserve">Respectfully submitted January </w:t>
      </w:r>
      <w:r w:rsidR="005B061F">
        <w:rPr>
          <w:rFonts w:eastAsia="Times New Roman"/>
          <w:snapToGrid/>
          <w:sz w:val="28"/>
          <w:szCs w:val="28"/>
          <w:vertAlign w:val="baseline"/>
          <w:lang w:eastAsia="x-none"/>
        </w:rPr>
        <w:t>09</w:t>
      </w:r>
      <w:r w:rsidRPr="00126B34">
        <w:rPr>
          <w:rFonts w:eastAsia="Times New Roman"/>
          <w:snapToGrid/>
          <w:sz w:val="28"/>
          <w:szCs w:val="28"/>
          <w:vertAlign w:val="baseline"/>
          <w:lang w:eastAsia="x-none"/>
        </w:rPr>
        <w:t>, 2020.</w:t>
      </w:r>
    </w:p>
    <w:p w14:paraId="5FAA60EF" w14:textId="77777777" w:rsidR="0016027E" w:rsidRDefault="0016027E" w:rsidP="0016027E">
      <w:pPr>
        <w:ind w:right="58"/>
        <w:rPr>
          <w:rFonts w:eastAsia="Times New Roman"/>
          <w:snapToGrid/>
          <w:sz w:val="28"/>
          <w:szCs w:val="28"/>
          <w:vertAlign w:val="baseline"/>
          <w:lang w:eastAsia="x-none"/>
        </w:rPr>
      </w:pPr>
    </w:p>
    <w:p w14:paraId="26558917" w14:textId="77777777" w:rsidR="008A7C7A" w:rsidRPr="00126B34" w:rsidRDefault="008A7C7A" w:rsidP="008F33E5">
      <w:pPr>
        <w:ind w:right="58"/>
        <w:jc w:val="center"/>
        <w:rPr>
          <w:rFonts w:eastAsia="Times New Roman"/>
          <w:snapToGrid/>
          <w:sz w:val="28"/>
          <w:szCs w:val="28"/>
          <w:vertAlign w:val="baseline"/>
          <w:lang w:eastAsia="x-none"/>
        </w:rPr>
      </w:pPr>
    </w:p>
    <w:p w14:paraId="3A791025" w14:textId="77777777" w:rsidR="008A7C7A" w:rsidRDefault="0016027E" w:rsidP="0016027E">
      <w:pPr>
        <w:ind w:left="2160" w:right="58"/>
        <w:jc w:val="both"/>
        <w:rPr>
          <w:rFonts w:eastAsia="Times New Roman"/>
          <w:snapToGrid/>
          <w:sz w:val="28"/>
          <w:szCs w:val="28"/>
          <w:vertAlign w:val="baseline"/>
          <w:lang w:eastAsia="x-none"/>
        </w:rPr>
      </w:pPr>
      <w:r>
        <w:rPr>
          <w:rFonts w:eastAsia="Times New Roman"/>
          <w:snapToGrid/>
          <w:sz w:val="28"/>
          <w:szCs w:val="28"/>
          <w:vertAlign w:val="baseline"/>
          <w:lang w:eastAsia="x-none"/>
        </w:rPr>
        <w:t xml:space="preserve">CENTRAL ARIZONA NATIONAL LAWYERS GUILD </w:t>
      </w:r>
    </w:p>
    <w:p w14:paraId="516D3EA5" w14:textId="77777777" w:rsidR="0016027E" w:rsidRDefault="0016027E" w:rsidP="008A7C7A">
      <w:pPr>
        <w:widowControl w:val="0"/>
        <w:tabs>
          <w:tab w:val="left" w:pos="0"/>
          <w:tab w:val="left" w:pos="720"/>
        </w:tabs>
        <w:rPr>
          <w:rFonts w:eastAsia="Times New Roman"/>
          <w:snapToGrid/>
          <w:sz w:val="28"/>
          <w:szCs w:val="28"/>
          <w:vertAlign w:val="baseline"/>
          <w:lang w:eastAsia="x-none"/>
        </w:rPr>
      </w:pPr>
    </w:p>
    <w:p w14:paraId="67092CA9" w14:textId="77777777" w:rsidR="00126B34" w:rsidRPr="00126B34" w:rsidRDefault="00126B34" w:rsidP="008A7C7A">
      <w:pPr>
        <w:widowControl w:val="0"/>
        <w:tabs>
          <w:tab w:val="left" w:pos="0"/>
          <w:tab w:val="left" w:pos="720"/>
        </w:tabs>
        <w:rPr>
          <w:rFonts w:eastAsia="Times New Roman"/>
          <w:snapToGrid/>
          <w:position w:val="-5"/>
          <w:sz w:val="28"/>
          <w:szCs w:val="28"/>
          <w:vertAlign w:val="baseline"/>
        </w:rPr>
      </w:pPr>
      <w:r w:rsidRPr="00126B34">
        <w:rPr>
          <w:rFonts w:eastAsia="Times New Roman"/>
          <w:snapToGrid/>
          <w:sz w:val="28"/>
          <w:szCs w:val="28"/>
          <w:vertAlign w:val="baseline"/>
        </w:rPr>
        <w:tab/>
      </w:r>
      <w:r w:rsidRPr="00126B34">
        <w:rPr>
          <w:rFonts w:eastAsia="Times New Roman"/>
          <w:snapToGrid/>
          <w:sz w:val="28"/>
          <w:szCs w:val="28"/>
          <w:vertAlign w:val="baseline"/>
        </w:rPr>
        <w:tab/>
      </w:r>
      <w:r w:rsidRPr="00126B34">
        <w:rPr>
          <w:rFonts w:eastAsia="Times New Roman"/>
          <w:snapToGrid/>
          <w:sz w:val="28"/>
          <w:szCs w:val="28"/>
          <w:vertAlign w:val="baseline"/>
        </w:rPr>
        <w:tab/>
      </w:r>
      <w:r w:rsidRPr="00126B34">
        <w:rPr>
          <w:rFonts w:eastAsia="Times New Roman"/>
          <w:snapToGrid/>
          <w:sz w:val="28"/>
          <w:szCs w:val="28"/>
          <w:vertAlign w:val="baseline"/>
        </w:rPr>
        <w:tab/>
        <w:t xml:space="preserve">   </w:t>
      </w:r>
      <w:r w:rsidRPr="00126B34">
        <w:rPr>
          <w:rFonts w:eastAsia="Times New Roman"/>
          <w:snapToGrid/>
          <w:position w:val="-5"/>
          <w:sz w:val="28"/>
          <w:szCs w:val="28"/>
          <w:vertAlign w:val="baseline"/>
        </w:rPr>
        <w:t>BY: /s</w:t>
      </w:r>
      <w:r w:rsidR="008A7C7A">
        <w:rPr>
          <w:rFonts w:eastAsia="Times New Roman"/>
          <w:snapToGrid/>
          <w:position w:val="-5"/>
          <w:sz w:val="28"/>
          <w:szCs w:val="28"/>
          <w:vertAlign w:val="baseline"/>
        </w:rPr>
        <w:t>/</w:t>
      </w:r>
      <w:r w:rsidR="005B061F">
        <w:rPr>
          <w:rFonts w:eastAsia="Times New Roman"/>
          <w:snapToGrid/>
          <w:position w:val="-5"/>
          <w:sz w:val="28"/>
          <w:szCs w:val="28"/>
          <w:u w:val="single"/>
          <w:vertAlign w:val="baseline"/>
        </w:rPr>
        <w:t xml:space="preserve">         </w:t>
      </w:r>
      <w:r w:rsidR="005B061F">
        <w:rPr>
          <w:rFonts w:eastAsia="Times New Roman"/>
          <w:i/>
          <w:snapToGrid/>
          <w:position w:val="-5"/>
          <w:sz w:val="28"/>
          <w:szCs w:val="28"/>
          <w:u w:val="single"/>
          <w:vertAlign w:val="baseline"/>
        </w:rPr>
        <w:t xml:space="preserve">Kevin D. Heade               </w:t>
      </w:r>
      <w:r w:rsidRPr="00126B34">
        <w:rPr>
          <w:rFonts w:eastAsia="Times New Roman"/>
          <w:snapToGrid/>
          <w:position w:val="-5"/>
          <w:sz w:val="28"/>
          <w:szCs w:val="28"/>
          <w:vertAlign w:val="baseline"/>
        </w:rPr>
        <w:tab/>
      </w:r>
      <w:r w:rsidRPr="00126B34">
        <w:rPr>
          <w:rFonts w:eastAsia="Times New Roman"/>
          <w:snapToGrid/>
          <w:position w:val="-5"/>
          <w:sz w:val="28"/>
          <w:szCs w:val="28"/>
          <w:vertAlign w:val="baseline"/>
        </w:rPr>
        <w:tab/>
      </w:r>
      <w:r w:rsidRPr="00126B34">
        <w:rPr>
          <w:rFonts w:eastAsia="Times New Roman"/>
          <w:snapToGrid/>
          <w:position w:val="-5"/>
          <w:sz w:val="28"/>
          <w:szCs w:val="28"/>
          <w:vertAlign w:val="baseline"/>
        </w:rPr>
        <w:tab/>
      </w:r>
      <w:r w:rsidRPr="00126B34">
        <w:rPr>
          <w:rFonts w:eastAsia="Times New Roman"/>
          <w:snapToGrid/>
          <w:position w:val="-5"/>
          <w:sz w:val="28"/>
          <w:szCs w:val="28"/>
          <w:vertAlign w:val="baseline"/>
        </w:rPr>
        <w:tab/>
        <w:t xml:space="preserve"> </w:t>
      </w:r>
      <w:r w:rsidR="008A7C7A">
        <w:rPr>
          <w:rFonts w:eastAsia="Times New Roman"/>
          <w:snapToGrid/>
          <w:position w:val="-5"/>
          <w:sz w:val="28"/>
          <w:szCs w:val="28"/>
          <w:vertAlign w:val="baseline"/>
        </w:rPr>
        <w:tab/>
      </w:r>
      <w:r w:rsidR="005B061F">
        <w:rPr>
          <w:rFonts w:eastAsia="Times New Roman"/>
          <w:snapToGrid/>
          <w:position w:val="-5"/>
          <w:sz w:val="28"/>
          <w:szCs w:val="28"/>
          <w:vertAlign w:val="baseline"/>
        </w:rPr>
        <w:tab/>
      </w:r>
      <w:r w:rsidR="005B061F">
        <w:rPr>
          <w:rFonts w:eastAsia="Times New Roman"/>
          <w:snapToGrid/>
          <w:position w:val="-5"/>
          <w:sz w:val="28"/>
          <w:szCs w:val="28"/>
          <w:vertAlign w:val="baseline"/>
        </w:rPr>
        <w:tab/>
      </w:r>
      <w:r w:rsidR="005B061F">
        <w:rPr>
          <w:rFonts w:eastAsia="Times New Roman"/>
          <w:snapToGrid/>
          <w:position w:val="-5"/>
          <w:sz w:val="28"/>
          <w:szCs w:val="28"/>
          <w:vertAlign w:val="baseline"/>
        </w:rPr>
        <w:tab/>
      </w:r>
      <w:r w:rsidR="005B061F">
        <w:rPr>
          <w:rFonts w:eastAsia="Times New Roman"/>
          <w:snapToGrid/>
          <w:position w:val="-5"/>
          <w:sz w:val="28"/>
          <w:szCs w:val="28"/>
          <w:vertAlign w:val="baseline"/>
        </w:rPr>
        <w:tab/>
      </w:r>
      <w:r w:rsidRPr="00126B34">
        <w:rPr>
          <w:rFonts w:eastAsia="Times New Roman"/>
          <w:snapToGrid/>
          <w:position w:val="-5"/>
          <w:sz w:val="28"/>
          <w:szCs w:val="28"/>
          <w:vertAlign w:val="baseline"/>
        </w:rPr>
        <w:t xml:space="preserve">KEVIN D. HEADE </w:t>
      </w:r>
    </w:p>
    <w:p w14:paraId="66033EBC" w14:textId="77777777" w:rsidR="008441D5" w:rsidRDefault="008A7C7A" w:rsidP="008A7C7A">
      <w:r>
        <w:tab/>
      </w:r>
    </w:p>
    <w:sectPr w:rsidR="008441D5">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4BA43" w14:textId="77777777" w:rsidR="0023118F" w:rsidRDefault="0023118F" w:rsidP="008F33E5">
      <w:r>
        <w:separator/>
      </w:r>
    </w:p>
  </w:endnote>
  <w:endnote w:type="continuationSeparator" w:id="0">
    <w:p w14:paraId="07252152" w14:textId="77777777" w:rsidR="0023118F" w:rsidRDefault="0023118F" w:rsidP="008F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058775"/>
      <w:docPartObj>
        <w:docPartGallery w:val="Page Numbers (Bottom of Page)"/>
        <w:docPartUnique/>
      </w:docPartObj>
    </w:sdtPr>
    <w:sdtEndPr>
      <w:rPr>
        <w:noProof/>
      </w:rPr>
    </w:sdtEndPr>
    <w:sdtContent>
      <w:p w14:paraId="4BB02639" w14:textId="77777777" w:rsidR="008F33E5" w:rsidRDefault="008F33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B72B5A" w14:textId="77777777" w:rsidR="008F33E5" w:rsidRDefault="008F3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8338A" w14:textId="77777777" w:rsidR="0023118F" w:rsidRDefault="0023118F" w:rsidP="008F33E5">
      <w:r>
        <w:separator/>
      </w:r>
    </w:p>
  </w:footnote>
  <w:footnote w:type="continuationSeparator" w:id="0">
    <w:p w14:paraId="420E1C32" w14:textId="77777777" w:rsidR="0023118F" w:rsidRDefault="0023118F" w:rsidP="008F3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D207D"/>
    <w:multiLevelType w:val="hybridMultilevel"/>
    <w:tmpl w:val="93408892"/>
    <w:lvl w:ilvl="0" w:tplc="39C6EE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6D14D92"/>
    <w:multiLevelType w:val="hybridMultilevel"/>
    <w:tmpl w:val="F11C3E40"/>
    <w:lvl w:ilvl="0" w:tplc="76E2553A">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374C57"/>
    <w:multiLevelType w:val="hybridMultilevel"/>
    <w:tmpl w:val="DED2D44A"/>
    <w:lvl w:ilvl="0" w:tplc="9B8A9FD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825D1E"/>
    <w:multiLevelType w:val="hybridMultilevel"/>
    <w:tmpl w:val="03E00E6E"/>
    <w:lvl w:ilvl="0" w:tplc="97AC4E6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34"/>
    <w:rsid w:val="000D213B"/>
    <w:rsid w:val="00126B34"/>
    <w:rsid w:val="0016027E"/>
    <w:rsid w:val="001A2597"/>
    <w:rsid w:val="0020218D"/>
    <w:rsid w:val="0023118F"/>
    <w:rsid w:val="004F5939"/>
    <w:rsid w:val="005B061F"/>
    <w:rsid w:val="00670967"/>
    <w:rsid w:val="008441D5"/>
    <w:rsid w:val="008A7C7A"/>
    <w:rsid w:val="008F33E5"/>
    <w:rsid w:val="00AF123A"/>
    <w:rsid w:val="00C40F63"/>
    <w:rsid w:val="00C81CD4"/>
    <w:rsid w:val="00CC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0372"/>
  <w15:chartTrackingRefBased/>
  <w15:docId w15:val="{CC187271-0E7F-4644-8C98-E7131BC5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napToGrid w:val="0"/>
        <w:vertAlign w:val="superscript"/>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8A7C7A"/>
    <w:pPr>
      <w:ind w:left="720"/>
      <w:contextualSpacing/>
    </w:pPr>
  </w:style>
  <w:style w:type="paragraph" w:styleId="Header">
    <w:name w:val="header"/>
    <w:basedOn w:val="Normal"/>
    <w:link w:val="HeaderChar"/>
    <w:uiPriority w:val="99"/>
    <w:unhideWhenUsed/>
    <w:rsid w:val="008F33E5"/>
    <w:pPr>
      <w:tabs>
        <w:tab w:val="center" w:pos="4680"/>
        <w:tab w:val="right" w:pos="9360"/>
      </w:tabs>
    </w:pPr>
  </w:style>
  <w:style w:type="character" w:customStyle="1" w:styleId="HeaderChar">
    <w:name w:val="Header Char"/>
    <w:basedOn w:val="DefaultParagraphFont"/>
    <w:link w:val="Header"/>
    <w:uiPriority w:val="99"/>
    <w:rsid w:val="008F33E5"/>
  </w:style>
  <w:style w:type="paragraph" w:styleId="Footer">
    <w:name w:val="footer"/>
    <w:basedOn w:val="Normal"/>
    <w:link w:val="FooterChar"/>
    <w:uiPriority w:val="99"/>
    <w:unhideWhenUsed/>
    <w:rsid w:val="008F33E5"/>
    <w:pPr>
      <w:tabs>
        <w:tab w:val="center" w:pos="4680"/>
        <w:tab w:val="right" w:pos="9360"/>
      </w:tabs>
    </w:pPr>
  </w:style>
  <w:style w:type="character" w:customStyle="1" w:styleId="FooterChar">
    <w:name w:val="Footer Char"/>
    <w:basedOn w:val="DefaultParagraphFont"/>
    <w:link w:val="Footer"/>
    <w:uiPriority w:val="99"/>
    <w:rsid w:val="008F33E5"/>
  </w:style>
  <w:style w:type="paragraph" w:styleId="NormalWeb">
    <w:name w:val="Normal (Web)"/>
    <w:basedOn w:val="Normal"/>
    <w:uiPriority w:val="99"/>
    <w:semiHidden/>
    <w:unhideWhenUsed/>
    <w:rsid w:val="0016027E"/>
    <w:pPr>
      <w:spacing w:before="100" w:beforeAutospacing="1" w:after="100" w:afterAutospacing="1"/>
    </w:pPr>
    <w:rPr>
      <w:rFonts w:eastAsia="Times New Roman"/>
      <w:snapToGrid/>
      <w:sz w:val="24"/>
      <w:szCs w:val="24"/>
      <w:vertAlign w:val="baseline"/>
    </w:rPr>
  </w:style>
  <w:style w:type="character" w:styleId="Strong">
    <w:name w:val="Strong"/>
    <w:basedOn w:val="DefaultParagraphFont"/>
    <w:uiPriority w:val="22"/>
    <w:qFormat/>
    <w:rsid w:val="001602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502197">
      <w:bodyDiv w:val="1"/>
      <w:marLeft w:val="0"/>
      <w:marRight w:val="0"/>
      <w:marTop w:val="0"/>
      <w:marBottom w:val="0"/>
      <w:divBdr>
        <w:top w:val="none" w:sz="0" w:space="0" w:color="auto"/>
        <w:left w:val="none" w:sz="0" w:space="0" w:color="auto"/>
        <w:bottom w:val="none" w:sz="0" w:space="0" w:color="auto"/>
        <w:right w:val="none" w:sz="0" w:space="0" w:color="auto"/>
      </w:divBdr>
      <w:divsChild>
        <w:div w:id="1897624318">
          <w:marLeft w:val="0"/>
          <w:marRight w:val="0"/>
          <w:marTop w:val="0"/>
          <w:marBottom w:val="0"/>
          <w:divBdr>
            <w:top w:val="none" w:sz="0" w:space="0" w:color="auto"/>
            <w:left w:val="none" w:sz="0" w:space="0" w:color="auto"/>
            <w:bottom w:val="none" w:sz="0" w:space="0" w:color="auto"/>
            <w:right w:val="none" w:sz="0" w:space="0" w:color="auto"/>
          </w:divBdr>
          <w:divsChild>
            <w:div w:id="58526967">
              <w:marLeft w:val="0"/>
              <w:marRight w:val="0"/>
              <w:marTop w:val="0"/>
              <w:marBottom w:val="0"/>
              <w:divBdr>
                <w:top w:val="none" w:sz="0" w:space="0" w:color="auto"/>
                <w:left w:val="none" w:sz="0" w:space="0" w:color="auto"/>
                <w:bottom w:val="none" w:sz="0" w:space="0" w:color="auto"/>
                <w:right w:val="none" w:sz="0" w:space="0" w:color="auto"/>
              </w:divBdr>
              <w:divsChild>
                <w:div w:id="6566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3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86122459&amp;pubNum=0000708&amp;originatingDoc=Icc38d26025ac11eaac0ee4466ee51240&amp;refType=RP&amp;originationContext=document&amp;transitionType=DocumentItem&amp;contextData=(sc.UserEnteredCitation)" TargetMode="External"/><Relationship Id="rId13" Type="http://schemas.openxmlformats.org/officeDocument/2006/relationships/hyperlink" Target="https://1.next.westlaw.com/Link/Document/FullText?findType=Y&amp;serNum=0365142430&amp;pubNum=0001111&amp;originatingDoc=Icc38d26025ac11eaac0ee4466ee51240&amp;refType=LR&amp;fi=co_pp_sp_1111_1077&amp;originationContext=document&amp;transitionType=DocumentItem&amp;contextData=(sc.UserEnteredCitation)" TargetMode="External"/><Relationship Id="rId18" Type="http://schemas.openxmlformats.org/officeDocument/2006/relationships/hyperlink" Target="https://1.next.westlaw.com/Link/Document/FullText?findType=Y&amp;serNum=1986122459&amp;pubNum=0000708&amp;originatingDoc=Icc38d26025ac11eaac0ee4466ee51240&amp;refType=RP&amp;originationContext=document&amp;transitionType=DocumentItem&amp;contextData=(sc.UserEnteredCitation)" TargetMode="External"/><Relationship Id="rId26" Type="http://schemas.openxmlformats.org/officeDocument/2006/relationships/hyperlink" Target="https://1.next.westlaw.com/Link/Document/FullText?findType=Y&amp;serNum=1986122459&amp;pubNum=0000708&amp;originatingDoc=Icc38d26025ac11eaac0ee4466ee51240&amp;refType=RP&amp;originationContext=document&amp;transitionType=DocumentItem&amp;contextData=(sc.UserEnteredCitation)" TargetMode="External"/><Relationship Id="rId39" Type="http://schemas.openxmlformats.org/officeDocument/2006/relationships/hyperlink" Target="https://1.next.westlaw.com/Link/Document/FullText?findType=Y&amp;serNum=2031199011&amp;pubNum=0004645&amp;originatingDoc=Icc38d26025ac11eaac0ee4466ee51240&amp;refType=RP&amp;fi=co_pp_sp_4645_49&amp;originationContext=document&amp;transitionType=DocumentItem&amp;contextData=(sc.UserEnteredCitation)" TargetMode="External"/><Relationship Id="rId3" Type="http://schemas.openxmlformats.org/officeDocument/2006/relationships/styles" Target="styles.xml"/><Relationship Id="rId21" Type="http://schemas.openxmlformats.org/officeDocument/2006/relationships/hyperlink" Target="https://1.next.westlaw.com/Link/Document/FullText?findType=Y&amp;serNum=1986122459&amp;pubNum=0000708&amp;originatingDoc=Icc38d26025ac11eaac0ee4466ee51240&amp;refType=RP&amp;originationContext=document&amp;transitionType=DocumentItem&amp;contextData=(sc.UserEnteredCitation)" TargetMode="External"/><Relationship Id="rId34" Type="http://schemas.openxmlformats.org/officeDocument/2006/relationships/hyperlink" Target="https://1.next.westlaw.com/Link/Document/FullText?findType=Y&amp;serNum=1986122459&amp;pubNum=0000708&amp;originatingDoc=Icc38d26025ac11eaac0ee4466ee51240&amp;refType=RP&amp;originationContext=document&amp;transitionType=DocumentItem&amp;contextData=(sc.UserEnteredCitation)"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1.next.westlaw.com/Link/Document/FullText?findType=Y&amp;serNum=2031883989&amp;pubNum=0000708&amp;originatingDoc=Icc38d26025ac11eaac0ee4466ee51240&amp;refType=RP&amp;originationContext=document&amp;transitionType=DocumentItem&amp;contextData=(sc.UserEnteredCitation)" TargetMode="External"/><Relationship Id="rId17" Type="http://schemas.openxmlformats.org/officeDocument/2006/relationships/hyperlink" Target="https://1.next.westlaw.com/Link/Document/FullText?findType=Y&amp;serNum=0365142430&amp;pubNum=0001111&amp;originatingDoc=Icc38d26025ac11eaac0ee4466ee51240&amp;refType=LR&amp;fi=co_pp_sp_1111_1113&amp;originationContext=document&amp;transitionType=DocumentItem&amp;contextData=(sc.UserEnteredCitation)" TargetMode="External"/><Relationship Id="rId25" Type="http://schemas.openxmlformats.org/officeDocument/2006/relationships/hyperlink" Target="https://1.next.westlaw.com/Link/Document/FullText?findType=Y&amp;serNum=0429906861&amp;pubNum=0002984&amp;originatingDoc=Icc38d26025ac11eaac0ee4466ee51240&amp;refType=LR&amp;fi=co_pp_sp_2984_1897&amp;originationContext=document&amp;transitionType=DocumentItem&amp;contextData=(sc.UserEnteredCitation)" TargetMode="External"/><Relationship Id="rId33" Type="http://schemas.openxmlformats.org/officeDocument/2006/relationships/hyperlink" Target="https://1.next.westlaw.com/Link/Document/FullText?findType=Y&amp;serNum=0303692141&amp;pubNum=0003197&amp;originatingDoc=Icc38d26025ac11eaac0ee4466ee51240&amp;refType=LR&amp;originationContext=document&amp;transitionType=DocumentItem&amp;contextData=(sc.UserEnteredCitation)" TargetMode="External"/><Relationship Id="rId38" Type="http://schemas.openxmlformats.org/officeDocument/2006/relationships/hyperlink" Target="https://www.courts.wa.gov/content/publicUpload/Supreme%20Court%20Orders/OrderNo25700-A-1221Workgroup.pdf" TargetMode="External"/><Relationship Id="rId2" Type="http://schemas.openxmlformats.org/officeDocument/2006/relationships/numbering" Target="numbering.xml"/><Relationship Id="rId16" Type="http://schemas.openxmlformats.org/officeDocument/2006/relationships/hyperlink" Target="https://1.next.westlaw.com/Link/Document/FullText?findType=Y&amp;serNum=0429906861&amp;pubNum=0002984&amp;originatingDoc=Icc38d26025ac11eaac0ee4466ee51240&amp;refType=LR&amp;fi=co_pp_sp_2984_1887&amp;originationContext=document&amp;transitionType=DocumentItem&amp;contextData=(sc.UserEnteredCitation)" TargetMode="External"/><Relationship Id="rId20" Type="http://schemas.openxmlformats.org/officeDocument/2006/relationships/hyperlink" Target="https://1.next.westlaw.com/Link/Document/FullText?findType=Y&amp;serNum=0354313581&amp;pubNum=0203226&amp;originatingDoc=Icc38d26025ac11eaac0ee4466ee51240&amp;refType=LR&amp;fi=co_pp_sp_203226_162&amp;originationContext=document&amp;transitionType=DocumentItem&amp;contextData=(sc.UserEnteredCitation)" TargetMode="External"/><Relationship Id="rId29" Type="http://schemas.openxmlformats.org/officeDocument/2006/relationships/hyperlink" Target="https://1.next.westlaw.com/Link/Document/FullText?findType=Y&amp;serNum=0303692141&amp;pubNum=0003197&amp;originatingDoc=Icc38d26025ac11eaac0ee4466ee51240&amp;refType=LR&amp;originationContext=document&amp;transitionType=DocumentItem&amp;contextData=(sc.UserEnteredCitation)" TargetMode="External"/><Relationship Id="rId41" Type="http://schemas.openxmlformats.org/officeDocument/2006/relationships/hyperlink" Target="https://1.next.westlaw.com/Link/Document/FullText?findType=Y&amp;serNum=2031883989&amp;pubNum=0000708&amp;originatingDoc=Icc38d26025ac11eaac0ee4466ee51240&amp;refType=RP&amp;originationContext=document&amp;transitionType=DocumentItem&amp;contextData=(sc.UserEnteredCi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Y&amp;serNum=2042086277&amp;pubNum=0004645&amp;originatingDoc=Icc38d26025ac11eaac0ee4466ee51240&amp;refType=RP&amp;originationContext=document&amp;transitionType=DocumentItem&amp;contextData=(sc.UserEnteredCitation)" TargetMode="External"/><Relationship Id="rId24" Type="http://schemas.openxmlformats.org/officeDocument/2006/relationships/hyperlink" Target="https://1.next.westlaw.com/Link/Document/FullText?findType=Y&amp;serNum=1986122459&amp;pubNum=0000708&amp;originatingDoc=Icc38d26025ac11eaac0ee4466ee51240&amp;refType=RP&amp;originationContext=document&amp;transitionType=DocumentItem&amp;contextData=(sc.UserEnteredCitation)" TargetMode="External"/><Relationship Id="rId32" Type="http://schemas.openxmlformats.org/officeDocument/2006/relationships/hyperlink" Target="https://1.next.westlaw.com/Link/Document/FullText?findType=Y&amp;serNum=0303692141&amp;pubNum=0003197&amp;originatingDoc=Icc38d26025ac11eaac0ee4466ee51240&amp;refType=LR&amp;originationContext=document&amp;transitionType=DocumentItem&amp;contextData=(sc.UserEnteredCitation)" TargetMode="External"/><Relationship Id="rId37" Type="http://schemas.openxmlformats.org/officeDocument/2006/relationships/hyperlink" Target="https://1.next.westlaw.com/Link/Document/FullText?findType=Y&amp;serNum=1986122459&amp;originatingDoc=Icc38d26025ac11eaac0ee4466ee51240&amp;refType=RP&amp;originationContext=document&amp;transitionType=DocumentItem&amp;contextData=(sc.UserEnteredCitation)" TargetMode="External"/><Relationship Id="rId40" Type="http://schemas.openxmlformats.org/officeDocument/2006/relationships/hyperlink" Target="https://1.next.westlaw.com/Link/Document/FullText?findType=Y&amp;serNum=2042086277&amp;pubNum=0004645&amp;originatingDoc=Icc38d26025ac11eaac0ee4466ee51240&amp;refType=RP&amp;originationContext=document&amp;transitionType=DocumentItem&amp;contextData=(sc.UserEnteredCitation)" TargetMode="External"/><Relationship Id="rId5" Type="http://schemas.openxmlformats.org/officeDocument/2006/relationships/webSettings" Target="webSettings.xml"/><Relationship Id="rId15" Type="http://schemas.openxmlformats.org/officeDocument/2006/relationships/hyperlink" Target="https://1.next.westlaw.com/Link/Document/FullText?findType=Y&amp;serNum=0303692141&amp;pubNum=0003197&amp;originatingDoc=Icc38d26025ac11eaac0ee4466ee51240&amp;refType=LR&amp;fi=co_pp_sp_3197_178&amp;originationContext=document&amp;transitionType=DocumentItem&amp;contextData=(sc.UserEnteredCitation)" TargetMode="External"/><Relationship Id="rId23" Type="http://schemas.openxmlformats.org/officeDocument/2006/relationships/hyperlink" Target="https://1.next.westlaw.com/Link/Document/FullText?findType=Y&amp;serNum=1986122459&amp;pubNum=0000708&amp;originatingDoc=Icc38d26025ac11eaac0ee4466ee51240&amp;refType=RP&amp;originationContext=document&amp;transitionType=DocumentItem&amp;contextData=(sc.UserEnteredCitation)" TargetMode="External"/><Relationship Id="rId28" Type="http://schemas.openxmlformats.org/officeDocument/2006/relationships/hyperlink" Target="https://1.next.westlaw.com/Link/Document/FullText?findType=Y&amp;serNum=0303692141&amp;pubNum=0003197&amp;originatingDoc=Icc38d26025ac11eaac0ee4466ee51240&amp;refType=LR&amp;fi=co_pp_sp_3197_156&amp;originationContext=document&amp;transitionType=DocumentItem&amp;contextData=(sc.UserEnteredCitation)" TargetMode="External"/><Relationship Id="rId36" Type="http://schemas.openxmlformats.org/officeDocument/2006/relationships/hyperlink" Target="https://1.next.westlaw.com/Link/Document/FullText?findType=Y&amp;serNum=0468962091&amp;pubNum=0003050&amp;originatingDoc=Icc38d26025ac11eaac0ee4466ee51240&amp;refType=LR&amp;fi=co_pp_sp_3050_762&amp;originationContext=document&amp;transitionType=DocumentItem&amp;contextData=(sc.UserEnteredCitation)" TargetMode="External"/><Relationship Id="rId10" Type="http://schemas.openxmlformats.org/officeDocument/2006/relationships/hyperlink" Target="https://1.next.westlaw.com/Link/Document/FullText?findType=Y&amp;serNum=2031199011&amp;pubNum=0004645&amp;originatingDoc=Icc38d26025ac11eaac0ee4466ee51240&amp;refType=RP&amp;fi=co_pp_sp_4645_46&amp;originationContext=document&amp;transitionType=DocumentItem&amp;contextData=(sc.UserEnteredCitation)" TargetMode="External"/><Relationship Id="rId19" Type="http://schemas.openxmlformats.org/officeDocument/2006/relationships/hyperlink" Target="https://1.next.westlaw.com/Link/Document/FullText?findType=Y&amp;serNum=1986122459&amp;pubNum=0000708&amp;originatingDoc=Icc38d26025ac11eaac0ee4466ee51240&amp;refType=RP&amp;originationContext=document&amp;transitionType=DocumentItem&amp;contextData=(sc.UserEnteredCitation)" TargetMode="External"/><Relationship Id="rId31" Type="http://schemas.openxmlformats.org/officeDocument/2006/relationships/hyperlink" Target="https://1.next.westlaw.com/Link/Document/FullText?findType=Y&amp;serNum=0303692141&amp;pubNum=0003197&amp;originatingDoc=Icc38d26025ac11eaac0ee4466ee51240&amp;refType=LR&amp;originationContext=document&amp;transitionType=DocumentItem&amp;contextData=(sc.UserEnteredCitatio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1.next.westlaw.com/Link/Document/FullText?findType=Y&amp;serNum=2048346559&amp;pubNum=0000595&amp;originatingDoc=Icc38d26025ac11eaac0ee4466ee51240&amp;refType=RP&amp;fi=co_pp_sp_595_359&amp;originationContext=document&amp;transitionType=DocumentItem&amp;contextData=(sc.UserEnteredCitation)" TargetMode="External"/><Relationship Id="rId14" Type="http://schemas.openxmlformats.org/officeDocument/2006/relationships/hyperlink" Target="https://1.next.westlaw.com/Link/Document/FullText?findType=Y&amp;serNum=0458658614&amp;pubNum=0002276&amp;originatingDoc=Icc38d26025ac11eaac0ee4466ee51240&amp;refType=LR&amp;fi=co_pp_sp_2276_1182&amp;originationContext=document&amp;transitionType=DocumentItem&amp;contextData=(sc.UserEnteredCitation)" TargetMode="External"/><Relationship Id="rId22" Type="http://schemas.openxmlformats.org/officeDocument/2006/relationships/hyperlink" Target="https://1.next.westlaw.com/Link/Document/FullText?findType=Y&amp;serNum=0108882630&amp;pubNum=0001239&amp;originatingDoc=Icc38d26025ac11eaac0ee4466ee51240&amp;refType=LR&amp;fi=co_pp_sp_1239_63&amp;originationContext=document&amp;transitionType=DocumentItem&amp;contextData=(sc.UserEnteredCitation)" TargetMode="External"/><Relationship Id="rId27" Type="http://schemas.openxmlformats.org/officeDocument/2006/relationships/hyperlink" Target="https://1.next.westlaw.com/Link/Document/FullText?findType=Y&amp;serNum=0327409253&amp;pubNum=0001107&amp;originatingDoc=I83c4353e94b911e18b05fdf15589d8e8&amp;refType=LR&amp;fi=co_pp_sp_1107_948&amp;originationContext=document&amp;transitionType=DocumentItem&amp;contextData=(sc.Search)" TargetMode="External"/><Relationship Id="rId30" Type="http://schemas.openxmlformats.org/officeDocument/2006/relationships/hyperlink" Target="https://1.next.westlaw.com/Link/Document/FullText?findType=Y&amp;serNum=1986122459&amp;pubNum=0000708&amp;originatingDoc=Icc38d26025ac11eaac0ee4466ee51240&amp;refType=RP&amp;originationContext=document&amp;transitionType=DocumentItem&amp;contextData=(sc.UserEnteredCitation)" TargetMode="External"/><Relationship Id="rId35" Type="http://schemas.openxmlformats.org/officeDocument/2006/relationships/hyperlink" Target="https://1.next.westlaw.com/Link/Document/FullText?findType=Y&amp;serNum=0303692141&amp;pubNum=0003197&amp;originatingDoc=Icc38d26025ac11eaac0ee4466ee51240&amp;refType=LR&amp;originationContext=document&amp;transitionType=DocumentItem&amp;contextData=(sc.UserEnteredCitation)"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CCE07-3024-4B88-88D9-AC2112E3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4755</Words>
  <Characters>27110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Heade (OPD)</dc:creator>
  <cp:keywords/>
  <dc:description/>
  <cp:lastModifiedBy>Kevin Heade (OPD)</cp:lastModifiedBy>
  <cp:revision>5</cp:revision>
  <cp:lastPrinted>2020-01-09T16:44:00Z</cp:lastPrinted>
  <dcterms:created xsi:type="dcterms:W3CDTF">2020-01-09T16:41:00Z</dcterms:created>
  <dcterms:modified xsi:type="dcterms:W3CDTF">2020-01-09T16:48:00Z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