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449C" w14:textId="77777777" w:rsidR="009C3B71" w:rsidRDefault="00076A41">
      <w:pPr>
        <w:jc w:val="both"/>
        <w:rPr>
          <w:sz w:val="28"/>
          <w:szCs w:val="28"/>
        </w:rPr>
      </w:pPr>
      <w:r>
        <w:rPr>
          <w:sz w:val="28"/>
          <w:szCs w:val="28"/>
        </w:rPr>
        <w:t>Dave Byers</w:t>
      </w:r>
      <w:r w:rsidR="00895DBE">
        <w:rPr>
          <w:rStyle w:val="FootnoteReference"/>
          <w:sz w:val="28"/>
          <w:szCs w:val="28"/>
        </w:rPr>
        <w:footnoteReference w:id="1"/>
      </w:r>
    </w:p>
    <w:p w14:paraId="5000F434" w14:textId="77777777" w:rsidR="00076A41" w:rsidRPr="00FD45C7" w:rsidRDefault="00076A41">
      <w:pPr>
        <w:jc w:val="both"/>
        <w:rPr>
          <w:sz w:val="28"/>
          <w:szCs w:val="28"/>
        </w:rPr>
      </w:pPr>
      <w:r>
        <w:rPr>
          <w:sz w:val="28"/>
          <w:szCs w:val="28"/>
        </w:rPr>
        <w:t>Executive Director, Administrative Office of Courts</w:t>
      </w:r>
    </w:p>
    <w:p w14:paraId="4FA55F6F" w14:textId="77777777" w:rsidR="009C3B71" w:rsidRPr="00FD45C7" w:rsidRDefault="00076A41">
      <w:pPr>
        <w:jc w:val="both"/>
        <w:rPr>
          <w:sz w:val="28"/>
          <w:szCs w:val="28"/>
        </w:rPr>
      </w:pPr>
      <w:r>
        <w:rPr>
          <w:sz w:val="28"/>
          <w:szCs w:val="28"/>
        </w:rPr>
        <w:t>Member</w:t>
      </w:r>
      <w:r w:rsidR="009C3B71" w:rsidRPr="00FD45C7">
        <w:rPr>
          <w:sz w:val="28"/>
          <w:szCs w:val="28"/>
        </w:rPr>
        <w:t xml:space="preserve">, </w:t>
      </w:r>
      <w:r w:rsidR="005C7FD7">
        <w:rPr>
          <w:sz w:val="28"/>
          <w:szCs w:val="28"/>
        </w:rPr>
        <w:t xml:space="preserve">Task Force on the Delivery of Legal Services </w:t>
      </w:r>
    </w:p>
    <w:p w14:paraId="164AF86C" w14:textId="77777777" w:rsidR="009C3B71" w:rsidRPr="00FD45C7" w:rsidRDefault="009C3B71" w:rsidP="009C3B71">
      <w:pPr>
        <w:rPr>
          <w:sz w:val="28"/>
          <w:szCs w:val="28"/>
        </w:rPr>
      </w:pPr>
      <w:r w:rsidRPr="00FD45C7">
        <w:rPr>
          <w:sz w:val="28"/>
          <w:szCs w:val="28"/>
        </w:rPr>
        <w:t>State Courts Building</w:t>
      </w:r>
    </w:p>
    <w:p w14:paraId="55290B91" w14:textId="77777777" w:rsidR="009C3B71" w:rsidRPr="00FD45C7" w:rsidRDefault="009C3B71" w:rsidP="009C3B71">
      <w:pPr>
        <w:rPr>
          <w:sz w:val="28"/>
          <w:szCs w:val="28"/>
        </w:rPr>
      </w:pPr>
      <w:r w:rsidRPr="00FD45C7">
        <w:rPr>
          <w:sz w:val="28"/>
          <w:szCs w:val="28"/>
        </w:rPr>
        <w:t>1501 West Washington</w:t>
      </w:r>
    </w:p>
    <w:p w14:paraId="22ADACB1" w14:textId="77777777" w:rsidR="009C3B71" w:rsidRPr="00FD45C7" w:rsidRDefault="00B22A46" w:rsidP="009C3B71">
      <w:pPr>
        <w:rPr>
          <w:sz w:val="28"/>
          <w:szCs w:val="28"/>
        </w:rPr>
      </w:pPr>
      <w:r>
        <w:rPr>
          <w:sz w:val="28"/>
          <w:szCs w:val="28"/>
        </w:rPr>
        <w:t>Phoenix, Arizona </w:t>
      </w:r>
      <w:r w:rsidR="009C3B71" w:rsidRPr="00FD45C7">
        <w:rPr>
          <w:sz w:val="28"/>
          <w:szCs w:val="28"/>
        </w:rPr>
        <w:t>85007</w:t>
      </w:r>
    </w:p>
    <w:p w14:paraId="7BC6D52B" w14:textId="77777777" w:rsidR="009C3B71" w:rsidRPr="00FD45C7" w:rsidRDefault="00B22A46" w:rsidP="009C3B71">
      <w:pPr>
        <w:rPr>
          <w:sz w:val="28"/>
          <w:szCs w:val="28"/>
        </w:rPr>
      </w:pPr>
      <w:r>
        <w:rPr>
          <w:sz w:val="28"/>
          <w:szCs w:val="28"/>
        </w:rPr>
        <w:t xml:space="preserve">Telephone: </w:t>
      </w:r>
      <w:r w:rsidR="009107A9" w:rsidRPr="00FD45C7">
        <w:rPr>
          <w:sz w:val="28"/>
          <w:szCs w:val="28"/>
        </w:rPr>
        <w:t>(</w:t>
      </w:r>
      <w:r w:rsidR="009C3B71" w:rsidRPr="00FD45C7">
        <w:rPr>
          <w:sz w:val="28"/>
          <w:szCs w:val="28"/>
        </w:rPr>
        <w:t>602</w:t>
      </w:r>
      <w:r w:rsidR="009107A9" w:rsidRPr="00FD45C7">
        <w:rPr>
          <w:sz w:val="28"/>
          <w:szCs w:val="28"/>
        </w:rPr>
        <w:t xml:space="preserve">) </w:t>
      </w:r>
      <w:r w:rsidR="005C7FD7">
        <w:rPr>
          <w:sz w:val="28"/>
          <w:szCs w:val="28"/>
        </w:rPr>
        <w:t>452-</w:t>
      </w:r>
      <w:r w:rsidR="00076A41">
        <w:rPr>
          <w:sz w:val="28"/>
          <w:szCs w:val="28"/>
        </w:rPr>
        <w:t>3303</w:t>
      </w:r>
      <w:bookmarkStart w:id="0" w:name="_GoBack"/>
      <w:bookmarkEnd w:id="0"/>
    </w:p>
    <w:p w14:paraId="15ECCEC8" w14:textId="77777777" w:rsidR="00C41CA7" w:rsidRDefault="00C41CA7">
      <w:pPr>
        <w:jc w:val="both"/>
        <w:rPr>
          <w:sz w:val="28"/>
          <w:szCs w:val="28"/>
        </w:rPr>
      </w:pPr>
    </w:p>
    <w:p w14:paraId="38C58162" w14:textId="77777777" w:rsidR="00FF09E1" w:rsidRPr="00FD45C7" w:rsidRDefault="00FF09E1">
      <w:pPr>
        <w:jc w:val="both"/>
        <w:rPr>
          <w:sz w:val="28"/>
          <w:szCs w:val="28"/>
        </w:rPr>
      </w:pPr>
    </w:p>
    <w:p w14:paraId="0C016552" w14:textId="77777777" w:rsidR="00C41CA7" w:rsidRPr="00FD45C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14:paraId="2C98B0AA" w14:textId="77777777" w:rsidR="00C41CA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14:paraId="78BE343C" w14:textId="77777777" w:rsidR="00FF09E1" w:rsidRPr="00FF09E1" w:rsidRDefault="00FF09E1" w:rsidP="00FF09E1"/>
    <w:p w14:paraId="33E6D0C4" w14:textId="77777777" w:rsidR="001451DE" w:rsidRPr="00FD45C7" w:rsidRDefault="001451DE" w:rsidP="001451DE">
      <w:pPr>
        <w:rPr>
          <w:sz w:val="28"/>
          <w:szCs w:val="28"/>
        </w:rPr>
      </w:pPr>
    </w:p>
    <w:p w14:paraId="38E3C97E" w14:textId="77777777" w:rsidR="001A3658" w:rsidRPr="00FD45C7" w:rsidRDefault="001451DE" w:rsidP="001451DE">
      <w:pPr>
        <w:widowControl w:val="0"/>
        <w:autoSpaceDE w:val="0"/>
        <w:autoSpaceDN w:val="0"/>
        <w:adjustRightInd w:val="0"/>
        <w:rPr>
          <w:color w:val="000000"/>
          <w:sz w:val="28"/>
          <w:szCs w:val="28"/>
        </w:rPr>
      </w:pPr>
      <w:r w:rsidRPr="00FD45C7">
        <w:rPr>
          <w:color w:val="000000"/>
          <w:sz w:val="28"/>
          <w:szCs w:val="28"/>
        </w:rPr>
        <w:t xml:space="preserve">In the Matter of                 </w:t>
      </w:r>
      <w:r w:rsidR="001A3658" w:rsidRPr="00FD45C7">
        <w:rPr>
          <w:color w:val="000000"/>
          <w:sz w:val="28"/>
          <w:szCs w:val="28"/>
        </w:rPr>
        <w:t xml:space="preserve">                 </w:t>
      </w:r>
      <w:r w:rsidR="0091526F">
        <w:rPr>
          <w:color w:val="000000"/>
          <w:sz w:val="28"/>
          <w:szCs w:val="28"/>
        </w:rPr>
        <w:t xml:space="preserve">  </w:t>
      </w:r>
      <w:r w:rsidR="001A3658" w:rsidRPr="00FD45C7">
        <w:rPr>
          <w:color w:val="000000"/>
          <w:sz w:val="28"/>
          <w:szCs w:val="28"/>
        </w:rPr>
        <w:t xml:space="preserve"> </w:t>
      </w:r>
      <w:r w:rsidRPr="00FD45C7">
        <w:rPr>
          <w:color w:val="000000"/>
          <w:sz w:val="28"/>
          <w:szCs w:val="28"/>
        </w:rPr>
        <w:t>)</w:t>
      </w:r>
      <w:r w:rsidR="001A3658" w:rsidRPr="00FD45C7">
        <w:rPr>
          <w:color w:val="000000"/>
          <w:sz w:val="28"/>
          <w:szCs w:val="28"/>
        </w:rPr>
        <w:t xml:space="preserve"> </w:t>
      </w:r>
      <w:r w:rsidRPr="00FD45C7">
        <w:rPr>
          <w:color w:val="000000"/>
          <w:sz w:val="28"/>
          <w:szCs w:val="28"/>
        </w:rPr>
        <w:t xml:space="preserve">  </w:t>
      </w:r>
    </w:p>
    <w:p w14:paraId="15B5BBE5" w14:textId="77777777" w:rsidR="001451DE" w:rsidRPr="00FD45C7" w:rsidRDefault="001A3658" w:rsidP="001451DE">
      <w:pPr>
        <w:widowControl w:val="0"/>
        <w:autoSpaceDE w:val="0"/>
        <w:autoSpaceDN w:val="0"/>
        <w:adjustRightInd w:val="0"/>
        <w:rPr>
          <w:sz w:val="28"/>
          <w:szCs w:val="28"/>
        </w:rPr>
      </w:pPr>
      <w:r w:rsidRPr="00FD45C7">
        <w:rPr>
          <w:color w:val="000000"/>
          <w:sz w:val="28"/>
          <w:szCs w:val="28"/>
        </w:rPr>
        <w:t xml:space="preserve">                                                           </w:t>
      </w:r>
      <w:r w:rsidR="0091526F">
        <w:rPr>
          <w:color w:val="000000"/>
          <w:sz w:val="28"/>
          <w:szCs w:val="28"/>
        </w:rPr>
        <w:t xml:space="preserve"> </w:t>
      </w:r>
      <w:r w:rsidR="005C7FD7">
        <w:rPr>
          <w:color w:val="000000"/>
          <w:sz w:val="28"/>
          <w:szCs w:val="28"/>
        </w:rPr>
        <w:t xml:space="preserve"> </w:t>
      </w:r>
      <w:r w:rsidRPr="00FD45C7">
        <w:rPr>
          <w:color w:val="000000"/>
          <w:sz w:val="28"/>
          <w:szCs w:val="28"/>
        </w:rPr>
        <w:t xml:space="preserve"> )  </w:t>
      </w:r>
      <w:r w:rsidR="001451DE" w:rsidRPr="00FD45C7">
        <w:rPr>
          <w:color w:val="000000"/>
          <w:sz w:val="28"/>
          <w:szCs w:val="28"/>
        </w:rPr>
        <w:t xml:space="preserve">Arizona Supreme Court </w:t>
      </w:r>
      <w:r w:rsidRPr="00FD45C7">
        <w:rPr>
          <w:color w:val="000000"/>
          <w:sz w:val="28"/>
          <w:szCs w:val="28"/>
        </w:rPr>
        <w:t>No. R-</w:t>
      </w:r>
      <w:r w:rsidR="005C7FD7">
        <w:rPr>
          <w:color w:val="000000"/>
          <w:sz w:val="28"/>
          <w:szCs w:val="28"/>
        </w:rPr>
        <w:t>20</w:t>
      </w:r>
      <w:r w:rsidR="009C3B71" w:rsidRPr="00FD45C7">
        <w:rPr>
          <w:color w:val="000000"/>
          <w:sz w:val="28"/>
          <w:szCs w:val="28"/>
        </w:rPr>
        <w:t>-___</w:t>
      </w:r>
    </w:p>
    <w:p w14:paraId="77F600DA" w14:textId="77777777" w:rsidR="001451DE" w:rsidRPr="00DC54B7" w:rsidRDefault="00233B1C" w:rsidP="001451DE">
      <w:pPr>
        <w:widowControl w:val="0"/>
        <w:autoSpaceDE w:val="0"/>
        <w:autoSpaceDN w:val="0"/>
        <w:adjustRightInd w:val="0"/>
        <w:rPr>
          <w:sz w:val="28"/>
          <w:szCs w:val="28"/>
        </w:rPr>
      </w:pPr>
      <w:r w:rsidRPr="00DC54B7">
        <w:rPr>
          <w:color w:val="000000"/>
          <w:sz w:val="28"/>
          <w:szCs w:val="28"/>
        </w:rPr>
        <w:t>PETITION TO AMEND ARIZONA</w:t>
      </w:r>
      <w:r w:rsidR="0091526F">
        <w:rPr>
          <w:color w:val="000000"/>
          <w:sz w:val="28"/>
          <w:szCs w:val="28"/>
        </w:rPr>
        <w:t xml:space="preserve"> </w:t>
      </w:r>
      <w:r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 xml:space="preserve">             </w:t>
      </w:r>
    </w:p>
    <w:p w14:paraId="338BA208" w14:textId="77777777" w:rsidR="005C7FD7" w:rsidRDefault="001451DE" w:rsidP="001451DE">
      <w:pPr>
        <w:widowControl w:val="0"/>
        <w:autoSpaceDE w:val="0"/>
        <w:autoSpaceDN w:val="0"/>
        <w:adjustRightInd w:val="0"/>
        <w:rPr>
          <w:color w:val="000000"/>
          <w:sz w:val="28"/>
          <w:szCs w:val="28"/>
        </w:rPr>
      </w:pPr>
      <w:r w:rsidRPr="00DC54B7">
        <w:rPr>
          <w:color w:val="000000"/>
          <w:sz w:val="28"/>
          <w:szCs w:val="28"/>
        </w:rPr>
        <w:t>RULE</w:t>
      </w:r>
      <w:r w:rsidR="00623CFC" w:rsidRPr="00DC54B7">
        <w:rPr>
          <w:color w:val="000000"/>
          <w:sz w:val="28"/>
          <w:szCs w:val="28"/>
        </w:rPr>
        <w:t xml:space="preserve"> </w:t>
      </w:r>
      <w:r w:rsidR="00DF54BF" w:rsidRPr="00DC54B7">
        <w:rPr>
          <w:color w:val="000000"/>
          <w:sz w:val="28"/>
          <w:szCs w:val="28"/>
        </w:rPr>
        <w:t>OF</w:t>
      </w:r>
      <w:r w:rsidR="00CA74FE" w:rsidRPr="00DC54B7">
        <w:rPr>
          <w:color w:val="000000"/>
          <w:sz w:val="28"/>
          <w:szCs w:val="28"/>
        </w:rPr>
        <w:t xml:space="preserve"> </w:t>
      </w:r>
      <w:r w:rsidR="005C7FD7">
        <w:rPr>
          <w:color w:val="000000"/>
          <w:sz w:val="28"/>
          <w:szCs w:val="28"/>
        </w:rPr>
        <w:t xml:space="preserve">THE SUPREME </w:t>
      </w:r>
      <w:r w:rsidR="005C7FD7">
        <w:rPr>
          <w:color w:val="000000"/>
          <w:sz w:val="28"/>
          <w:szCs w:val="28"/>
        </w:rPr>
        <w:tab/>
      </w:r>
      <w:r w:rsidR="005C7FD7">
        <w:rPr>
          <w:color w:val="000000"/>
          <w:sz w:val="28"/>
          <w:szCs w:val="28"/>
        </w:rPr>
        <w:tab/>
        <w:t>)</w:t>
      </w:r>
    </w:p>
    <w:p w14:paraId="0ED3EA0C" w14:textId="77777777" w:rsidR="00513E03" w:rsidRPr="00DC54B7" w:rsidRDefault="005C7FD7" w:rsidP="00B80328">
      <w:pPr>
        <w:widowControl w:val="0"/>
        <w:autoSpaceDE w:val="0"/>
        <w:autoSpaceDN w:val="0"/>
        <w:adjustRightInd w:val="0"/>
        <w:rPr>
          <w:sz w:val="28"/>
          <w:szCs w:val="28"/>
        </w:rPr>
      </w:pPr>
      <w:r>
        <w:rPr>
          <w:color w:val="000000"/>
          <w:sz w:val="28"/>
          <w:szCs w:val="28"/>
        </w:rPr>
        <w:t>COURT 3</w:t>
      </w:r>
      <w:r w:rsidR="00A425C0">
        <w:rPr>
          <w:color w:val="000000"/>
          <w:sz w:val="28"/>
          <w:szCs w:val="28"/>
        </w:rPr>
        <w:t>8</w:t>
      </w:r>
      <w:r w:rsidR="00A425C0">
        <w:rPr>
          <w:color w:val="000000"/>
          <w:sz w:val="28"/>
          <w:szCs w:val="28"/>
        </w:rPr>
        <w:tab/>
      </w:r>
      <w:r w:rsidR="00A425C0">
        <w:rPr>
          <w:color w:val="000000"/>
          <w:sz w:val="28"/>
          <w:szCs w:val="28"/>
        </w:rPr>
        <w:tab/>
      </w:r>
      <w:r w:rsidR="00A425C0">
        <w:rPr>
          <w:color w:val="000000"/>
          <w:sz w:val="28"/>
          <w:szCs w:val="28"/>
        </w:rPr>
        <w:tab/>
      </w:r>
      <w:r w:rsidR="00A425C0">
        <w:rPr>
          <w:color w:val="000000"/>
          <w:sz w:val="28"/>
          <w:szCs w:val="28"/>
        </w:rPr>
        <w:tab/>
      </w:r>
      <w:r w:rsidR="00513E03">
        <w:rPr>
          <w:sz w:val="28"/>
          <w:szCs w:val="28"/>
        </w:rPr>
        <w:tab/>
        <w:t>)</w:t>
      </w:r>
    </w:p>
    <w:p w14:paraId="72C6795E" w14:textId="77777777" w:rsidR="00FF09E1" w:rsidRDefault="00233B1C" w:rsidP="001451DE">
      <w:pPr>
        <w:rPr>
          <w:color w:val="000000"/>
          <w:sz w:val="28"/>
          <w:szCs w:val="28"/>
        </w:rPr>
      </w:pPr>
      <w:r w:rsidRPr="00DC54B7">
        <w:rPr>
          <w:color w:val="000000"/>
          <w:sz w:val="28"/>
          <w:szCs w:val="28"/>
        </w:rPr>
        <w:t>____________________________</w:t>
      </w:r>
      <w:r w:rsidR="00DC54B7">
        <w:rPr>
          <w:color w:val="000000"/>
          <w:sz w:val="28"/>
          <w:szCs w:val="28"/>
        </w:rPr>
        <w:t>_</w:t>
      </w:r>
      <w:r w:rsidRPr="00DC54B7">
        <w:rPr>
          <w:color w:val="000000"/>
          <w:sz w:val="28"/>
          <w:szCs w:val="28"/>
        </w:rPr>
        <w:t>_</w:t>
      </w:r>
      <w:r w:rsidR="001451DE" w:rsidRPr="00DC54B7">
        <w:rPr>
          <w:color w:val="000000"/>
          <w:sz w:val="28"/>
          <w:szCs w:val="28"/>
        </w:rPr>
        <w:t>_)</w:t>
      </w:r>
      <w:r w:rsidR="001451DE" w:rsidRPr="00FD45C7">
        <w:rPr>
          <w:color w:val="000000"/>
          <w:sz w:val="28"/>
          <w:szCs w:val="28"/>
        </w:rPr>
        <w:t xml:space="preserve">         </w:t>
      </w:r>
    </w:p>
    <w:p w14:paraId="432AEF07" w14:textId="77777777" w:rsidR="00FF09E1" w:rsidRDefault="00FF09E1" w:rsidP="001451DE">
      <w:pPr>
        <w:rPr>
          <w:color w:val="000000"/>
          <w:sz w:val="28"/>
          <w:szCs w:val="28"/>
        </w:rPr>
      </w:pPr>
    </w:p>
    <w:p w14:paraId="6120BE53" w14:textId="77777777" w:rsidR="001451DE" w:rsidRPr="00FD45C7" w:rsidRDefault="001451DE" w:rsidP="001451DE">
      <w:pPr>
        <w:rPr>
          <w:sz w:val="28"/>
          <w:szCs w:val="28"/>
        </w:rPr>
      </w:pPr>
      <w:r w:rsidRPr="00FD45C7">
        <w:rPr>
          <w:color w:val="000000"/>
          <w:sz w:val="28"/>
          <w:szCs w:val="28"/>
        </w:rPr>
        <w:t xml:space="preserve">                   </w:t>
      </w:r>
    </w:p>
    <w:p w14:paraId="40326DBD" w14:textId="77777777" w:rsidR="001451DE" w:rsidRPr="00FD45C7" w:rsidRDefault="001451DE" w:rsidP="001451DE">
      <w:pPr>
        <w:rPr>
          <w:sz w:val="28"/>
          <w:szCs w:val="28"/>
        </w:rPr>
      </w:pPr>
    </w:p>
    <w:p w14:paraId="69A8C19A" w14:textId="77777777" w:rsidR="00DC54B7" w:rsidRDefault="00716C66">
      <w:pPr>
        <w:pStyle w:val="BodyText"/>
        <w:tabs>
          <w:tab w:val="left" w:pos="711"/>
        </w:tabs>
        <w:spacing w:line="480" w:lineRule="auto"/>
        <w:jc w:val="both"/>
        <w:rPr>
          <w:szCs w:val="28"/>
        </w:rPr>
      </w:pPr>
      <w:r w:rsidRPr="00FD45C7">
        <w:rPr>
          <w:szCs w:val="28"/>
        </w:rPr>
        <w:tab/>
      </w:r>
      <w:r w:rsidR="00C41CA7" w:rsidRPr="00FD45C7">
        <w:rPr>
          <w:szCs w:val="28"/>
        </w:rPr>
        <w:t>Pursuant to Rule 28, Rules of the Supreme Court</w:t>
      </w:r>
      <w:r w:rsidR="00E934A1">
        <w:rPr>
          <w:szCs w:val="28"/>
        </w:rPr>
        <w:t xml:space="preserve"> of Arizona</w:t>
      </w:r>
      <w:r w:rsidR="00C41CA7" w:rsidRPr="00FD45C7">
        <w:rPr>
          <w:szCs w:val="28"/>
        </w:rPr>
        <w:t xml:space="preserve">, </w:t>
      </w:r>
      <w:r w:rsidR="009107A9" w:rsidRPr="00FD45C7">
        <w:rPr>
          <w:szCs w:val="28"/>
        </w:rPr>
        <w:t xml:space="preserve">the </w:t>
      </w:r>
      <w:r w:rsidR="00233B1C">
        <w:rPr>
          <w:szCs w:val="28"/>
        </w:rPr>
        <w:t xml:space="preserve">Task Force on </w:t>
      </w:r>
      <w:r w:rsidR="005C7FD7">
        <w:rPr>
          <w:szCs w:val="28"/>
        </w:rPr>
        <w:t>the Delivery of Legal Services</w:t>
      </w:r>
      <w:r w:rsidR="000E7EE1" w:rsidRPr="00FD45C7">
        <w:rPr>
          <w:szCs w:val="28"/>
        </w:rPr>
        <w:t xml:space="preserve"> </w:t>
      </w:r>
      <w:r w:rsidR="00852D79">
        <w:rPr>
          <w:szCs w:val="28"/>
        </w:rPr>
        <w:t xml:space="preserve">(“Task Force”) </w:t>
      </w:r>
      <w:r w:rsidR="00C41CA7" w:rsidRPr="00FD45C7">
        <w:rPr>
          <w:szCs w:val="28"/>
        </w:rPr>
        <w:t>petition</w:t>
      </w:r>
      <w:r w:rsidR="00941279">
        <w:rPr>
          <w:szCs w:val="28"/>
        </w:rPr>
        <w:t>s</w:t>
      </w:r>
      <w:r w:rsidR="00C41CA7" w:rsidRPr="00FD45C7">
        <w:rPr>
          <w:szCs w:val="28"/>
        </w:rPr>
        <w:t xml:space="preserve"> the Court to </w:t>
      </w:r>
      <w:r w:rsidR="000E7EE1" w:rsidRPr="00FD45C7">
        <w:rPr>
          <w:szCs w:val="28"/>
        </w:rPr>
        <w:t xml:space="preserve">amend </w:t>
      </w:r>
      <w:r w:rsidR="000E7EE1" w:rsidRPr="00DC54B7">
        <w:rPr>
          <w:szCs w:val="28"/>
        </w:rPr>
        <w:t>Arizona Rule</w:t>
      </w:r>
      <w:r w:rsidR="005B065C" w:rsidRPr="00DC54B7">
        <w:rPr>
          <w:szCs w:val="28"/>
        </w:rPr>
        <w:t>s</w:t>
      </w:r>
      <w:r w:rsidR="00A61FF5" w:rsidRPr="00DC54B7">
        <w:rPr>
          <w:szCs w:val="28"/>
        </w:rPr>
        <w:t xml:space="preserve"> of </w:t>
      </w:r>
      <w:r w:rsidR="005C7FD7">
        <w:rPr>
          <w:szCs w:val="28"/>
        </w:rPr>
        <w:t xml:space="preserve">the Supreme Court </w:t>
      </w:r>
      <w:r w:rsidR="008C22E8">
        <w:rPr>
          <w:szCs w:val="28"/>
        </w:rPr>
        <w:t>38</w:t>
      </w:r>
      <w:r w:rsidR="005B065C" w:rsidRPr="00DC54B7">
        <w:rPr>
          <w:szCs w:val="28"/>
        </w:rPr>
        <w:t>,</w:t>
      </w:r>
      <w:r w:rsidR="005B065C">
        <w:rPr>
          <w:szCs w:val="28"/>
        </w:rPr>
        <w:t xml:space="preserve"> as </w:t>
      </w:r>
      <w:r w:rsidR="00C41CA7" w:rsidRPr="00FD45C7">
        <w:rPr>
          <w:szCs w:val="28"/>
        </w:rPr>
        <w:t xml:space="preserve">reflected in the </w:t>
      </w:r>
      <w:r w:rsidR="00B80328" w:rsidRPr="00FD45C7">
        <w:rPr>
          <w:szCs w:val="28"/>
        </w:rPr>
        <w:t>attachment</w:t>
      </w:r>
      <w:r w:rsidR="00F5557A">
        <w:rPr>
          <w:szCs w:val="28"/>
        </w:rPr>
        <w:t>s</w:t>
      </w:r>
      <w:r w:rsidR="00B80328" w:rsidRPr="00FD45C7">
        <w:rPr>
          <w:szCs w:val="28"/>
        </w:rPr>
        <w:t xml:space="preserve"> hereto</w:t>
      </w:r>
      <w:r w:rsidR="006072CC" w:rsidRPr="00FD45C7">
        <w:rPr>
          <w:szCs w:val="28"/>
        </w:rPr>
        <w:t>,</w:t>
      </w:r>
      <w:r w:rsidR="009107A9" w:rsidRPr="00FD45C7">
        <w:rPr>
          <w:szCs w:val="28"/>
        </w:rPr>
        <w:t xml:space="preserve"> </w:t>
      </w:r>
      <w:r w:rsidR="006072CC" w:rsidRPr="00FD45C7">
        <w:rPr>
          <w:szCs w:val="28"/>
        </w:rPr>
        <w:t xml:space="preserve">effective January 1, </w:t>
      </w:r>
      <w:r w:rsidR="005B065C">
        <w:rPr>
          <w:szCs w:val="28"/>
        </w:rPr>
        <w:t>20</w:t>
      </w:r>
      <w:r w:rsidR="00440B58">
        <w:rPr>
          <w:szCs w:val="28"/>
        </w:rPr>
        <w:t>2</w:t>
      </w:r>
      <w:r w:rsidR="00895DBE">
        <w:rPr>
          <w:szCs w:val="28"/>
        </w:rPr>
        <w:t>1</w:t>
      </w:r>
      <w:r w:rsidR="00C41CA7" w:rsidRPr="00FD45C7">
        <w:rPr>
          <w:szCs w:val="28"/>
        </w:rPr>
        <w:t>.</w:t>
      </w:r>
    </w:p>
    <w:p w14:paraId="0A1817E7" w14:textId="77777777" w:rsidR="003D73E0" w:rsidRPr="00FD45C7" w:rsidRDefault="00C41CA7" w:rsidP="00817D9E">
      <w:pPr>
        <w:pStyle w:val="BodyText"/>
        <w:numPr>
          <w:ilvl w:val="0"/>
          <w:numId w:val="1"/>
        </w:numPr>
        <w:tabs>
          <w:tab w:val="left" w:pos="720"/>
        </w:tabs>
        <w:ind w:hanging="1080"/>
        <w:jc w:val="both"/>
        <w:rPr>
          <w:b/>
          <w:bCs/>
          <w:szCs w:val="28"/>
        </w:rPr>
      </w:pPr>
      <w:r w:rsidRPr="00FD45C7">
        <w:rPr>
          <w:b/>
          <w:bCs/>
          <w:szCs w:val="28"/>
        </w:rPr>
        <w:t>INTRODUCTION</w:t>
      </w:r>
      <w:r w:rsidR="001B6095" w:rsidRPr="00FD45C7">
        <w:rPr>
          <w:b/>
          <w:bCs/>
          <w:szCs w:val="28"/>
        </w:rPr>
        <w:t xml:space="preserve"> AND BACKGROUND</w:t>
      </w:r>
      <w:r w:rsidR="00E566C7">
        <w:rPr>
          <w:b/>
          <w:bCs/>
          <w:szCs w:val="28"/>
        </w:rPr>
        <w:t>.</w:t>
      </w:r>
    </w:p>
    <w:p w14:paraId="59599C0F" w14:textId="77777777" w:rsidR="00C41CA7" w:rsidRPr="00FD45C7" w:rsidRDefault="00C41CA7">
      <w:pPr>
        <w:pStyle w:val="BodyText"/>
        <w:jc w:val="both"/>
        <w:rPr>
          <w:b/>
          <w:bCs/>
          <w:szCs w:val="28"/>
        </w:rPr>
      </w:pPr>
    </w:p>
    <w:p w14:paraId="5DC4CC8E" w14:textId="77777777" w:rsidR="00817D9E" w:rsidRDefault="00FE7D74" w:rsidP="00817D9E">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FE7D74">
        <w:rPr>
          <w:sz w:val="28"/>
          <w:szCs w:val="28"/>
        </w:rPr>
        <w:t xml:space="preserve">Established on </w:t>
      </w:r>
      <w:r w:rsidR="005C7FD7">
        <w:rPr>
          <w:sz w:val="28"/>
          <w:szCs w:val="28"/>
        </w:rPr>
        <w:t>November 21, 2018</w:t>
      </w:r>
      <w:r w:rsidRPr="00FE7D74">
        <w:rPr>
          <w:sz w:val="28"/>
          <w:szCs w:val="28"/>
        </w:rPr>
        <w:t xml:space="preserve">, by Arizona Supreme Court </w:t>
      </w:r>
      <w:bookmarkStart w:id="1" w:name="_Hlk498583237"/>
      <w:r w:rsidRPr="00FE7D74">
        <w:rPr>
          <w:sz w:val="28"/>
          <w:szCs w:val="28"/>
        </w:rPr>
        <w:t xml:space="preserve">Administrative Order </w:t>
      </w:r>
      <w:r w:rsidR="005C7FD7">
        <w:rPr>
          <w:sz w:val="28"/>
          <w:szCs w:val="28"/>
        </w:rPr>
        <w:t>2018-111</w:t>
      </w:r>
      <w:r w:rsidRPr="00FE7D74">
        <w:rPr>
          <w:sz w:val="28"/>
          <w:szCs w:val="28"/>
        </w:rPr>
        <w:t>,</w:t>
      </w:r>
      <w:bookmarkEnd w:id="1"/>
      <w:r w:rsidRPr="00FE7D74">
        <w:rPr>
          <w:sz w:val="28"/>
          <w:szCs w:val="28"/>
        </w:rPr>
        <w:t xml:space="preserve"> the </w:t>
      </w:r>
      <w:r w:rsidR="00852D79">
        <w:rPr>
          <w:sz w:val="28"/>
          <w:szCs w:val="28"/>
        </w:rPr>
        <w:t>T</w:t>
      </w:r>
      <w:r w:rsidRPr="00FE7D74">
        <w:rPr>
          <w:sz w:val="28"/>
          <w:szCs w:val="28"/>
        </w:rPr>
        <w:t xml:space="preserve">ask </w:t>
      </w:r>
      <w:r w:rsidR="00852D79">
        <w:rPr>
          <w:sz w:val="28"/>
          <w:szCs w:val="28"/>
        </w:rPr>
        <w:t>F</w:t>
      </w:r>
      <w:r w:rsidRPr="00FE7D74">
        <w:rPr>
          <w:sz w:val="28"/>
          <w:szCs w:val="28"/>
        </w:rPr>
        <w:t xml:space="preserve">orce was asked to </w:t>
      </w:r>
      <w:r w:rsidR="005C7FD7">
        <w:rPr>
          <w:sz w:val="28"/>
          <w:szCs w:val="28"/>
        </w:rPr>
        <w:t>address five charges and to ma</w:t>
      </w:r>
      <w:r w:rsidRPr="00FE7D74">
        <w:rPr>
          <w:sz w:val="28"/>
          <w:szCs w:val="28"/>
        </w:rPr>
        <w:t xml:space="preserve">ke recommendations on each. </w:t>
      </w:r>
      <w:r w:rsidR="00817D9E">
        <w:rPr>
          <w:sz w:val="28"/>
          <w:szCs w:val="28"/>
        </w:rPr>
        <w:t xml:space="preserve"> </w:t>
      </w:r>
      <w:r w:rsidR="00ED6FF3">
        <w:rPr>
          <w:sz w:val="28"/>
          <w:szCs w:val="28"/>
        </w:rPr>
        <w:t xml:space="preserve">The Administrative Order gave the chair </w:t>
      </w:r>
      <w:r w:rsidR="00ED6FF3">
        <w:rPr>
          <w:sz w:val="28"/>
          <w:szCs w:val="28"/>
        </w:rPr>
        <w:lastRenderedPageBreak/>
        <w:t xml:space="preserve">discretion to consider and recommend other rule changes on any topic concerning the delivery of legal services. </w:t>
      </w:r>
      <w:r w:rsidR="00817D9E">
        <w:rPr>
          <w:sz w:val="28"/>
          <w:szCs w:val="28"/>
        </w:rPr>
        <w:t xml:space="preserve"> </w:t>
      </w:r>
      <w:r w:rsidR="00ED6FF3">
        <w:rPr>
          <w:sz w:val="28"/>
          <w:szCs w:val="28"/>
        </w:rPr>
        <w:t xml:space="preserve">Members of the legal community approached the </w:t>
      </w:r>
      <w:r w:rsidR="00895DBE">
        <w:rPr>
          <w:sz w:val="28"/>
          <w:szCs w:val="28"/>
        </w:rPr>
        <w:t>T</w:t>
      </w:r>
      <w:r w:rsidR="00ED6FF3">
        <w:rPr>
          <w:sz w:val="28"/>
          <w:szCs w:val="28"/>
        </w:rPr>
        <w:t>ask Force with a proposal to amend Rule 38</w:t>
      </w:r>
      <w:r w:rsidR="00895DBE">
        <w:rPr>
          <w:sz w:val="28"/>
          <w:szCs w:val="28"/>
        </w:rPr>
        <w:t>(d)</w:t>
      </w:r>
      <w:r w:rsidR="00ED6FF3">
        <w:rPr>
          <w:sz w:val="28"/>
          <w:szCs w:val="28"/>
        </w:rPr>
        <w:t>.</w:t>
      </w:r>
      <w:r w:rsidR="00817D9E">
        <w:rPr>
          <w:sz w:val="28"/>
          <w:szCs w:val="28"/>
        </w:rPr>
        <w:t xml:space="preserve"> The Task Force agreed to consider the proposal and worked with members of the legal community to draft this proposed </w:t>
      </w:r>
      <w:r w:rsidR="00895DBE">
        <w:rPr>
          <w:sz w:val="28"/>
          <w:szCs w:val="28"/>
        </w:rPr>
        <w:t>rule a</w:t>
      </w:r>
      <w:r w:rsidR="00817D9E">
        <w:rPr>
          <w:sz w:val="28"/>
          <w:szCs w:val="28"/>
        </w:rPr>
        <w:t>mendment.</w:t>
      </w:r>
    </w:p>
    <w:p w14:paraId="61E84D02" w14:textId="77777777" w:rsidR="00817D9E" w:rsidRDefault="00ED6FF3" w:rsidP="00817D9E">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ED6FF3">
        <w:rPr>
          <w:sz w:val="28"/>
          <w:szCs w:val="28"/>
        </w:rPr>
        <w:t>Although Rule 38(d) currently allows recent law graduates to engage in a limited practice of law until the first offering of the Arizona bar examination,</w:t>
      </w:r>
      <w:r w:rsidRPr="00ED6FF3">
        <w:rPr>
          <w:rStyle w:val="FootnoteReference"/>
          <w:sz w:val="28"/>
          <w:szCs w:val="28"/>
        </w:rPr>
        <w:footnoteReference w:id="2"/>
      </w:r>
      <w:r w:rsidRPr="00ED6FF3">
        <w:rPr>
          <w:sz w:val="28"/>
          <w:szCs w:val="28"/>
        </w:rPr>
        <w:t xml:space="preserve"> the rule was drafted in a way that downplayed or masked this opportunity for recent law graduates.  </w:t>
      </w:r>
      <w:r w:rsidR="00504614">
        <w:rPr>
          <w:sz w:val="28"/>
          <w:szCs w:val="28"/>
        </w:rPr>
        <w:t>Further, c</w:t>
      </w:r>
      <w:r w:rsidRPr="00ED6FF3">
        <w:rPr>
          <w:sz w:val="28"/>
          <w:szCs w:val="28"/>
        </w:rPr>
        <w:t>urrent Rule 38(d) is unduly complicated and unclear in large part and fails to include certain program essentials.  Thus, the amendments</w:t>
      </w:r>
      <w:r w:rsidR="00817D9E">
        <w:rPr>
          <w:sz w:val="28"/>
          <w:szCs w:val="28"/>
        </w:rPr>
        <w:t xml:space="preserve"> proposed in this petition</w:t>
      </w:r>
      <w:r w:rsidRPr="00ED6FF3">
        <w:rPr>
          <w:sz w:val="28"/>
          <w:szCs w:val="28"/>
        </w:rPr>
        <w:t xml:space="preserve"> revise and reorganize the rule for clarity and substantive completeness.  As revised, the proposed rule sets out the program requirements and practice restrictions for both law students and recent law graduates in a clear, organized, consistent, and complete manner.</w:t>
      </w:r>
    </w:p>
    <w:p w14:paraId="27DF355F" w14:textId="77777777" w:rsidR="00817D9E" w:rsidRPr="00076A41" w:rsidRDefault="003F2D05" w:rsidP="00895DBE">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FE7D74">
        <w:rPr>
          <w:sz w:val="28"/>
          <w:szCs w:val="28"/>
        </w:rPr>
        <w:t xml:space="preserve">The </w:t>
      </w:r>
      <w:r w:rsidR="00896C76">
        <w:rPr>
          <w:sz w:val="28"/>
          <w:szCs w:val="28"/>
        </w:rPr>
        <w:t xml:space="preserve">Task Force presented its recommendation to the Arizona Judicial Council (“AJC”) on October 24, 2019.  The </w:t>
      </w:r>
      <w:r w:rsidR="00896C76" w:rsidRPr="00FE7D74">
        <w:rPr>
          <w:sz w:val="28"/>
          <w:szCs w:val="28"/>
        </w:rPr>
        <w:t>Report and Recommendations of the Task Force (</w:t>
      </w:r>
      <w:r w:rsidR="00896C76" w:rsidRPr="00FE7D74">
        <w:rPr>
          <w:i/>
          <w:sz w:val="28"/>
          <w:szCs w:val="28"/>
        </w:rPr>
        <w:t>Report</w:t>
      </w:r>
      <w:r w:rsidR="00896C76">
        <w:rPr>
          <w:sz w:val="28"/>
          <w:szCs w:val="28"/>
        </w:rPr>
        <w:t xml:space="preserve">), along with other Task Force information, can be found at the Task Force’s webpage: </w:t>
      </w:r>
      <w:hyperlink r:id="rId12" w:history="1">
        <w:r w:rsidR="00896C76" w:rsidRPr="00896C76">
          <w:rPr>
            <w:rStyle w:val="Hyperlink"/>
            <w:sz w:val="28"/>
            <w:szCs w:val="28"/>
          </w:rPr>
          <w:t>https://www.azcourts.gov/cscommittees/Legal-Services-Task-Force</w:t>
        </w:r>
      </w:hyperlink>
      <w:r w:rsidR="00896C76" w:rsidRPr="00896C76">
        <w:rPr>
          <w:sz w:val="28"/>
          <w:szCs w:val="28"/>
        </w:rPr>
        <w:t>.</w:t>
      </w:r>
      <w:r w:rsidR="00896C76">
        <w:t xml:space="preserve"> </w:t>
      </w:r>
      <w:r w:rsidR="00896C76">
        <w:rPr>
          <w:sz w:val="28"/>
          <w:szCs w:val="28"/>
        </w:rPr>
        <w:t xml:space="preserve">The </w:t>
      </w:r>
      <w:r w:rsidR="00896C76">
        <w:rPr>
          <w:sz w:val="28"/>
          <w:szCs w:val="28"/>
        </w:rPr>
        <w:lastRenderedPageBreak/>
        <w:t xml:space="preserve">AJC adopted all recommendations of the Task Force, including the recommendation to </w:t>
      </w:r>
      <w:r w:rsidR="00817D9E">
        <w:rPr>
          <w:sz w:val="28"/>
          <w:szCs w:val="28"/>
        </w:rPr>
        <w:t>amend Rule 38</w:t>
      </w:r>
      <w:r w:rsidR="00895DBE">
        <w:rPr>
          <w:sz w:val="28"/>
          <w:szCs w:val="28"/>
        </w:rPr>
        <w:t>(d)</w:t>
      </w:r>
      <w:r w:rsidR="00896C76">
        <w:rPr>
          <w:sz w:val="28"/>
          <w:szCs w:val="28"/>
        </w:rPr>
        <w:t xml:space="preserve">, identified as Recommendation </w:t>
      </w:r>
      <w:r w:rsidR="00817D9E">
        <w:rPr>
          <w:sz w:val="28"/>
          <w:szCs w:val="28"/>
        </w:rPr>
        <w:t>4</w:t>
      </w:r>
      <w:r w:rsidR="00896C76">
        <w:rPr>
          <w:sz w:val="28"/>
          <w:szCs w:val="28"/>
        </w:rPr>
        <w:t xml:space="preserve"> of the report. </w:t>
      </w:r>
      <w:r>
        <w:rPr>
          <w:sz w:val="28"/>
          <w:szCs w:val="28"/>
        </w:rPr>
        <w:t xml:space="preserve"> </w:t>
      </w:r>
    </w:p>
    <w:p w14:paraId="390F49B7" w14:textId="77777777" w:rsidR="00C41CA7" w:rsidRPr="00FD45C7" w:rsidRDefault="00C41CA7" w:rsidP="00817D9E">
      <w:pPr>
        <w:numPr>
          <w:ilvl w:val="0"/>
          <w:numId w:val="1"/>
        </w:numPr>
        <w:tabs>
          <w:tab w:val="clear" w:pos="1080"/>
          <w:tab w:val="num" w:pos="720"/>
        </w:tabs>
        <w:autoSpaceDE w:val="0"/>
        <w:autoSpaceDN w:val="0"/>
        <w:adjustRightInd w:val="0"/>
        <w:ind w:left="720"/>
        <w:rPr>
          <w:b/>
          <w:sz w:val="28"/>
          <w:szCs w:val="28"/>
        </w:rPr>
      </w:pPr>
      <w:r w:rsidRPr="00FD45C7">
        <w:rPr>
          <w:b/>
          <w:sz w:val="28"/>
          <w:szCs w:val="28"/>
        </w:rPr>
        <w:t xml:space="preserve">SUMMARY OF PROPOSED </w:t>
      </w:r>
      <w:r w:rsidR="001A3658" w:rsidRPr="00FD45C7">
        <w:rPr>
          <w:b/>
          <w:sz w:val="28"/>
          <w:szCs w:val="28"/>
        </w:rPr>
        <w:t>AMENDMENT</w:t>
      </w:r>
      <w:r w:rsidR="00675C9C">
        <w:rPr>
          <w:b/>
          <w:sz w:val="28"/>
          <w:szCs w:val="28"/>
        </w:rPr>
        <w:t>S</w:t>
      </w:r>
      <w:r w:rsidR="00D27B00" w:rsidRPr="00FD45C7">
        <w:rPr>
          <w:b/>
          <w:sz w:val="28"/>
          <w:szCs w:val="28"/>
        </w:rPr>
        <w:t xml:space="preserve"> TO ARIZONA RULE OF </w:t>
      </w:r>
      <w:r w:rsidR="00896C76">
        <w:rPr>
          <w:b/>
          <w:sz w:val="28"/>
          <w:szCs w:val="28"/>
        </w:rPr>
        <w:t>SUPR</w:t>
      </w:r>
      <w:r w:rsidR="002B0EC3">
        <w:rPr>
          <w:b/>
          <w:sz w:val="28"/>
          <w:szCs w:val="28"/>
        </w:rPr>
        <w:t>E</w:t>
      </w:r>
      <w:r w:rsidR="00896C76">
        <w:rPr>
          <w:b/>
          <w:sz w:val="28"/>
          <w:szCs w:val="28"/>
        </w:rPr>
        <w:t>ME COURT 3</w:t>
      </w:r>
      <w:r w:rsidR="002B0EC3">
        <w:rPr>
          <w:b/>
          <w:sz w:val="28"/>
          <w:szCs w:val="28"/>
        </w:rPr>
        <w:t>8(d)</w:t>
      </w:r>
      <w:r w:rsidR="00C91FC5">
        <w:rPr>
          <w:b/>
          <w:sz w:val="28"/>
          <w:szCs w:val="28"/>
        </w:rPr>
        <w:t>.</w:t>
      </w:r>
    </w:p>
    <w:p w14:paraId="1A8BC0E8" w14:textId="77777777" w:rsidR="00D27B00" w:rsidRDefault="00D27B00" w:rsidP="000908C9">
      <w:pPr>
        <w:rPr>
          <w:b/>
          <w:sz w:val="28"/>
          <w:szCs w:val="28"/>
        </w:rPr>
      </w:pPr>
    </w:p>
    <w:p w14:paraId="7E744C6F" w14:textId="77777777" w:rsidR="00B44CA0" w:rsidRDefault="002B0EC3" w:rsidP="00ED6FF3">
      <w:pPr>
        <w:spacing w:line="480" w:lineRule="auto"/>
        <w:ind w:firstLine="720"/>
        <w:jc w:val="both"/>
        <w:rPr>
          <w:sz w:val="28"/>
          <w:szCs w:val="28"/>
        </w:rPr>
      </w:pPr>
      <w:r w:rsidRPr="00817D9E">
        <w:rPr>
          <w:sz w:val="28"/>
        </w:rPr>
        <w:t>In Arizona, law students can practice law under the supervision of a licensed attorney in accordance with Arizona Supreme Court Rule 38(d</w:t>
      </w:r>
      <w:r w:rsidRPr="00CD3126">
        <w:rPr>
          <w:sz w:val="28"/>
          <w:szCs w:val="28"/>
        </w:rPr>
        <w:t xml:space="preserve">).  </w:t>
      </w:r>
      <w:r w:rsidR="00B44CA0" w:rsidRPr="00CD3126">
        <w:rPr>
          <w:sz w:val="28"/>
          <w:szCs w:val="28"/>
        </w:rPr>
        <w:t>Participants in this li</w:t>
      </w:r>
      <w:r w:rsidRPr="00CD3126">
        <w:rPr>
          <w:sz w:val="28"/>
          <w:szCs w:val="28"/>
        </w:rPr>
        <w:t xml:space="preserve">mited practice </w:t>
      </w:r>
      <w:r w:rsidR="00B44CA0" w:rsidRPr="00CD3126">
        <w:rPr>
          <w:sz w:val="28"/>
          <w:szCs w:val="28"/>
        </w:rPr>
        <w:t>of law must be</w:t>
      </w:r>
      <w:r w:rsidRPr="00CD3126">
        <w:rPr>
          <w:sz w:val="28"/>
          <w:szCs w:val="28"/>
        </w:rPr>
        <w:t xml:space="preserve"> supervised by an attorney in a public or private legal office or by a clinical law professor in conjunction with a law school clinical program.  As discussed above, although Rule 38(d) currently allows recent law graduates to engage in a limited practice of law until the first offering of the Arizona bar examination, the rule was drafted in a way that downplayed or masked this opportunity for recent law graduates. </w:t>
      </w:r>
      <w:r w:rsidR="00ED6FF3" w:rsidRPr="00CD3126">
        <w:rPr>
          <w:sz w:val="28"/>
          <w:szCs w:val="28"/>
        </w:rPr>
        <w:t>The proposed amendments clarify that recent law graduates may be certified to engage in the limited practice of law under the</w:t>
      </w:r>
      <w:r w:rsidR="00ED6FF3" w:rsidRPr="00817D9E">
        <w:rPr>
          <w:sz w:val="28"/>
          <w:szCs w:val="28"/>
        </w:rPr>
        <w:t xml:space="preserve"> supervision of an attorney.  </w:t>
      </w:r>
      <w:r w:rsidR="00817D9E">
        <w:rPr>
          <w:sz w:val="28"/>
        </w:rPr>
        <w:t>T</w:t>
      </w:r>
      <w:r w:rsidR="00ED6FF3" w:rsidRPr="00817D9E">
        <w:rPr>
          <w:sz w:val="28"/>
          <w:szCs w:val="28"/>
        </w:rPr>
        <w:t xml:space="preserve">he proposed amendments also </w:t>
      </w:r>
      <w:r w:rsidR="00B44CA0">
        <w:rPr>
          <w:sz w:val="28"/>
          <w:szCs w:val="28"/>
        </w:rPr>
        <w:t>clarify</w:t>
      </w:r>
      <w:r w:rsidR="00ED6FF3" w:rsidRPr="00817D9E">
        <w:rPr>
          <w:sz w:val="28"/>
          <w:szCs w:val="28"/>
        </w:rPr>
        <w:t xml:space="preserve"> that </w:t>
      </w:r>
      <w:r w:rsidR="00504614">
        <w:rPr>
          <w:sz w:val="28"/>
          <w:szCs w:val="28"/>
        </w:rPr>
        <w:t>neither law students nor law graduates must also participate in</w:t>
      </w:r>
      <w:r w:rsidR="00ED6FF3" w:rsidRPr="00817D9E">
        <w:rPr>
          <w:sz w:val="28"/>
          <w:szCs w:val="28"/>
        </w:rPr>
        <w:t xml:space="preserve"> a clinical law program. </w:t>
      </w:r>
    </w:p>
    <w:p w14:paraId="4EA53B74" w14:textId="77777777" w:rsidR="00ED6FF3" w:rsidRPr="00817D9E" w:rsidRDefault="00ED6FF3" w:rsidP="00ED6FF3">
      <w:pPr>
        <w:spacing w:line="480" w:lineRule="auto"/>
        <w:ind w:firstLine="720"/>
        <w:jc w:val="both"/>
        <w:rPr>
          <w:sz w:val="28"/>
          <w:szCs w:val="28"/>
        </w:rPr>
      </w:pPr>
      <w:r w:rsidRPr="00817D9E">
        <w:rPr>
          <w:sz w:val="28"/>
          <w:szCs w:val="28"/>
        </w:rPr>
        <w:t xml:space="preserve"> At least 16 states allow recent law graduates to engage in the limited practice of law post-graduation and pre-bar admission.  These state programs share common features:</w:t>
      </w:r>
    </w:p>
    <w:p w14:paraId="33E6B82B" w14:textId="77777777" w:rsidR="00ED6FF3" w:rsidRPr="00817D9E" w:rsidRDefault="00ED6FF3" w:rsidP="00817D9E">
      <w:pPr>
        <w:pStyle w:val="ListParagraph"/>
        <w:numPr>
          <w:ilvl w:val="0"/>
          <w:numId w:val="3"/>
        </w:numPr>
        <w:spacing w:after="160" w:line="480" w:lineRule="auto"/>
        <w:ind w:left="720"/>
        <w:contextualSpacing/>
        <w:jc w:val="both"/>
        <w:rPr>
          <w:sz w:val="28"/>
          <w:szCs w:val="28"/>
        </w:rPr>
      </w:pPr>
      <w:r w:rsidRPr="00817D9E">
        <w:rPr>
          <w:sz w:val="28"/>
          <w:szCs w:val="28"/>
        </w:rPr>
        <w:t xml:space="preserve">All programs have specified durations.  For example, some programs authorize practice only during the period in which the graduate has applied to take the first bar examination after his or her graduation and is awaiting the </w:t>
      </w:r>
      <w:r w:rsidRPr="00817D9E">
        <w:rPr>
          <w:sz w:val="28"/>
          <w:szCs w:val="28"/>
        </w:rPr>
        <w:lastRenderedPageBreak/>
        <w:t>results.  Other programs include similar restrictions and incorporate a tiered expiration date for the authorization to practice, such as no later than 12 or 18 months after the graduate graduated from law school.</w:t>
      </w:r>
    </w:p>
    <w:p w14:paraId="35341A18" w14:textId="77777777" w:rsidR="00ED6FF3" w:rsidRPr="00817D9E" w:rsidRDefault="00ED6FF3" w:rsidP="00817D9E">
      <w:pPr>
        <w:pStyle w:val="ListParagraph"/>
        <w:numPr>
          <w:ilvl w:val="0"/>
          <w:numId w:val="3"/>
        </w:numPr>
        <w:spacing w:after="160" w:line="480" w:lineRule="auto"/>
        <w:ind w:left="720"/>
        <w:contextualSpacing/>
        <w:jc w:val="both"/>
        <w:rPr>
          <w:sz w:val="28"/>
          <w:szCs w:val="28"/>
        </w:rPr>
      </w:pPr>
      <w:r w:rsidRPr="00817D9E">
        <w:rPr>
          <w:sz w:val="28"/>
          <w:szCs w:val="28"/>
        </w:rPr>
        <w:t>Most of these programs authorize graduates to practice law to the same extent law students are authorized to practice law under programs like existing Rule 38(d)(5).  Thus, graduates are permitted to meet with clients, go to court, try cases, argue motions, and the like.  Most of the states authorize graduates to handle civil and criminal cases, although some restrict the criminal cases to misdemeanors or less-serious felonies.</w:t>
      </w:r>
    </w:p>
    <w:p w14:paraId="2AD9E7B5" w14:textId="77777777" w:rsidR="00ED6FF3" w:rsidRPr="00817D9E" w:rsidRDefault="00ED6FF3" w:rsidP="00817D9E">
      <w:pPr>
        <w:pStyle w:val="ListParagraph"/>
        <w:numPr>
          <w:ilvl w:val="0"/>
          <w:numId w:val="3"/>
        </w:numPr>
        <w:spacing w:after="160" w:line="480" w:lineRule="auto"/>
        <w:ind w:left="720"/>
        <w:contextualSpacing/>
        <w:jc w:val="both"/>
        <w:rPr>
          <w:sz w:val="28"/>
          <w:szCs w:val="28"/>
        </w:rPr>
      </w:pPr>
      <w:r w:rsidRPr="00817D9E">
        <w:rPr>
          <w:sz w:val="28"/>
          <w:szCs w:val="28"/>
        </w:rPr>
        <w:t>Several programs authorize graduates to practice for certain type</w:t>
      </w:r>
      <w:r w:rsidR="00C80112">
        <w:rPr>
          <w:sz w:val="28"/>
          <w:szCs w:val="28"/>
        </w:rPr>
        <w:t>s</w:t>
      </w:r>
      <w:r w:rsidRPr="00817D9E">
        <w:rPr>
          <w:sz w:val="28"/>
          <w:szCs w:val="28"/>
        </w:rPr>
        <w:t xml:space="preserve"> of employers, such as legal-aid clinics, public defenders, prosecutor’s offices, or city, county, and state offices or agencies.</w:t>
      </w:r>
    </w:p>
    <w:p w14:paraId="049ACE31" w14:textId="77777777" w:rsidR="00ED6FF3" w:rsidRPr="00817D9E" w:rsidRDefault="00ED6FF3" w:rsidP="00817D9E">
      <w:pPr>
        <w:pStyle w:val="ListParagraph"/>
        <w:numPr>
          <w:ilvl w:val="0"/>
          <w:numId w:val="3"/>
        </w:numPr>
        <w:spacing w:after="160" w:line="480" w:lineRule="auto"/>
        <w:ind w:left="720"/>
        <w:contextualSpacing/>
        <w:jc w:val="both"/>
        <w:rPr>
          <w:sz w:val="28"/>
          <w:szCs w:val="28"/>
        </w:rPr>
      </w:pPr>
      <w:r w:rsidRPr="00817D9E">
        <w:rPr>
          <w:sz w:val="28"/>
          <w:szCs w:val="28"/>
        </w:rPr>
        <w:t xml:space="preserve">Many programs impose supervisory requirements that are </w:t>
      </w:r>
      <w:proofErr w:type="gramStart"/>
      <w:r w:rsidRPr="00817D9E">
        <w:rPr>
          <w:sz w:val="28"/>
          <w:szCs w:val="28"/>
        </w:rPr>
        <w:t>similar to</w:t>
      </w:r>
      <w:proofErr w:type="gramEnd"/>
      <w:r w:rsidRPr="00817D9E">
        <w:rPr>
          <w:sz w:val="28"/>
          <w:szCs w:val="28"/>
        </w:rPr>
        <w:t xml:space="preserve"> the supervisory requirements imposed under existing Rule 38(d).</w:t>
      </w:r>
    </w:p>
    <w:p w14:paraId="41E4F38F" w14:textId="77777777" w:rsidR="00ED6FF3" w:rsidRPr="00817D9E" w:rsidRDefault="00ED6FF3" w:rsidP="00817D9E">
      <w:pPr>
        <w:pStyle w:val="ListParagraph"/>
        <w:numPr>
          <w:ilvl w:val="0"/>
          <w:numId w:val="3"/>
        </w:numPr>
        <w:spacing w:after="160" w:line="480" w:lineRule="auto"/>
        <w:ind w:left="720"/>
        <w:contextualSpacing/>
        <w:jc w:val="both"/>
        <w:rPr>
          <w:sz w:val="28"/>
          <w:szCs w:val="28"/>
        </w:rPr>
      </w:pPr>
      <w:r w:rsidRPr="00817D9E">
        <w:rPr>
          <w:sz w:val="28"/>
          <w:szCs w:val="28"/>
        </w:rPr>
        <w:t xml:space="preserve">A few programs require the dean of the graduate’s law school, or the graduate’s proposed supervising attorney, to certify the graduate’s good character and competence to the state supreme court or another entity.  Other programs simply require the employer to comply with the requirements of the program and do not require the employer to file any other documentation with any court or state agency. </w:t>
      </w:r>
    </w:p>
    <w:p w14:paraId="076092EA" w14:textId="77777777" w:rsidR="00ED6FF3" w:rsidRPr="00817D9E" w:rsidRDefault="00ED6FF3" w:rsidP="00ED6FF3">
      <w:pPr>
        <w:spacing w:line="480" w:lineRule="auto"/>
        <w:jc w:val="both"/>
        <w:rPr>
          <w:sz w:val="28"/>
          <w:szCs w:val="28"/>
        </w:rPr>
      </w:pPr>
      <w:r w:rsidRPr="00817D9E">
        <w:rPr>
          <w:sz w:val="28"/>
          <w:szCs w:val="28"/>
        </w:rPr>
        <w:lastRenderedPageBreak/>
        <w:tab/>
        <w:t xml:space="preserve">Although these other state programs vary in operational details, they all provide a means by which law students and non-licensed law graduates may practice law, and effectively result in expanding the delivery of legal services, especially by public agencies or public service groups that provide legal services to individuals with limited resources.  These programs do this by allowing recent law school graduates in the process of becoming licensed to gain experience by practicing law under the supervision of admitted lawyers for a limited duration.  Because this limited exception to licensure is anticipated to benefit the public, the </w:t>
      </w:r>
      <w:r w:rsidR="00B44CA0">
        <w:rPr>
          <w:sz w:val="28"/>
          <w:szCs w:val="28"/>
        </w:rPr>
        <w:t>T</w:t>
      </w:r>
      <w:r w:rsidRPr="00817D9E">
        <w:rPr>
          <w:sz w:val="28"/>
          <w:szCs w:val="28"/>
        </w:rPr>
        <w:t xml:space="preserve">ask </w:t>
      </w:r>
      <w:r w:rsidR="00B44CA0">
        <w:rPr>
          <w:sz w:val="28"/>
          <w:szCs w:val="28"/>
        </w:rPr>
        <w:t>F</w:t>
      </w:r>
      <w:r w:rsidRPr="00817D9E">
        <w:rPr>
          <w:sz w:val="28"/>
          <w:szCs w:val="28"/>
        </w:rPr>
        <w:t>orce’s proposed amendments to Rule 38(d) fall squarely within the mandate to consider and evaluate new models for delivering legal services.</w:t>
      </w:r>
    </w:p>
    <w:p w14:paraId="1EF0C5F2" w14:textId="77777777" w:rsidR="00ED6FF3" w:rsidRDefault="00ED6FF3" w:rsidP="00ED6FF3">
      <w:pPr>
        <w:spacing w:line="480" w:lineRule="auto"/>
        <w:jc w:val="both"/>
        <w:rPr>
          <w:sz w:val="28"/>
          <w:szCs w:val="28"/>
        </w:rPr>
      </w:pPr>
      <w:r w:rsidRPr="00817D9E">
        <w:rPr>
          <w:sz w:val="28"/>
          <w:szCs w:val="28"/>
        </w:rPr>
        <w:tab/>
        <w:t xml:space="preserve">Further, the amendments would eliminate, or at least lessen, many of the practical problems experienced by law school graduates given the workload of the individuals involved in the admission and character and fitness process.  The amendments permit recent law graduates to practice under the supervision of a lawyer after graduation from an ABA accredited law school if the graduate takes the first Arizona uniform bar examination, or the first uniform bar examination offered in another state for which the graduate is eligible.  Certification to practice terminates automatically if the graduate fails the bar examination, if the Committee on Character and Fitness does not recommend to the Supreme Court the graduate’s admission to practice, if the graduate is denied admission to practice law by the Supreme Court, or on the expiration of 12 months from the date of the graduate’s </w:t>
      </w:r>
      <w:r w:rsidRPr="00817D9E">
        <w:rPr>
          <w:sz w:val="28"/>
          <w:szCs w:val="28"/>
        </w:rPr>
        <w:lastRenderedPageBreak/>
        <w:t xml:space="preserve">graduation from law school unless the Supreme Court extends the 12-month period. If the graduate passes the bar examination, certification terminates 30 days after the graduate has been notified of approval for admission to practice and eligibility to take the oath of admission.  Certification to practice for both graduates and law students also terminates on the occurrence of other events such as failure to meet the requirements for certification. </w:t>
      </w:r>
    </w:p>
    <w:p w14:paraId="15E68B77" w14:textId="77777777" w:rsidR="00C80112" w:rsidRDefault="00504614" w:rsidP="00FF09E1">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Pr>
          <w:sz w:val="28"/>
          <w:szCs w:val="28"/>
        </w:rPr>
        <w:tab/>
        <w:t>Finally, the amendments set</w:t>
      </w:r>
      <w:r w:rsidRPr="00ED6FF3">
        <w:rPr>
          <w:sz w:val="28"/>
          <w:szCs w:val="28"/>
        </w:rPr>
        <w:t xml:space="preserve"> out the program requirements and practice restrictions for both law students and recent law graduates in a clea</w:t>
      </w:r>
      <w:r>
        <w:rPr>
          <w:sz w:val="28"/>
          <w:szCs w:val="28"/>
        </w:rPr>
        <w:t xml:space="preserve">r, </w:t>
      </w:r>
      <w:r w:rsidRPr="00ED6FF3">
        <w:rPr>
          <w:sz w:val="28"/>
          <w:szCs w:val="28"/>
        </w:rPr>
        <w:t>organized, consistent, and complete manner.</w:t>
      </w:r>
      <w:r>
        <w:rPr>
          <w:sz w:val="28"/>
          <w:szCs w:val="28"/>
        </w:rPr>
        <w:t xml:space="preserve"> </w:t>
      </w:r>
      <w:r w:rsidR="00CE1B1A">
        <w:rPr>
          <w:sz w:val="28"/>
          <w:szCs w:val="28"/>
        </w:rPr>
        <w:t xml:space="preserve">Thus, </w:t>
      </w:r>
      <w:r>
        <w:rPr>
          <w:sz w:val="28"/>
          <w:szCs w:val="28"/>
        </w:rPr>
        <w:t xml:space="preserve">for example, the amendments separately set out the program details for law students and law </w:t>
      </w:r>
      <w:r w:rsidR="005C1A82">
        <w:rPr>
          <w:sz w:val="28"/>
          <w:szCs w:val="28"/>
        </w:rPr>
        <w:t>graduates and</w:t>
      </w:r>
      <w:r>
        <w:rPr>
          <w:sz w:val="28"/>
          <w:szCs w:val="28"/>
        </w:rPr>
        <w:t xml:space="preserve"> </w:t>
      </w:r>
      <w:r w:rsidR="00CE1B1A">
        <w:rPr>
          <w:sz w:val="28"/>
          <w:szCs w:val="28"/>
        </w:rPr>
        <w:t>clarify</w:t>
      </w:r>
      <w:r>
        <w:rPr>
          <w:sz w:val="28"/>
          <w:szCs w:val="28"/>
        </w:rPr>
        <w:t xml:space="preserve"> </w:t>
      </w:r>
      <w:r w:rsidR="00CE1B1A">
        <w:rPr>
          <w:sz w:val="28"/>
          <w:szCs w:val="28"/>
        </w:rPr>
        <w:t xml:space="preserve">as well as simplify </w:t>
      </w:r>
      <w:r>
        <w:rPr>
          <w:sz w:val="28"/>
          <w:szCs w:val="28"/>
        </w:rPr>
        <w:t xml:space="preserve">the supervisory obligations </w:t>
      </w:r>
      <w:r w:rsidR="00CE1B1A">
        <w:rPr>
          <w:sz w:val="28"/>
          <w:szCs w:val="28"/>
        </w:rPr>
        <w:t>of the</w:t>
      </w:r>
      <w:r>
        <w:rPr>
          <w:sz w:val="28"/>
          <w:szCs w:val="28"/>
        </w:rPr>
        <w:t xml:space="preserve"> supervising </w:t>
      </w:r>
      <w:r w:rsidR="00CE1B1A">
        <w:rPr>
          <w:sz w:val="28"/>
          <w:szCs w:val="28"/>
        </w:rPr>
        <w:t>attorneys.</w:t>
      </w:r>
    </w:p>
    <w:p w14:paraId="488110B3" w14:textId="77777777" w:rsidR="00C41CA7" w:rsidRPr="00FD45C7" w:rsidRDefault="00C41CA7" w:rsidP="00716C66">
      <w:pPr>
        <w:spacing w:line="480" w:lineRule="auto"/>
        <w:jc w:val="center"/>
        <w:rPr>
          <w:b/>
          <w:sz w:val="28"/>
          <w:szCs w:val="28"/>
        </w:rPr>
      </w:pPr>
      <w:r w:rsidRPr="00FD45C7">
        <w:rPr>
          <w:b/>
          <w:sz w:val="28"/>
          <w:szCs w:val="28"/>
        </w:rPr>
        <w:t>CONCLUSION</w:t>
      </w:r>
    </w:p>
    <w:p w14:paraId="1A6A6CE9" w14:textId="77777777" w:rsidR="00C41CA7" w:rsidRPr="00FD45C7" w:rsidRDefault="00C41CA7" w:rsidP="00716C66">
      <w:pPr>
        <w:spacing w:line="480" w:lineRule="auto"/>
        <w:ind w:firstLine="720"/>
        <w:jc w:val="both"/>
        <w:rPr>
          <w:bCs/>
          <w:sz w:val="28"/>
          <w:szCs w:val="28"/>
        </w:rPr>
      </w:pPr>
      <w:r w:rsidRPr="00FD45C7">
        <w:rPr>
          <w:bCs/>
          <w:sz w:val="28"/>
          <w:szCs w:val="28"/>
        </w:rPr>
        <w:t>Petitioner respectfully request</w:t>
      </w:r>
      <w:r w:rsidR="005C1A82">
        <w:rPr>
          <w:bCs/>
          <w:sz w:val="28"/>
          <w:szCs w:val="28"/>
        </w:rPr>
        <w:t>s</w:t>
      </w:r>
      <w:r w:rsidRPr="00FD45C7">
        <w:rPr>
          <w:bCs/>
          <w:sz w:val="28"/>
          <w:szCs w:val="28"/>
        </w:rPr>
        <w:t xml:space="preserve"> that the Court consider this petition and proposed rule</w:t>
      </w:r>
      <w:r w:rsidR="00D27B00" w:rsidRPr="00FD45C7">
        <w:rPr>
          <w:bCs/>
          <w:sz w:val="28"/>
          <w:szCs w:val="28"/>
        </w:rPr>
        <w:t xml:space="preserve"> change</w:t>
      </w:r>
      <w:r w:rsidR="002D59CB">
        <w:rPr>
          <w:bCs/>
          <w:sz w:val="28"/>
          <w:szCs w:val="28"/>
        </w:rPr>
        <w:t>s</w:t>
      </w:r>
      <w:r w:rsidRPr="00FD45C7">
        <w:rPr>
          <w:bCs/>
          <w:sz w:val="28"/>
          <w:szCs w:val="28"/>
        </w:rPr>
        <w:t xml:space="preserve"> at its earliest convenience. Petitioner additionally request</w:t>
      </w:r>
      <w:r w:rsidR="00645C89">
        <w:rPr>
          <w:bCs/>
          <w:sz w:val="28"/>
          <w:szCs w:val="28"/>
        </w:rPr>
        <w:t>s</w:t>
      </w:r>
      <w:r w:rsidRPr="00FD45C7">
        <w:rPr>
          <w:bCs/>
          <w:sz w:val="28"/>
          <w:szCs w:val="28"/>
        </w:rPr>
        <w:t xml:space="preserve"> that the petition be circulated for public comment</w:t>
      </w:r>
      <w:r w:rsidR="00D27B00" w:rsidRPr="00FD45C7">
        <w:rPr>
          <w:bCs/>
          <w:sz w:val="28"/>
          <w:szCs w:val="28"/>
        </w:rPr>
        <w:t>,</w:t>
      </w:r>
      <w:r w:rsidRPr="00FD45C7">
        <w:rPr>
          <w:bCs/>
          <w:sz w:val="28"/>
          <w:szCs w:val="28"/>
        </w:rPr>
        <w:t xml:space="preserve"> and that the </w:t>
      </w:r>
      <w:r w:rsidR="000E7EE1" w:rsidRPr="00FD45C7">
        <w:rPr>
          <w:bCs/>
          <w:sz w:val="28"/>
          <w:szCs w:val="28"/>
        </w:rPr>
        <w:t>C</w:t>
      </w:r>
      <w:r w:rsidRPr="00FD45C7">
        <w:rPr>
          <w:bCs/>
          <w:sz w:val="28"/>
          <w:szCs w:val="28"/>
        </w:rPr>
        <w:t>ourt adopt the proposed r</w:t>
      </w:r>
      <w:r w:rsidR="00DF54BF" w:rsidRPr="00FD45C7">
        <w:rPr>
          <w:bCs/>
          <w:sz w:val="28"/>
          <w:szCs w:val="28"/>
        </w:rPr>
        <w:t>ule</w:t>
      </w:r>
      <w:r w:rsidR="008A5FC2">
        <w:rPr>
          <w:bCs/>
          <w:sz w:val="28"/>
          <w:szCs w:val="28"/>
        </w:rPr>
        <w:t>s</w:t>
      </w:r>
      <w:r w:rsidRPr="00FD45C7">
        <w:rPr>
          <w:bCs/>
          <w:sz w:val="28"/>
          <w:szCs w:val="28"/>
        </w:rPr>
        <w:t xml:space="preserve"> as </w:t>
      </w:r>
      <w:r w:rsidR="008A5FC2">
        <w:rPr>
          <w:bCs/>
          <w:sz w:val="28"/>
          <w:szCs w:val="28"/>
        </w:rPr>
        <w:t>they</w:t>
      </w:r>
      <w:r w:rsidRPr="00FD45C7">
        <w:rPr>
          <w:bCs/>
          <w:sz w:val="28"/>
          <w:szCs w:val="28"/>
        </w:rPr>
        <w:t xml:space="preserve"> currently appear</w:t>
      </w:r>
      <w:r w:rsidR="00B12BA8" w:rsidRPr="00FD45C7">
        <w:rPr>
          <w:bCs/>
          <w:sz w:val="28"/>
          <w:szCs w:val="28"/>
        </w:rPr>
        <w:t>,</w:t>
      </w:r>
      <w:r w:rsidRPr="00FD45C7">
        <w:rPr>
          <w:bCs/>
          <w:sz w:val="28"/>
          <w:szCs w:val="28"/>
        </w:rPr>
        <w:t xml:space="preserve"> or as modified </w:t>
      </w:r>
      <w:r w:rsidR="0074480D" w:rsidRPr="00FD45C7">
        <w:rPr>
          <w:bCs/>
          <w:sz w:val="28"/>
          <w:szCs w:val="28"/>
        </w:rPr>
        <w:t>considering</w:t>
      </w:r>
      <w:r w:rsidRPr="00FD45C7">
        <w:rPr>
          <w:bCs/>
          <w:sz w:val="28"/>
          <w:szCs w:val="28"/>
        </w:rPr>
        <w:t xml:space="preserve"> comments received, with an effective date of January 1, </w:t>
      </w:r>
      <w:r w:rsidR="00896C76">
        <w:rPr>
          <w:bCs/>
          <w:sz w:val="28"/>
          <w:szCs w:val="28"/>
        </w:rPr>
        <w:t>2021</w:t>
      </w:r>
      <w:r w:rsidRPr="00FD45C7">
        <w:rPr>
          <w:bCs/>
          <w:sz w:val="28"/>
          <w:szCs w:val="28"/>
        </w:rPr>
        <w:t>.</w:t>
      </w:r>
    </w:p>
    <w:p w14:paraId="7FE0DDDD" w14:textId="77777777" w:rsidR="00C41CA7" w:rsidRPr="00FD45C7" w:rsidRDefault="00C41CA7" w:rsidP="00CA2B89">
      <w:pPr>
        <w:ind w:firstLine="720"/>
        <w:jc w:val="both"/>
        <w:rPr>
          <w:sz w:val="28"/>
          <w:szCs w:val="28"/>
        </w:rPr>
      </w:pPr>
      <w:r w:rsidRPr="00FD45C7">
        <w:rPr>
          <w:sz w:val="28"/>
          <w:szCs w:val="28"/>
        </w:rPr>
        <w:t xml:space="preserve">DATED this </w:t>
      </w:r>
      <w:r w:rsidR="00086488">
        <w:rPr>
          <w:sz w:val="28"/>
          <w:szCs w:val="28"/>
        </w:rPr>
        <w:t xml:space="preserve">9th </w:t>
      </w:r>
      <w:r w:rsidRPr="00FD45C7">
        <w:rPr>
          <w:sz w:val="28"/>
          <w:szCs w:val="28"/>
        </w:rPr>
        <w:t xml:space="preserve">day of </w:t>
      </w:r>
      <w:proofErr w:type="gramStart"/>
      <w:r w:rsidR="00086488">
        <w:rPr>
          <w:sz w:val="28"/>
          <w:szCs w:val="28"/>
        </w:rPr>
        <w:t>January,</w:t>
      </w:r>
      <w:proofErr w:type="gramEnd"/>
      <w:r w:rsidR="00086488">
        <w:rPr>
          <w:sz w:val="28"/>
          <w:szCs w:val="28"/>
        </w:rPr>
        <w:t xml:space="preserve"> 2020</w:t>
      </w:r>
      <w:r w:rsidRPr="00FD45C7">
        <w:rPr>
          <w:sz w:val="28"/>
          <w:szCs w:val="28"/>
        </w:rPr>
        <w:t>.</w:t>
      </w:r>
    </w:p>
    <w:p w14:paraId="70AC6277" w14:textId="77777777" w:rsidR="00C41CA7" w:rsidRDefault="00C41CA7">
      <w:pPr>
        <w:jc w:val="both"/>
        <w:rPr>
          <w:sz w:val="28"/>
          <w:szCs w:val="28"/>
        </w:rPr>
      </w:pPr>
    </w:p>
    <w:p w14:paraId="204A60C0" w14:textId="77777777" w:rsidR="00C41CA7" w:rsidRPr="00FD45C7" w:rsidRDefault="00C41CA7">
      <w:pPr>
        <w:jc w:val="both"/>
        <w:rPr>
          <w:sz w:val="28"/>
          <w:szCs w:val="28"/>
        </w:rPr>
      </w:pPr>
    </w:p>
    <w:p w14:paraId="606E606B" w14:textId="77777777" w:rsidR="0041229A" w:rsidRPr="00FE507E" w:rsidRDefault="0041229A" w:rsidP="00FF2B36">
      <w:pPr>
        <w:jc w:val="both"/>
        <w:rPr>
          <w:sz w:val="28"/>
          <w:szCs w:val="28"/>
        </w:rPr>
      </w:pPr>
      <w:r w:rsidRPr="00FD45C7">
        <w:rPr>
          <w:sz w:val="28"/>
          <w:szCs w:val="28"/>
        </w:rPr>
        <w:t xml:space="preserve">                                             </w:t>
      </w:r>
      <w:r w:rsidR="00D64A7D">
        <w:rPr>
          <w:sz w:val="28"/>
          <w:szCs w:val="28"/>
        </w:rPr>
        <w:tab/>
      </w:r>
      <w:r w:rsidRPr="00FD45C7">
        <w:rPr>
          <w:sz w:val="28"/>
          <w:szCs w:val="28"/>
        </w:rPr>
        <w:t xml:space="preserve">   </w:t>
      </w:r>
      <w:r w:rsidRPr="00FE507E">
        <w:rPr>
          <w:sz w:val="28"/>
          <w:szCs w:val="28"/>
        </w:rPr>
        <w:t>___</w:t>
      </w:r>
      <w:r w:rsidR="00FE507E" w:rsidRPr="00FE507E">
        <w:rPr>
          <w:sz w:val="28"/>
          <w:szCs w:val="28"/>
        </w:rPr>
        <w:t>/s/</w:t>
      </w:r>
      <w:r w:rsidRPr="00FE507E">
        <w:rPr>
          <w:sz w:val="28"/>
          <w:szCs w:val="28"/>
        </w:rPr>
        <w:t>______________________</w:t>
      </w:r>
    </w:p>
    <w:p w14:paraId="0575CB55" w14:textId="77777777" w:rsidR="0091039C" w:rsidRPr="00FD45C7" w:rsidRDefault="0041229A" w:rsidP="00FF2B36">
      <w:pPr>
        <w:jc w:val="both"/>
        <w:rPr>
          <w:sz w:val="28"/>
          <w:szCs w:val="28"/>
        </w:rPr>
      </w:pPr>
      <w:r w:rsidRPr="00FD45C7">
        <w:rPr>
          <w:sz w:val="28"/>
          <w:szCs w:val="28"/>
        </w:rPr>
        <w:t xml:space="preserve">                                             </w:t>
      </w:r>
      <w:r w:rsidR="00D64A7D">
        <w:rPr>
          <w:sz w:val="28"/>
          <w:szCs w:val="28"/>
        </w:rPr>
        <w:tab/>
      </w:r>
      <w:r w:rsidRPr="00FD45C7">
        <w:rPr>
          <w:sz w:val="28"/>
          <w:szCs w:val="28"/>
        </w:rPr>
        <w:t xml:space="preserve">   </w:t>
      </w:r>
      <w:r w:rsidR="00076A41">
        <w:rPr>
          <w:sz w:val="28"/>
          <w:szCs w:val="28"/>
        </w:rPr>
        <w:t>Dave Byers</w:t>
      </w:r>
    </w:p>
    <w:p w14:paraId="130622EB" w14:textId="77777777" w:rsidR="0041229A" w:rsidRDefault="00C80112" w:rsidP="00D64A7D">
      <w:pPr>
        <w:ind w:left="3810"/>
        <w:jc w:val="both"/>
        <w:rPr>
          <w:sz w:val="28"/>
          <w:szCs w:val="28"/>
        </w:rPr>
      </w:pPr>
      <w:r>
        <w:rPr>
          <w:sz w:val="28"/>
          <w:szCs w:val="28"/>
        </w:rPr>
        <w:t>Executive</w:t>
      </w:r>
      <w:r w:rsidR="00076A41">
        <w:rPr>
          <w:sz w:val="28"/>
          <w:szCs w:val="28"/>
        </w:rPr>
        <w:t xml:space="preserve"> Director</w:t>
      </w:r>
    </w:p>
    <w:p w14:paraId="15C6B47B" w14:textId="71CA71CC" w:rsidR="00ED6FF3" w:rsidRPr="00ED6FF3" w:rsidRDefault="00076A41" w:rsidP="00013DCC">
      <w:pPr>
        <w:ind w:left="3810"/>
        <w:jc w:val="both"/>
        <w:rPr>
          <w:sz w:val="28"/>
          <w:szCs w:val="28"/>
        </w:rPr>
      </w:pPr>
      <w:r>
        <w:rPr>
          <w:sz w:val="28"/>
          <w:szCs w:val="28"/>
        </w:rPr>
        <w:t>Arizona Administrative Office of Courts</w:t>
      </w:r>
    </w:p>
    <w:sectPr w:rsidR="00ED6FF3" w:rsidRPr="00ED6FF3" w:rsidSect="00FF09E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2C6CE" w14:textId="77777777" w:rsidR="005E7CD7" w:rsidRDefault="005E7CD7">
      <w:r>
        <w:separator/>
      </w:r>
    </w:p>
  </w:endnote>
  <w:endnote w:type="continuationSeparator" w:id="0">
    <w:p w14:paraId="5E399659" w14:textId="77777777" w:rsidR="005E7CD7" w:rsidRDefault="005E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6C55" w14:textId="77777777" w:rsidR="005E7CD7" w:rsidRDefault="005E7CD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7EC1" w14:textId="77777777" w:rsidR="005E7CD7" w:rsidRDefault="005E7CD7">
    <w:pPr>
      <w:pStyle w:val="Footer"/>
      <w:jc w:val="center"/>
    </w:pPr>
    <w:r>
      <w:t xml:space="preserve">Page </w:t>
    </w:r>
    <w:r>
      <w:fldChar w:fldCharType="begin"/>
    </w:r>
    <w:r>
      <w:instrText xml:space="preserve"> PAGE </w:instrText>
    </w:r>
    <w:r>
      <w:fldChar w:fldCharType="separate"/>
    </w:r>
    <w:r>
      <w:rPr>
        <w:noProof/>
      </w:rPr>
      <w:t>6</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42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8D1E" w14:textId="77777777" w:rsidR="005E7CD7" w:rsidRDefault="005E7C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BCF4" w14:textId="77777777" w:rsidR="005E7CD7" w:rsidRDefault="005E7CD7">
      <w:r>
        <w:separator/>
      </w:r>
    </w:p>
  </w:footnote>
  <w:footnote w:type="continuationSeparator" w:id="0">
    <w:p w14:paraId="598570FA" w14:textId="77777777" w:rsidR="005E7CD7" w:rsidRDefault="005E7CD7">
      <w:r>
        <w:continuationSeparator/>
      </w:r>
    </w:p>
  </w:footnote>
  <w:footnote w:id="1">
    <w:p w14:paraId="0D5B8EED" w14:textId="77777777" w:rsidR="005E7CD7" w:rsidRPr="00246B14" w:rsidRDefault="005E7CD7">
      <w:pPr>
        <w:pStyle w:val="FootnoteText"/>
        <w:rPr>
          <w:sz w:val="24"/>
          <w:szCs w:val="24"/>
        </w:rPr>
      </w:pPr>
      <w:r w:rsidRPr="00246B14">
        <w:rPr>
          <w:rStyle w:val="FootnoteReference"/>
          <w:sz w:val="24"/>
          <w:szCs w:val="24"/>
        </w:rPr>
        <w:footnoteRef/>
      </w:r>
      <w:r w:rsidRPr="00246B14">
        <w:rPr>
          <w:sz w:val="24"/>
          <w:szCs w:val="24"/>
        </w:rPr>
        <w:t xml:space="preserve"> Mr. Byers files this petition in his capacity of a member of the Task Force.</w:t>
      </w:r>
    </w:p>
  </w:footnote>
  <w:footnote w:id="2">
    <w:p w14:paraId="0C86CE1A" w14:textId="77777777" w:rsidR="005E7CD7" w:rsidRPr="00C80112" w:rsidRDefault="005E7CD7" w:rsidP="00ED6FF3">
      <w:pPr>
        <w:shd w:val="clear" w:color="auto" w:fill="FFFFFF"/>
        <w:jc w:val="both"/>
        <w:rPr>
          <w:szCs w:val="24"/>
        </w:rPr>
      </w:pPr>
      <w:r w:rsidRPr="00C80112">
        <w:rPr>
          <w:rStyle w:val="FootnoteReference"/>
          <w:szCs w:val="24"/>
        </w:rPr>
        <w:footnoteRef/>
      </w:r>
      <w:r w:rsidRPr="00C80112">
        <w:rPr>
          <w:szCs w:val="24"/>
        </w:rPr>
        <w:t xml:space="preserve">  Certification of a certified limited practice student shall commence on the date indicated on a notice of certification and shall remain in effect . . . [until] the certified student fails to take or pass the first general bar examination for which the student is eligible. Ariz. R. S. Ct. 38(d)(5)(F)(iv).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954F" w14:textId="77777777" w:rsidR="005E7CD7" w:rsidRDefault="005E7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12AE" w14:textId="77777777" w:rsidR="005E7CD7" w:rsidRDefault="005E7C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3D91" w14:textId="77777777" w:rsidR="005E7CD7" w:rsidRDefault="005E7CD7">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16E6"/>
    <w:rsid w:val="0001232E"/>
    <w:rsid w:val="00013DCC"/>
    <w:rsid w:val="00014B7A"/>
    <w:rsid w:val="000409A2"/>
    <w:rsid w:val="00041952"/>
    <w:rsid w:val="0004337F"/>
    <w:rsid w:val="0004406E"/>
    <w:rsid w:val="00062BD9"/>
    <w:rsid w:val="00063A90"/>
    <w:rsid w:val="00064955"/>
    <w:rsid w:val="00076A41"/>
    <w:rsid w:val="00077DC8"/>
    <w:rsid w:val="00086488"/>
    <w:rsid w:val="000904CB"/>
    <w:rsid w:val="000908C9"/>
    <w:rsid w:val="000933EF"/>
    <w:rsid w:val="000A717F"/>
    <w:rsid w:val="000B11A7"/>
    <w:rsid w:val="000E0869"/>
    <w:rsid w:val="000E0C4C"/>
    <w:rsid w:val="000E7EE1"/>
    <w:rsid w:val="00102F2E"/>
    <w:rsid w:val="00103628"/>
    <w:rsid w:val="001061DF"/>
    <w:rsid w:val="0011143C"/>
    <w:rsid w:val="0011170B"/>
    <w:rsid w:val="001119DC"/>
    <w:rsid w:val="001121B6"/>
    <w:rsid w:val="00117E7D"/>
    <w:rsid w:val="00117F14"/>
    <w:rsid w:val="001227DA"/>
    <w:rsid w:val="001239F6"/>
    <w:rsid w:val="0012633D"/>
    <w:rsid w:val="00130FC7"/>
    <w:rsid w:val="00131384"/>
    <w:rsid w:val="001451DE"/>
    <w:rsid w:val="001574FF"/>
    <w:rsid w:val="001670B6"/>
    <w:rsid w:val="00167A1B"/>
    <w:rsid w:val="0017703F"/>
    <w:rsid w:val="001A3658"/>
    <w:rsid w:val="001A6A47"/>
    <w:rsid w:val="001A7EF9"/>
    <w:rsid w:val="001B6095"/>
    <w:rsid w:val="001B7582"/>
    <w:rsid w:val="001E171A"/>
    <w:rsid w:val="001E32E3"/>
    <w:rsid w:val="001E3D11"/>
    <w:rsid w:val="00200C4F"/>
    <w:rsid w:val="0020422E"/>
    <w:rsid w:val="00204415"/>
    <w:rsid w:val="00206FCA"/>
    <w:rsid w:val="0021788B"/>
    <w:rsid w:val="00233B1C"/>
    <w:rsid w:val="0024167E"/>
    <w:rsid w:val="00246B14"/>
    <w:rsid w:val="002545BD"/>
    <w:rsid w:val="00254E37"/>
    <w:rsid w:val="00256C41"/>
    <w:rsid w:val="00284430"/>
    <w:rsid w:val="00287D31"/>
    <w:rsid w:val="002913A0"/>
    <w:rsid w:val="00291AB6"/>
    <w:rsid w:val="0029769D"/>
    <w:rsid w:val="002A62C5"/>
    <w:rsid w:val="002B0EC3"/>
    <w:rsid w:val="002C5CE7"/>
    <w:rsid w:val="002C5D8C"/>
    <w:rsid w:val="002C626B"/>
    <w:rsid w:val="002C68A6"/>
    <w:rsid w:val="002D59CB"/>
    <w:rsid w:val="002D6B4B"/>
    <w:rsid w:val="002E1F98"/>
    <w:rsid w:val="002E475E"/>
    <w:rsid w:val="002E6053"/>
    <w:rsid w:val="002F59AF"/>
    <w:rsid w:val="002F78CB"/>
    <w:rsid w:val="0030696F"/>
    <w:rsid w:val="0031002A"/>
    <w:rsid w:val="00316C1C"/>
    <w:rsid w:val="00335AF8"/>
    <w:rsid w:val="00337132"/>
    <w:rsid w:val="00340C23"/>
    <w:rsid w:val="0034143F"/>
    <w:rsid w:val="00354B7F"/>
    <w:rsid w:val="003619E8"/>
    <w:rsid w:val="003815A3"/>
    <w:rsid w:val="00384804"/>
    <w:rsid w:val="00386939"/>
    <w:rsid w:val="003930EA"/>
    <w:rsid w:val="00395568"/>
    <w:rsid w:val="0039559B"/>
    <w:rsid w:val="003B23F9"/>
    <w:rsid w:val="003D2BB7"/>
    <w:rsid w:val="003D73E0"/>
    <w:rsid w:val="003E7BA9"/>
    <w:rsid w:val="003F21A1"/>
    <w:rsid w:val="003F2D05"/>
    <w:rsid w:val="003F75C9"/>
    <w:rsid w:val="004057D7"/>
    <w:rsid w:val="0041229A"/>
    <w:rsid w:val="00415027"/>
    <w:rsid w:val="00425FBD"/>
    <w:rsid w:val="00430699"/>
    <w:rsid w:val="00434DBF"/>
    <w:rsid w:val="00437B55"/>
    <w:rsid w:val="00440B58"/>
    <w:rsid w:val="004462DA"/>
    <w:rsid w:val="00450A4A"/>
    <w:rsid w:val="00452A0D"/>
    <w:rsid w:val="00456CD0"/>
    <w:rsid w:val="004644B2"/>
    <w:rsid w:val="00464503"/>
    <w:rsid w:val="0046620F"/>
    <w:rsid w:val="004949B5"/>
    <w:rsid w:val="004A03CF"/>
    <w:rsid w:val="004A330A"/>
    <w:rsid w:val="004B533E"/>
    <w:rsid w:val="004C1C38"/>
    <w:rsid w:val="004C4031"/>
    <w:rsid w:val="004C5F74"/>
    <w:rsid w:val="004D0744"/>
    <w:rsid w:val="004D0E0F"/>
    <w:rsid w:val="004E75E4"/>
    <w:rsid w:val="00503510"/>
    <w:rsid w:val="00504614"/>
    <w:rsid w:val="00513E03"/>
    <w:rsid w:val="00544249"/>
    <w:rsid w:val="00562710"/>
    <w:rsid w:val="005702C7"/>
    <w:rsid w:val="00570336"/>
    <w:rsid w:val="00582014"/>
    <w:rsid w:val="005B065C"/>
    <w:rsid w:val="005B0A1F"/>
    <w:rsid w:val="005B34E8"/>
    <w:rsid w:val="005C08D4"/>
    <w:rsid w:val="005C1A82"/>
    <w:rsid w:val="005C3F74"/>
    <w:rsid w:val="005C51E0"/>
    <w:rsid w:val="005C6206"/>
    <w:rsid w:val="005C7FD7"/>
    <w:rsid w:val="005E1153"/>
    <w:rsid w:val="005E7334"/>
    <w:rsid w:val="005E7CD7"/>
    <w:rsid w:val="005E7E6C"/>
    <w:rsid w:val="005F6293"/>
    <w:rsid w:val="005F7BBA"/>
    <w:rsid w:val="0060188F"/>
    <w:rsid w:val="0060451B"/>
    <w:rsid w:val="006052DE"/>
    <w:rsid w:val="00605591"/>
    <w:rsid w:val="006072CC"/>
    <w:rsid w:val="00612C56"/>
    <w:rsid w:val="00623CFC"/>
    <w:rsid w:val="00630C48"/>
    <w:rsid w:val="00645C89"/>
    <w:rsid w:val="0065595F"/>
    <w:rsid w:val="0066367A"/>
    <w:rsid w:val="00663A7D"/>
    <w:rsid w:val="00673862"/>
    <w:rsid w:val="00675C9C"/>
    <w:rsid w:val="00680058"/>
    <w:rsid w:val="00681559"/>
    <w:rsid w:val="00687DB9"/>
    <w:rsid w:val="00693EF3"/>
    <w:rsid w:val="00695322"/>
    <w:rsid w:val="006A106D"/>
    <w:rsid w:val="006B41E7"/>
    <w:rsid w:val="006C09ED"/>
    <w:rsid w:val="006C44F7"/>
    <w:rsid w:val="006C7646"/>
    <w:rsid w:val="006D258D"/>
    <w:rsid w:val="006D5ED0"/>
    <w:rsid w:val="006D5FFA"/>
    <w:rsid w:val="006E26B7"/>
    <w:rsid w:val="006E5074"/>
    <w:rsid w:val="006F0747"/>
    <w:rsid w:val="006F2BAE"/>
    <w:rsid w:val="006F3B3E"/>
    <w:rsid w:val="006F60FA"/>
    <w:rsid w:val="0070448A"/>
    <w:rsid w:val="00705EBA"/>
    <w:rsid w:val="00707453"/>
    <w:rsid w:val="00707FEF"/>
    <w:rsid w:val="00715EF1"/>
    <w:rsid w:val="00716C66"/>
    <w:rsid w:val="00725FE3"/>
    <w:rsid w:val="00726D5D"/>
    <w:rsid w:val="0074480D"/>
    <w:rsid w:val="00753937"/>
    <w:rsid w:val="007551C3"/>
    <w:rsid w:val="00763789"/>
    <w:rsid w:val="007640C5"/>
    <w:rsid w:val="0076788B"/>
    <w:rsid w:val="007735A8"/>
    <w:rsid w:val="00780C10"/>
    <w:rsid w:val="00794636"/>
    <w:rsid w:val="00795D0B"/>
    <w:rsid w:val="007A7935"/>
    <w:rsid w:val="007F18BB"/>
    <w:rsid w:val="0080412C"/>
    <w:rsid w:val="00810315"/>
    <w:rsid w:val="00817D9E"/>
    <w:rsid w:val="00820A35"/>
    <w:rsid w:val="008248E9"/>
    <w:rsid w:val="008469B4"/>
    <w:rsid w:val="00852D79"/>
    <w:rsid w:val="008630F2"/>
    <w:rsid w:val="00884641"/>
    <w:rsid w:val="00886B9E"/>
    <w:rsid w:val="008908F0"/>
    <w:rsid w:val="00893D25"/>
    <w:rsid w:val="00895DBE"/>
    <w:rsid w:val="00896C76"/>
    <w:rsid w:val="008A09CD"/>
    <w:rsid w:val="008A5FC2"/>
    <w:rsid w:val="008A6691"/>
    <w:rsid w:val="008B2AAC"/>
    <w:rsid w:val="008B5309"/>
    <w:rsid w:val="008B5A58"/>
    <w:rsid w:val="008C22E8"/>
    <w:rsid w:val="008D3E3D"/>
    <w:rsid w:val="008E1D83"/>
    <w:rsid w:val="008E2360"/>
    <w:rsid w:val="008E4A5F"/>
    <w:rsid w:val="008E7E85"/>
    <w:rsid w:val="008F1C40"/>
    <w:rsid w:val="009017EA"/>
    <w:rsid w:val="00904F17"/>
    <w:rsid w:val="0091039C"/>
    <w:rsid w:val="009107A9"/>
    <w:rsid w:val="00910CC0"/>
    <w:rsid w:val="00911252"/>
    <w:rsid w:val="0091243C"/>
    <w:rsid w:val="00914B7E"/>
    <w:rsid w:val="0091526F"/>
    <w:rsid w:val="00941279"/>
    <w:rsid w:val="0094391E"/>
    <w:rsid w:val="00946825"/>
    <w:rsid w:val="00953A02"/>
    <w:rsid w:val="00955820"/>
    <w:rsid w:val="009627AC"/>
    <w:rsid w:val="009667CB"/>
    <w:rsid w:val="00980227"/>
    <w:rsid w:val="009907A1"/>
    <w:rsid w:val="00991B63"/>
    <w:rsid w:val="009B0AF6"/>
    <w:rsid w:val="009C3B71"/>
    <w:rsid w:val="009C4267"/>
    <w:rsid w:val="009D231B"/>
    <w:rsid w:val="009D6A26"/>
    <w:rsid w:val="00A01980"/>
    <w:rsid w:val="00A10802"/>
    <w:rsid w:val="00A225F6"/>
    <w:rsid w:val="00A4013E"/>
    <w:rsid w:val="00A425C0"/>
    <w:rsid w:val="00A530BF"/>
    <w:rsid w:val="00A61FF5"/>
    <w:rsid w:val="00A73AC8"/>
    <w:rsid w:val="00A81C59"/>
    <w:rsid w:val="00A8542B"/>
    <w:rsid w:val="00AB389B"/>
    <w:rsid w:val="00AD355A"/>
    <w:rsid w:val="00AD3E34"/>
    <w:rsid w:val="00AD4303"/>
    <w:rsid w:val="00AE13BA"/>
    <w:rsid w:val="00AF26EB"/>
    <w:rsid w:val="00AF3BF5"/>
    <w:rsid w:val="00AF76E9"/>
    <w:rsid w:val="00B021F3"/>
    <w:rsid w:val="00B03AC9"/>
    <w:rsid w:val="00B12BA8"/>
    <w:rsid w:val="00B22A46"/>
    <w:rsid w:val="00B23469"/>
    <w:rsid w:val="00B34B2C"/>
    <w:rsid w:val="00B376AE"/>
    <w:rsid w:val="00B44CA0"/>
    <w:rsid w:val="00B46592"/>
    <w:rsid w:val="00B5022B"/>
    <w:rsid w:val="00B534DB"/>
    <w:rsid w:val="00B576D8"/>
    <w:rsid w:val="00B6054D"/>
    <w:rsid w:val="00B67294"/>
    <w:rsid w:val="00B71958"/>
    <w:rsid w:val="00B80328"/>
    <w:rsid w:val="00B8061E"/>
    <w:rsid w:val="00B80E31"/>
    <w:rsid w:val="00B91E14"/>
    <w:rsid w:val="00B91E25"/>
    <w:rsid w:val="00B91FCC"/>
    <w:rsid w:val="00BA340C"/>
    <w:rsid w:val="00BA4319"/>
    <w:rsid w:val="00BB77FA"/>
    <w:rsid w:val="00BC1D31"/>
    <w:rsid w:val="00BC1DB4"/>
    <w:rsid w:val="00BD21B2"/>
    <w:rsid w:val="00BD373E"/>
    <w:rsid w:val="00BD3839"/>
    <w:rsid w:val="00BE70AC"/>
    <w:rsid w:val="00BF283D"/>
    <w:rsid w:val="00BF6AFF"/>
    <w:rsid w:val="00C07D06"/>
    <w:rsid w:val="00C120DF"/>
    <w:rsid w:val="00C1473D"/>
    <w:rsid w:val="00C25222"/>
    <w:rsid w:val="00C41CA7"/>
    <w:rsid w:val="00C43B72"/>
    <w:rsid w:val="00C63142"/>
    <w:rsid w:val="00C80112"/>
    <w:rsid w:val="00C816F2"/>
    <w:rsid w:val="00C90839"/>
    <w:rsid w:val="00C91FC5"/>
    <w:rsid w:val="00CA2B89"/>
    <w:rsid w:val="00CA5ED5"/>
    <w:rsid w:val="00CA68AC"/>
    <w:rsid w:val="00CA74FE"/>
    <w:rsid w:val="00CB05DC"/>
    <w:rsid w:val="00CB69C5"/>
    <w:rsid w:val="00CC327C"/>
    <w:rsid w:val="00CD2541"/>
    <w:rsid w:val="00CD30BE"/>
    <w:rsid w:val="00CD3126"/>
    <w:rsid w:val="00CD4A7F"/>
    <w:rsid w:val="00CD71E6"/>
    <w:rsid w:val="00CD797D"/>
    <w:rsid w:val="00CE1B1A"/>
    <w:rsid w:val="00CF535E"/>
    <w:rsid w:val="00D24A38"/>
    <w:rsid w:val="00D25ED1"/>
    <w:rsid w:val="00D27B00"/>
    <w:rsid w:val="00D34176"/>
    <w:rsid w:val="00D342C6"/>
    <w:rsid w:val="00D4481B"/>
    <w:rsid w:val="00D51265"/>
    <w:rsid w:val="00D64A7D"/>
    <w:rsid w:val="00D701F1"/>
    <w:rsid w:val="00D706E2"/>
    <w:rsid w:val="00D72003"/>
    <w:rsid w:val="00D72696"/>
    <w:rsid w:val="00D87F80"/>
    <w:rsid w:val="00D90C79"/>
    <w:rsid w:val="00D91E49"/>
    <w:rsid w:val="00D91FDE"/>
    <w:rsid w:val="00D92A52"/>
    <w:rsid w:val="00D930DA"/>
    <w:rsid w:val="00D94362"/>
    <w:rsid w:val="00DA126C"/>
    <w:rsid w:val="00DA44B5"/>
    <w:rsid w:val="00DB06C6"/>
    <w:rsid w:val="00DB1075"/>
    <w:rsid w:val="00DC4A55"/>
    <w:rsid w:val="00DC54B7"/>
    <w:rsid w:val="00DC57F9"/>
    <w:rsid w:val="00DC7562"/>
    <w:rsid w:val="00DD5472"/>
    <w:rsid w:val="00DE5111"/>
    <w:rsid w:val="00DE6792"/>
    <w:rsid w:val="00DE6819"/>
    <w:rsid w:val="00DF2BB5"/>
    <w:rsid w:val="00DF4649"/>
    <w:rsid w:val="00DF54BF"/>
    <w:rsid w:val="00E01020"/>
    <w:rsid w:val="00E0173B"/>
    <w:rsid w:val="00E05418"/>
    <w:rsid w:val="00E10DBA"/>
    <w:rsid w:val="00E17DFE"/>
    <w:rsid w:val="00E2187C"/>
    <w:rsid w:val="00E51D7C"/>
    <w:rsid w:val="00E522C5"/>
    <w:rsid w:val="00E566C7"/>
    <w:rsid w:val="00E673AA"/>
    <w:rsid w:val="00E77A0C"/>
    <w:rsid w:val="00E831B6"/>
    <w:rsid w:val="00E8448E"/>
    <w:rsid w:val="00E907E2"/>
    <w:rsid w:val="00E934A1"/>
    <w:rsid w:val="00EA14C0"/>
    <w:rsid w:val="00ED04A5"/>
    <w:rsid w:val="00ED6FF3"/>
    <w:rsid w:val="00ED75EF"/>
    <w:rsid w:val="00EE2BC2"/>
    <w:rsid w:val="00EE40B0"/>
    <w:rsid w:val="00EE40CC"/>
    <w:rsid w:val="00EE4124"/>
    <w:rsid w:val="00EE4847"/>
    <w:rsid w:val="00EE4D4F"/>
    <w:rsid w:val="00EE7441"/>
    <w:rsid w:val="00EE752C"/>
    <w:rsid w:val="00EF13EF"/>
    <w:rsid w:val="00EF190C"/>
    <w:rsid w:val="00EF494B"/>
    <w:rsid w:val="00F117CB"/>
    <w:rsid w:val="00F255E9"/>
    <w:rsid w:val="00F267F4"/>
    <w:rsid w:val="00F27BF6"/>
    <w:rsid w:val="00F3179C"/>
    <w:rsid w:val="00F33F76"/>
    <w:rsid w:val="00F40359"/>
    <w:rsid w:val="00F4386D"/>
    <w:rsid w:val="00F50C80"/>
    <w:rsid w:val="00F5557A"/>
    <w:rsid w:val="00F66A27"/>
    <w:rsid w:val="00F73E2A"/>
    <w:rsid w:val="00F83184"/>
    <w:rsid w:val="00F8577A"/>
    <w:rsid w:val="00F903FF"/>
    <w:rsid w:val="00F94293"/>
    <w:rsid w:val="00F97F1F"/>
    <w:rsid w:val="00FA20F3"/>
    <w:rsid w:val="00FB3B53"/>
    <w:rsid w:val="00FD45C7"/>
    <w:rsid w:val="00FE507E"/>
    <w:rsid w:val="00FE5750"/>
    <w:rsid w:val="00FE7D74"/>
    <w:rsid w:val="00FF09E1"/>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A948E4"/>
  <w15:docId w15:val="{1DCC23BC-BF78-4ACF-83B2-C4418F0A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CA0"/>
    <w:rPr>
      <w:sz w:val="24"/>
    </w:rPr>
  </w:style>
  <w:style w:type="paragraph" w:styleId="Heading1">
    <w:name w:val="heading 1"/>
    <w:basedOn w:val="Normal"/>
    <w:next w:val="Normal"/>
    <w:link w:val="Heading1Char"/>
    <w:uiPriority w:val="9"/>
    <w:qFormat/>
    <w:rsid w:val="00EE2BC2"/>
    <w:pPr>
      <w:keepNext/>
      <w:spacing w:line="360" w:lineRule="auto"/>
      <w:jc w:val="center"/>
      <w:outlineLvl w:val="0"/>
    </w:pPr>
    <w:rPr>
      <w:rFonts w:ascii="Arial" w:hAnsi="Arial"/>
      <w:b/>
    </w:rPr>
  </w:style>
  <w:style w:type="paragraph" w:styleId="Heading2">
    <w:name w:val="heading 2"/>
    <w:basedOn w:val="Normal"/>
    <w:next w:val="Normal"/>
    <w:link w:val="Heading2Char"/>
    <w:uiPriority w:val="9"/>
    <w:qFormat/>
    <w:rsid w:val="00EE2BC2"/>
    <w:pPr>
      <w:keepNext/>
      <w:outlineLvl w:val="1"/>
    </w:pPr>
    <w:rPr>
      <w:rFonts w:ascii="Arial" w:hAnsi="Arial"/>
      <w:b/>
    </w:rPr>
  </w:style>
  <w:style w:type="paragraph" w:styleId="Heading3">
    <w:name w:val="heading 3"/>
    <w:basedOn w:val="Normal"/>
    <w:next w:val="Normal"/>
    <w:link w:val="Heading3Char"/>
    <w:uiPriority w:val="9"/>
    <w:qFormat/>
    <w:rsid w:val="00EE2BC2"/>
    <w:pPr>
      <w:keepNext/>
      <w:spacing w:line="480" w:lineRule="auto"/>
      <w:ind w:left="360"/>
      <w:outlineLvl w:val="2"/>
    </w:pPr>
    <w:rPr>
      <w:b/>
    </w:rPr>
  </w:style>
  <w:style w:type="paragraph" w:styleId="Heading4">
    <w:name w:val="heading 4"/>
    <w:basedOn w:val="Normal"/>
    <w:next w:val="Normal"/>
    <w:link w:val="Heading4Char"/>
    <w:uiPriority w:val="9"/>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FF3"/>
    <w:rPr>
      <w:rFonts w:ascii="Arial" w:hAnsi="Arial"/>
      <w:b/>
      <w:sz w:val="24"/>
    </w:rPr>
  </w:style>
  <w:style w:type="character" w:customStyle="1" w:styleId="Heading2Char">
    <w:name w:val="Heading 2 Char"/>
    <w:basedOn w:val="DefaultParagraphFont"/>
    <w:link w:val="Heading2"/>
    <w:uiPriority w:val="9"/>
    <w:rsid w:val="00ED6FF3"/>
    <w:rPr>
      <w:rFonts w:ascii="Arial" w:hAnsi="Arial"/>
      <w:b/>
      <w:sz w:val="24"/>
    </w:rPr>
  </w:style>
  <w:style w:type="character" w:customStyle="1" w:styleId="Heading3Char">
    <w:name w:val="Heading 3 Char"/>
    <w:basedOn w:val="DefaultParagraphFont"/>
    <w:link w:val="Heading3"/>
    <w:uiPriority w:val="9"/>
    <w:rsid w:val="00ED6FF3"/>
    <w:rPr>
      <w:b/>
      <w:sz w:val="24"/>
    </w:rPr>
  </w:style>
  <w:style w:type="character" w:customStyle="1" w:styleId="Heading4Char">
    <w:name w:val="Heading 4 Char"/>
    <w:basedOn w:val="DefaultParagraphFont"/>
    <w:link w:val="Heading4"/>
    <w:uiPriority w:val="9"/>
    <w:rsid w:val="00ED6FF3"/>
    <w:rPr>
      <w:b/>
      <w:color w:val="000000"/>
      <w:sz w:val="24"/>
      <w:szCs w:val="24"/>
    </w:rPr>
  </w:style>
  <w:style w:type="paragraph" w:styleId="Footer">
    <w:name w:val="footer"/>
    <w:basedOn w:val="Normal"/>
    <w:link w:val="FooterChar"/>
    <w:uiPriority w:val="99"/>
    <w:rsid w:val="00EE2BC2"/>
    <w:pPr>
      <w:tabs>
        <w:tab w:val="center" w:pos="4320"/>
        <w:tab w:val="right" w:pos="8640"/>
      </w:tabs>
    </w:pPr>
  </w:style>
  <w:style w:type="character" w:customStyle="1" w:styleId="FooterChar">
    <w:name w:val="Footer Char"/>
    <w:basedOn w:val="DefaultParagraphFont"/>
    <w:link w:val="Footer"/>
    <w:uiPriority w:val="99"/>
    <w:rsid w:val="00ED6FF3"/>
    <w:rPr>
      <w:sz w:val="24"/>
    </w:rPr>
  </w:style>
  <w:style w:type="character" w:styleId="PageNumber">
    <w:name w:val="page number"/>
    <w:basedOn w:val="DefaultParagraphFont"/>
    <w:rsid w:val="00EE2BC2"/>
  </w:style>
  <w:style w:type="paragraph" w:styleId="FootnoteText">
    <w:name w:val="footnote text"/>
    <w:basedOn w:val="Normal"/>
    <w:link w:val="FootnoteTextChar"/>
    <w:uiPriority w:val="99"/>
    <w:rsid w:val="00EE2BC2"/>
    <w:rPr>
      <w:sz w:val="20"/>
    </w:rPr>
  </w:style>
  <w:style w:type="character" w:customStyle="1" w:styleId="FootnoteTextChar">
    <w:name w:val="Footnote Text Char"/>
    <w:basedOn w:val="DefaultParagraphFont"/>
    <w:link w:val="FootnoteText"/>
    <w:uiPriority w:val="99"/>
    <w:rsid w:val="0091039C"/>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character" w:customStyle="1" w:styleId="HeaderChar">
    <w:name w:val="Header Char"/>
    <w:basedOn w:val="DefaultParagraphFont"/>
    <w:link w:val="Header"/>
    <w:uiPriority w:val="99"/>
    <w:rsid w:val="00ED6FF3"/>
    <w:rPr>
      <w:sz w:val="24"/>
    </w:rPr>
  </w:style>
  <w:style w:type="paragraph" w:styleId="BodyText">
    <w:name w:val="Body Text"/>
    <w:basedOn w:val="Normal"/>
    <w:link w:val="BodyTextChar"/>
    <w:uiPriority w:val="1"/>
    <w:qFormat/>
    <w:rsid w:val="00EE2BC2"/>
    <w:rPr>
      <w:sz w:val="28"/>
    </w:rPr>
  </w:style>
  <w:style w:type="character" w:customStyle="1" w:styleId="BodyTextChar">
    <w:name w:val="Body Text Char"/>
    <w:basedOn w:val="DefaultParagraphFont"/>
    <w:link w:val="BodyText"/>
    <w:uiPriority w:val="1"/>
    <w:rsid w:val="00ED6FF3"/>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uiPriority w:val="99"/>
    <w:rsid w:val="00EE2BC2"/>
    <w:rPr>
      <w:color w:val="0000FF"/>
      <w:u w:val="single"/>
    </w:rPr>
  </w:style>
  <w:style w:type="character" w:styleId="FollowedHyperlink">
    <w:name w:val="FollowedHyperlink"/>
    <w:basedOn w:val="DefaultParagraphFont"/>
    <w:uiPriority w:val="99"/>
    <w:rsid w:val="00EE2BC2"/>
    <w:rPr>
      <w:color w:val="800080"/>
      <w:u w:val="single"/>
    </w:rPr>
  </w:style>
  <w:style w:type="paragraph" w:styleId="NormalWeb">
    <w:name w:val="Normal (Web)"/>
    <w:basedOn w:val="Normal"/>
    <w:uiPriority w:val="99"/>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B44CA0"/>
    <w:rPr>
      <w:rFonts w:ascii="Tahoma" w:hAnsi="Tahoma" w:cs="Tahoma"/>
      <w:szCs w:val="16"/>
    </w:rPr>
  </w:style>
  <w:style w:type="character" w:customStyle="1" w:styleId="BalloonTextChar">
    <w:name w:val="Balloon Text Char"/>
    <w:basedOn w:val="DefaultParagraphFont"/>
    <w:link w:val="BalloonText"/>
    <w:uiPriority w:val="99"/>
    <w:semiHidden/>
    <w:rsid w:val="00B44CA0"/>
    <w:rPr>
      <w:rFonts w:ascii="Tahoma" w:hAnsi="Tahoma" w:cs="Tahoma"/>
      <w:sz w:val="24"/>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paragraph" w:styleId="ListParagraph">
    <w:name w:val="List Paragraph"/>
    <w:basedOn w:val="Normal"/>
    <w:uiPriority w:val="34"/>
    <w:qFormat/>
    <w:rsid w:val="00C120DF"/>
    <w:pPr>
      <w:ind w:left="720"/>
    </w:pPr>
  </w:style>
  <w:style w:type="paragraph" w:customStyle="1" w:styleId="Default">
    <w:name w:val="Default"/>
    <w:rsid w:val="00FE7D74"/>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D342C6"/>
    <w:rPr>
      <w:color w:val="808080"/>
      <w:shd w:val="clear" w:color="auto" w:fill="E6E6E6"/>
    </w:rPr>
  </w:style>
  <w:style w:type="character" w:styleId="Strong">
    <w:name w:val="Strong"/>
    <w:basedOn w:val="DefaultParagraphFont"/>
    <w:uiPriority w:val="22"/>
    <w:qFormat/>
    <w:rsid w:val="00ED6FF3"/>
    <w:rPr>
      <w:b/>
      <w:bCs/>
    </w:rPr>
  </w:style>
  <w:style w:type="paragraph" w:styleId="Caption">
    <w:name w:val="caption"/>
    <w:basedOn w:val="Normal"/>
    <w:next w:val="Normal"/>
    <w:uiPriority w:val="35"/>
    <w:qFormat/>
    <w:rsid w:val="00ED6FF3"/>
    <w:pPr>
      <w:tabs>
        <w:tab w:val="left" w:pos="3870"/>
      </w:tabs>
    </w:pPr>
  </w:style>
  <w:style w:type="character" w:styleId="SubtleReference">
    <w:name w:val="Subtle Reference"/>
    <w:basedOn w:val="DefaultParagraphFont"/>
    <w:uiPriority w:val="31"/>
    <w:qFormat/>
    <w:rsid w:val="00ED6FF3"/>
    <w:rPr>
      <w:smallCaps/>
      <w:color w:val="5A5A5A" w:themeColor="text1" w:themeTint="A5"/>
    </w:rPr>
  </w:style>
  <w:style w:type="paragraph" w:styleId="TOCHeading">
    <w:name w:val="TOC Heading"/>
    <w:basedOn w:val="Heading1"/>
    <w:next w:val="Normal"/>
    <w:uiPriority w:val="39"/>
    <w:unhideWhenUsed/>
    <w:qFormat/>
    <w:rsid w:val="00ED6FF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ED6FF3"/>
    <w:pPr>
      <w:spacing w:after="100" w:line="259" w:lineRule="auto"/>
    </w:pPr>
    <w:rPr>
      <w:rFonts w:eastAsiaTheme="minorHAnsi"/>
      <w:szCs w:val="24"/>
    </w:rPr>
  </w:style>
  <w:style w:type="paragraph" w:styleId="TOC2">
    <w:name w:val="toc 2"/>
    <w:basedOn w:val="Normal"/>
    <w:next w:val="Normal"/>
    <w:autoRedefine/>
    <w:uiPriority w:val="39"/>
    <w:unhideWhenUsed/>
    <w:rsid w:val="00ED6FF3"/>
    <w:pPr>
      <w:spacing w:after="100" w:line="259" w:lineRule="auto"/>
      <w:ind w:left="240"/>
    </w:pPr>
    <w:rPr>
      <w:rFonts w:eastAsiaTheme="minorHAnsi"/>
      <w:szCs w:val="24"/>
    </w:rPr>
  </w:style>
  <w:style w:type="paragraph" w:styleId="TOC3">
    <w:name w:val="toc 3"/>
    <w:basedOn w:val="Normal"/>
    <w:next w:val="Normal"/>
    <w:autoRedefine/>
    <w:uiPriority w:val="39"/>
    <w:unhideWhenUsed/>
    <w:rsid w:val="00ED6FF3"/>
    <w:pPr>
      <w:spacing w:after="100" w:line="259" w:lineRule="auto"/>
      <w:ind w:left="480"/>
    </w:pPr>
    <w:rPr>
      <w:rFonts w:eastAsiaTheme="minorHAnsi"/>
      <w:szCs w:val="24"/>
    </w:rPr>
  </w:style>
  <w:style w:type="paragraph" w:styleId="TOC4">
    <w:name w:val="toc 4"/>
    <w:basedOn w:val="Normal"/>
    <w:next w:val="Normal"/>
    <w:autoRedefine/>
    <w:uiPriority w:val="39"/>
    <w:unhideWhenUsed/>
    <w:rsid w:val="00ED6FF3"/>
    <w:pPr>
      <w:spacing w:after="100" w:line="259" w:lineRule="auto"/>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zcourts.gov/cscommittees/Legal-Services-Task-For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ittee_x0020_Type xmlns="d017dfa5-038e-4918-abe4-ba559629eca7">Adhoc</Committee_x0020_Type>
    <Year xmlns="d017dfa5-038e-4918-abe4-ba559629eca7">2018</Year>
    <Meeting_x0020_Date xmlns="d017dfa5-038e-4918-abe4-ba559629eca7">2018-01-10T08:00:00+00:00</Meeting_x0020_Date>
    <County xmlns="d017dfa5-038e-4918-abe4-ba559629eca7">AOC</County>
    <Confidential1 xmlns="d017dfa5-038e-4918-abe4-ba559629eca7">false</Confidential1>
    <Confidential_x0020_Document xmlns="d017dfa5-038e-4918-abe4-ba559629eca7">No</Confidential_x0020_Document>
    <Committee_x0020_Document_x0020_Type xmlns="d017dfa5-038e-4918-abe4-ba559629eca7">
      <Value>Rule Petition</Value>
    </Committee_x0020_Document_x0020_Type>
    <Committee_x0020_Name xmlns="d017dfa5-038e-4918-abe4-ba559629eca7" xsi:nil="true"/>
    <Sensitive_x0020_Data xmlns="d017dfa5-038e-4918-abe4-ba559629eca7">false</Sensitive_x0020_Data>
    <Committee_x0020_Document_x0020_Status xmlns="313f1b23-eccb-4ab1-9416-a19fb7e40bbd" xsi:nil="true"/>
    <Special_x0020_Project xmlns="313f1b23-eccb-4ab1-9416-a19fb7e40b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10c71e4-c016-43c7-962e-b431e162510d" ContentTypeId="0x010100C3EA9F4424E4A4458084856CCCC01A3A" PreviousValue="false"/>
</file>

<file path=customXml/item4.xml><?xml version="1.0" encoding="utf-8"?>
<ct:contentTypeSchema xmlns:ct="http://schemas.microsoft.com/office/2006/metadata/contentType" xmlns:ma="http://schemas.microsoft.com/office/2006/metadata/properties/metaAttributes" ct:_="" ma:_="" ma:contentTypeName="Committee" ma:contentTypeID="0x010100C3EA9F4424E4A4458084856CCCC01A3A00ADA4DBF93D0219488DF17AC20C1B72E4" ma:contentTypeVersion="46" ma:contentTypeDescription="" ma:contentTypeScope="" ma:versionID="ff2eb099f4aecaa234a3c39857aeb244">
  <xsd:schema xmlns:xsd="http://www.w3.org/2001/XMLSchema" xmlns:xs="http://www.w3.org/2001/XMLSchema" xmlns:p="http://schemas.microsoft.com/office/2006/metadata/properties" xmlns:ns2="d017dfa5-038e-4918-abe4-ba559629eca7" xmlns:ns3="313f1b23-eccb-4ab1-9416-a19fb7e40bbd" xmlns:ns4="8a7c1436-05af-47a0-bd70-2b0c5f12fbfc" targetNamespace="http://schemas.microsoft.com/office/2006/metadata/properties" ma:root="true" ma:fieldsID="723aac52bf44a0bd09798b90fe333d43" ns2:_="" ns3:_="" ns4:_="">
    <xsd:import namespace="d017dfa5-038e-4918-abe4-ba559629eca7"/>
    <xsd:import namespace="313f1b23-eccb-4ab1-9416-a19fb7e40bbd"/>
    <xsd:import namespace="8a7c1436-05af-47a0-bd70-2b0c5f12fbfc"/>
    <xsd:element name="properties">
      <xsd:complexType>
        <xsd:sequence>
          <xsd:element name="documentManagement">
            <xsd:complexType>
              <xsd:all>
                <xsd:element ref="ns2:Committee_x0020_Document_x0020_Type" minOccurs="0"/>
                <xsd:element ref="ns2:Meeting_x0020_Date" minOccurs="0"/>
                <xsd:element ref="ns2:Year" minOccurs="0"/>
                <xsd:element ref="ns2:Committee_x0020_Name" minOccurs="0"/>
                <xsd:element ref="ns2:County" minOccurs="0"/>
                <xsd:element ref="ns2:Confidential1" minOccurs="0"/>
                <xsd:element ref="ns2:Sensitive_x0020_Data" minOccurs="0"/>
                <xsd:element ref="ns2:Confidential_x0020_Document" minOccurs="0"/>
                <xsd:element ref="ns3:SharedWithUsers" minOccurs="0"/>
                <xsd:element ref="ns4:MediaServiceMetadata" minOccurs="0"/>
                <xsd:element ref="ns4:MediaServiceFastMetadata" minOccurs="0"/>
                <xsd:element ref="ns3:SharedWithDetails" minOccurs="0"/>
                <xsd:element ref="ns2:Committee_x0020_Type" minOccurs="0"/>
                <xsd:element ref="ns4:MediaServiceDateTaken" minOccurs="0"/>
                <xsd:element ref="ns4:MediaServiceAutoTags" minOccurs="0"/>
                <xsd:element ref="ns4:MediaServiceOCR" minOccurs="0"/>
                <xsd:element ref="ns3:Committee_x0020_Document_x0020_Status" minOccurs="0"/>
                <xsd:element ref="ns3:Special_x0020_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Committee_x0020_Document_x0020_Type" ma:index="1" nillable="true" ma:displayName="Committee Document Type" ma:internalName="Committee_x0020_Document_x0020_Type" ma:readOnly="false">
      <xsd:complexType>
        <xsd:complexContent>
          <xsd:extension base="dms:MultiChoice">
            <xsd:sequence>
              <xsd:element name="Value" maxOccurs="unbounded" minOccurs="0" nillable="true">
                <xsd:simpleType>
                  <xsd:restriction base="dms:Choice">
                    <xsd:enumeration value="Agenda"/>
                    <xsd:enumeration value="Minutes"/>
                    <xsd:enumeration value="Handout"/>
                    <xsd:enumeration value="Preparation Material"/>
                    <xsd:enumeration value="Membership"/>
                    <xsd:enumeration value="Appointment"/>
                    <xsd:enumeration value="Template"/>
                    <xsd:enumeration value="Correspondence"/>
                    <xsd:enumeration value="Event"/>
                    <xsd:enumeration value="Image"/>
                    <xsd:enumeration value="Presentation"/>
                    <xsd:enumeration value="Publication"/>
                    <xsd:enumeration value="Report"/>
                    <xsd:enumeration value="Rules"/>
                    <xsd:enumeration value="Rule Petition"/>
                    <xsd:enumeration value="Research"/>
                    <xsd:enumeration value="Admin Preparation"/>
                  </xsd:restriction>
                </xsd:simpleType>
              </xsd:element>
            </xsd:sequence>
          </xsd:extension>
        </xsd:complexContent>
      </xsd:complexType>
    </xsd:element>
    <xsd:element name="Meeting_x0020_Date" ma:index="2" nillable="true" ma:displayName="Meeting Date" ma:format="DateOnly" ma:internalName="Meeting_x0020_Date">
      <xsd:simpleType>
        <xsd:restriction base="dms:DateTime"/>
      </xsd:simpleType>
    </xsd:element>
    <xsd:element name="Year" ma:index="3" nillable="true" ma:displayName="Year" ma:internalName="Year" ma:readOnly="false">
      <xsd:simpleType>
        <xsd:restriction base="dms:Text">
          <xsd:maxLength value="4"/>
        </xsd:restriction>
      </xsd:simpleType>
    </xsd:element>
    <xsd:element name="Committee_x0020_Name" ma:index="4" nillable="true" ma:displayName="Committee Name" ma:hidden="true" ma:internalName="Committee_x0020_Name" ma:readOnly="false">
      <xsd:simpleType>
        <xsd:restriction base="dms:Text">
          <xsd:maxLength value="255"/>
        </xsd:restriction>
      </xsd:simpleType>
    </xsd:element>
    <xsd:element name="County" ma:index="5" nillable="true" ma:displayName="Jurisdiction" ma:format="Dropdown" ma:hidden="true" ma:internalName="County" ma:readOnly="false">
      <xsd:simpleType>
        <xsd:restriction base="dms:Choice">
          <xsd:enumeration value="AOC"/>
          <xsd:enumeration value="Appellate"/>
          <xsd:enumeration value="Apache"/>
          <xsd:enumeration value="Cochise"/>
          <xsd:enumeration value="Coconino"/>
          <xsd:enumeration value="Gila"/>
          <xsd:enumeration value="Greenlee"/>
          <xsd:enumeration value="Graham"/>
          <xsd:enumeration value="La Paz"/>
          <xsd:enumeration value="Maricopa"/>
          <xsd:enumeration value="Mohave"/>
          <xsd:enumeration value="Navajo"/>
          <xsd:enumeration value="Pima"/>
          <xsd:enumeration value="Pinal"/>
          <xsd:enumeration value="Santa Cruz"/>
          <xsd:enumeration value="State Bar"/>
          <xsd:enumeration value="Statewide"/>
          <xsd:enumeration value="Yavapai"/>
          <xsd:enumeration value="Yuma"/>
        </xsd:restriction>
      </xsd:simpleType>
    </xsd:element>
    <xsd:element name="Confidential1" ma:index="6" nillable="true" ma:displayName="Confidential" ma:default="0" ma:internalName="Confidential1" ma:readOnly="false">
      <xsd:simpleType>
        <xsd:restriction base="dms:Boolean"/>
      </xsd:simpleType>
    </xsd:element>
    <xsd:element name="Sensitive_x0020_Data" ma:index="7" nillable="true" ma:displayName="Sensitive Data" ma:default="0" ma:internalName="Sensitive_x0020_Data" ma:readOnly="false">
      <xsd:simpleType>
        <xsd:restriction base="dms:Boolean"/>
      </xsd:simpleType>
    </xsd:element>
    <xsd:element name="Confidential_x0020_Document" ma:index="15" nillable="true" ma:displayName="Confidential Document" ma:default="No" ma:hidden="true" ma:internalName="Confidential_x0020_Document" ma:readOnly="false">
      <xsd:simpleType>
        <xsd:restriction base="dms:Text">
          <xsd:maxLength value="255"/>
        </xsd:restriction>
      </xsd:simpleType>
    </xsd:element>
    <xsd:element name="Committee_x0020_Type" ma:index="21" nillable="true" ma:displayName="Committee Type" ma:format="Dropdown" ma:hidden="true" ma:internalName="Committee_x0020_Type" ma:readOnly="false">
      <xsd:simpleType>
        <xsd:restriction base="dms:Choice">
          <xsd:enumeration value="Adhoc"/>
          <xsd:enumeration value="Standing"/>
          <xsd:enumeration value="Taskforce"/>
          <xsd:enumeration value="Workgroup"/>
        </xsd:restriction>
      </xsd:simpleType>
    </xsd:element>
  </xsd:schema>
  <xsd:schema xmlns:xsd="http://www.w3.org/2001/XMLSchema" xmlns:xs="http://www.w3.org/2001/XMLSchema" xmlns:dms="http://schemas.microsoft.com/office/2006/documentManagement/types" xmlns:pc="http://schemas.microsoft.com/office/infopath/2007/PartnerControls" targetNamespace="313f1b23-eccb-4ab1-9416-a19fb7e40b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Committee_x0020_Document_x0020_Status" ma:index="25" nillable="true" ma:displayName="Committee Document Status" ma:format="Dropdown" ma:internalName="Committee_x0020_Document_x0020_Status">
      <xsd:simpleType>
        <xsd:restriction base="dms:Choice">
          <xsd:enumeration value="Draft"/>
          <xsd:enumeration value="Final"/>
          <xsd:enumeration value="Post"/>
          <xsd:enumeration value="Print"/>
        </xsd:restriction>
      </xsd:simpleType>
    </xsd:element>
    <xsd:element name="Special_x0020_Project" ma:index="26" nillable="true" ma:displayName="Special Project" ma:internalName="Special_x0020_Project">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8a7c1436-05af-47a0-bd70-2b0c5f12fbf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314FC4-2966-41F5-ADDA-1B49F414B052}">
  <ds:schemaRefs>
    <ds:schemaRef ds:uri="http://purl.org/dc/elements/1.1/"/>
    <ds:schemaRef ds:uri="http://schemas.microsoft.com/office/2006/metadata/properties"/>
    <ds:schemaRef ds:uri="313f1b23-eccb-4ab1-9416-a19fb7e40b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17dfa5-038e-4918-abe4-ba559629eca7"/>
    <ds:schemaRef ds:uri="8a7c1436-05af-47a0-bd70-2b0c5f12fbfc"/>
    <ds:schemaRef ds:uri="http://www.w3.org/XML/1998/namespace"/>
    <ds:schemaRef ds:uri="http://purl.org/dc/dcmitype/"/>
  </ds:schemaRefs>
</ds:datastoreItem>
</file>

<file path=customXml/itemProps2.xml><?xml version="1.0" encoding="utf-8"?>
<ds:datastoreItem xmlns:ds="http://schemas.openxmlformats.org/officeDocument/2006/customXml" ds:itemID="{BFB75580-E3D9-42A9-9A87-173744E3A011}">
  <ds:schemaRefs>
    <ds:schemaRef ds:uri="http://schemas.microsoft.com/sharepoint/v3/contenttype/forms"/>
  </ds:schemaRefs>
</ds:datastoreItem>
</file>

<file path=customXml/itemProps3.xml><?xml version="1.0" encoding="utf-8"?>
<ds:datastoreItem xmlns:ds="http://schemas.openxmlformats.org/officeDocument/2006/customXml" ds:itemID="{0C2C957A-935D-4BFD-8657-183D72104A14}">
  <ds:schemaRefs>
    <ds:schemaRef ds:uri="Microsoft.SharePoint.Taxonomy.ContentTypeSync"/>
  </ds:schemaRefs>
</ds:datastoreItem>
</file>

<file path=customXml/itemProps4.xml><?xml version="1.0" encoding="utf-8"?>
<ds:datastoreItem xmlns:ds="http://schemas.openxmlformats.org/officeDocument/2006/customXml" ds:itemID="{207CFAEE-CB4E-489A-809C-7BE82F5F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7dfa5-038e-4918-abe4-ba559629eca7"/>
    <ds:schemaRef ds:uri="313f1b23-eccb-4ab1-9416-a19fb7e40bbd"/>
    <ds:schemaRef ds:uri="8a7c1436-05af-47a0-bd70-2b0c5f12f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893945-C37E-4155-AD68-F2CEB9DD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1251</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8509</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dc:description/>
  <cp:lastModifiedBy>Albright, Jennifer</cp:lastModifiedBy>
  <cp:revision>4</cp:revision>
  <cp:lastPrinted>2020-01-09T18:24:00Z</cp:lastPrinted>
  <dcterms:created xsi:type="dcterms:W3CDTF">2020-01-09T18:19:00Z</dcterms:created>
  <dcterms:modified xsi:type="dcterms:W3CDTF">2020-01-09T18:25:00Z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0x010100C3EA9F4424E4A4458084856CCCC01A3A00ADA4DBF93D0219488DF17AC20C1B72E4</vt:lpwstr>
  </property>
</Properties>
</file>