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12D3" w14:textId="50F4B538" w:rsidR="00BF4ED1" w:rsidRDefault="00BF4ED1" w:rsidP="00BF4ED1">
      <w:pPr>
        <w:jc w:val="both"/>
        <w:rPr>
          <w:sz w:val="28"/>
          <w:szCs w:val="28"/>
        </w:rPr>
      </w:pPr>
      <w:r>
        <w:rPr>
          <w:sz w:val="28"/>
          <w:szCs w:val="28"/>
        </w:rPr>
        <w:t xml:space="preserve">Rebecca </w:t>
      </w:r>
      <w:r w:rsidR="00D11729">
        <w:rPr>
          <w:sz w:val="28"/>
          <w:szCs w:val="28"/>
        </w:rPr>
        <w:t xml:space="preserve">White </w:t>
      </w:r>
      <w:r>
        <w:rPr>
          <w:sz w:val="28"/>
          <w:szCs w:val="28"/>
        </w:rPr>
        <w:t>Berch (</w:t>
      </w:r>
      <w:r w:rsidR="00EF1600">
        <w:rPr>
          <w:sz w:val="28"/>
          <w:szCs w:val="28"/>
        </w:rPr>
        <w:t xml:space="preserve">Justice, </w:t>
      </w:r>
      <w:r>
        <w:rPr>
          <w:sz w:val="28"/>
          <w:szCs w:val="28"/>
        </w:rPr>
        <w:t>ret.), Chair</w:t>
      </w:r>
    </w:p>
    <w:p w14:paraId="1BAF1E5E" w14:textId="77777777" w:rsidR="00BF4ED1" w:rsidRDefault="00BF4ED1" w:rsidP="00BF4ED1">
      <w:pPr>
        <w:jc w:val="both"/>
        <w:rPr>
          <w:sz w:val="28"/>
          <w:szCs w:val="28"/>
        </w:rPr>
      </w:pPr>
      <w:r>
        <w:rPr>
          <w:sz w:val="28"/>
          <w:szCs w:val="28"/>
        </w:rPr>
        <w:t xml:space="preserve">Task Force on the Arizona Rules of </w:t>
      </w:r>
      <w:r w:rsidR="00AA02E4">
        <w:rPr>
          <w:sz w:val="28"/>
          <w:szCs w:val="28"/>
        </w:rPr>
        <w:t>Probate</w:t>
      </w:r>
      <w:r>
        <w:rPr>
          <w:sz w:val="28"/>
          <w:szCs w:val="28"/>
        </w:rPr>
        <w:t xml:space="preserve"> Procedure, Petitioner</w:t>
      </w:r>
    </w:p>
    <w:p w14:paraId="282CBD6A" w14:textId="77777777" w:rsidR="00BF4ED1" w:rsidRPr="00955A09" w:rsidRDefault="00BF4ED1" w:rsidP="00BF4ED1">
      <w:pPr>
        <w:jc w:val="both"/>
        <w:rPr>
          <w:sz w:val="28"/>
          <w:szCs w:val="28"/>
        </w:rPr>
      </w:pPr>
      <w:r w:rsidRPr="00955A09">
        <w:rPr>
          <w:sz w:val="28"/>
          <w:szCs w:val="28"/>
        </w:rPr>
        <w:t>1501 W. Washington St.</w:t>
      </w:r>
    </w:p>
    <w:p w14:paraId="576B4700" w14:textId="57C6108D" w:rsidR="00BF4ED1" w:rsidRDefault="00BF4ED1" w:rsidP="00BF4ED1">
      <w:pPr>
        <w:jc w:val="both"/>
        <w:rPr>
          <w:sz w:val="28"/>
          <w:szCs w:val="28"/>
        </w:rPr>
      </w:pPr>
      <w:r w:rsidRPr="00955A09">
        <w:rPr>
          <w:sz w:val="28"/>
          <w:szCs w:val="28"/>
        </w:rPr>
        <w:t xml:space="preserve">Phoenix, AZ </w:t>
      </w:r>
      <w:r w:rsidR="00EF1600">
        <w:rPr>
          <w:sz w:val="28"/>
          <w:szCs w:val="28"/>
        </w:rPr>
        <w:t xml:space="preserve"> </w:t>
      </w:r>
      <w:r w:rsidRPr="00955A09">
        <w:rPr>
          <w:sz w:val="28"/>
          <w:szCs w:val="28"/>
        </w:rPr>
        <w:t>85007</w:t>
      </w:r>
    </w:p>
    <w:p w14:paraId="498FAD61" w14:textId="77777777" w:rsidR="00BF4ED1" w:rsidRPr="00955A09" w:rsidRDefault="00BF4ED1" w:rsidP="00BF4ED1">
      <w:pPr>
        <w:jc w:val="both"/>
        <w:rPr>
          <w:sz w:val="28"/>
          <w:szCs w:val="28"/>
        </w:rPr>
      </w:pPr>
    </w:p>
    <w:p w14:paraId="27FB4F09" w14:textId="77777777" w:rsidR="00BF4ED1" w:rsidRDefault="00BF4ED1" w:rsidP="00BF4ED1">
      <w:pPr>
        <w:spacing w:line="480" w:lineRule="auto"/>
        <w:jc w:val="both"/>
        <w:rPr>
          <w:sz w:val="28"/>
          <w:szCs w:val="28"/>
        </w:rPr>
      </w:pPr>
    </w:p>
    <w:p w14:paraId="6F13DC37" w14:textId="77777777" w:rsidR="00BF4ED1" w:rsidRPr="007641DA" w:rsidRDefault="00BF4ED1" w:rsidP="00BF4ED1">
      <w:pPr>
        <w:spacing w:line="480" w:lineRule="auto"/>
        <w:jc w:val="both"/>
        <w:rPr>
          <w:sz w:val="28"/>
          <w:szCs w:val="28"/>
          <w:u w:val="single"/>
        </w:rPr>
      </w:pPr>
    </w:p>
    <w:p w14:paraId="67F422EA" w14:textId="77777777" w:rsidR="00BF4ED1" w:rsidRPr="00955A09" w:rsidRDefault="00BF4ED1" w:rsidP="00BF4ED1">
      <w:pPr>
        <w:ind w:left="2160" w:firstLine="720"/>
        <w:jc w:val="both"/>
        <w:rPr>
          <w:sz w:val="28"/>
          <w:szCs w:val="28"/>
        </w:rPr>
      </w:pPr>
      <w:r w:rsidRPr="00955A09">
        <w:rPr>
          <w:sz w:val="28"/>
          <w:szCs w:val="28"/>
        </w:rPr>
        <w:t>SUPREME COURT</w:t>
      </w:r>
      <w:r>
        <w:rPr>
          <w:sz w:val="28"/>
          <w:szCs w:val="28"/>
        </w:rPr>
        <w:t xml:space="preserve"> OF ARIZONA</w:t>
      </w:r>
    </w:p>
    <w:p w14:paraId="1BEC4B71" w14:textId="77777777" w:rsidR="00BF4ED1" w:rsidRPr="00955A09" w:rsidRDefault="00BF4ED1" w:rsidP="00BF4ED1">
      <w:pPr>
        <w:jc w:val="both"/>
        <w:rPr>
          <w:sz w:val="28"/>
          <w:szCs w:val="28"/>
        </w:rPr>
      </w:pPr>
    </w:p>
    <w:p w14:paraId="5316FF1F" w14:textId="77777777" w:rsidR="00BF4ED1" w:rsidRDefault="00BF4ED1" w:rsidP="00BF4ED1">
      <w:pPr>
        <w:jc w:val="both"/>
        <w:rPr>
          <w:sz w:val="28"/>
          <w:szCs w:val="28"/>
        </w:rPr>
      </w:pPr>
    </w:p>
    <w:p w14:paraId="2CBD055B" w14:textId="22D69842" w:rsidR="00BA4F1A" w:rsidRDefault="00BA4F1A" w:rsidP="00BF4ED1">
      <w:pPr>
        <w:jc w:val="both"/>
        <w:rPr>
          <w:sz w:val="28"/>
          <w:szCs w:val="28"/>
        </w:rPr>
      </w:pPr>
      <w:r>
        <w:rPr>
          <w:sz w:val="28"/>
          <w:szCs w:val="28"/>
        </w:rPr>
        <w:t xml:space="preserve">SUPPLEMENTAL </w:t>
      </w:r>
      <w:r w:rsidR="00BF4ED1">
        <w:rPr>
          <w:sz w:val="28"/>
          <w:szCs w:val="28"/>
        </w:rPr>
        <w:t xml:space="preserve">PETITION </w:t>
      </w:r>
      <w:r>
        <w:rPr>
          <w:sz w:val="28"/>
          <w:szCs w:val="28"/>
        </w:rPr>
        <w:tab/>
      </w:r>
      <w:r>
        <w:rPr>
          <w:sz w:val="28"/>
          <w:szCs w:val="28"/>
        </w:rPr>
        <w:tab/>
        <w:t>)  S</w:t>
      </w:r>
      <w:r w:rsidRPr="00955A09">
        <w:rPr>
          <w:sz w:val="28"/>
          <w:szCs w:val="28"/>
        </w:rPr>
        <w:t>upreme Court No. R-</w:t>
      </w:r>
      <w:r>
        <w:rPr>
          <w:sz w:val="28"/>
          <w:szCs w:val="28"/>
        </w:rPr>
        <w:t>18-0044</w:t>
      </w:r>
    </w:p>
    <w:p w14:paraId="344636A2" w14:textId="05F924DB" w:rsidR="00BF4ED1" w:rsidRDefault="00BA4F1A" w:rsidP="00BF4ED1">
      <w:pPr>
        <w:jc w:val="both"/>
        <w:rPr>
          <w:sz w:val="28"/>
          <w:szCs w:val="28"/>
        </w:rPr>
      </w:pPr>
      <w:r>
        <w:rPr>
          <w:sz w:val="28"/>
          <w:szCs w:val="28"/>
        </w:rPr>
        <w:t xml:space="preserve">REGARDING </w:t>
      </w:r>
      <w:r w:rsidR="00AA02E4">
        <w:rPr>
          <w:sz w:val="28"/>
          <w:szCs w:val="28"/>
        </w:rPr>
        <w:t xml:space="preserve">RULE </w:t>
      </w:r>
      <w:r w:rsidR="00873283">
        <w:rPr>
          <w:sz w:val="28"/>
          <w:szCs w:val="28"/>
        </w:rPr>
        <w:t>45</w:t>
      </w:r>
      <w:r w:rsidR="00AA02E4">
        <w:rPr>
          <w:sz w:val="28"/>
          <w:szCs w:val="28"/>
        </w:rPr>
        <w:t xml:space="preserve">, </w:t>
      </w:r>
      <w:r w:rsidR="00AA02E4">
        <w:rPr>
          <w:sz w:val="28"/>
          <w:szCs w:val="28"/>
        </w:rPr>
        <w:tab/>
      </w:r>
      <w:r>
        <w:rPr>
          <w:sz w:val="28"/>
          <w:szCs w:val="28"/>
        </w:rPr>
        <w:tab/>
      </w:r>
      <w:r w:rsidR="00BF4ED1">
        <w:rPr>
          <w:sz w:val="28"/>
          <w:szCs w:val="28"/>
        </w:rPr>
        <w:t xml:space="preserve">) </w:t>
      </w:r>
      <w:r w:rsidR="007063D5">
        <w:rPr>
          <w:sz w:val="28"/>
          <w:szCs w:val="28"/>
        </w:rPr>
        <w:t xml:space="preserve"> </w:t>
      </w:r>
    </w:p>
    <w:p w14:paraId="04AAADB0" w14:textId="56D8FA3D" w:rsidR="00BF4ED1" w:rsidRDefault="00BF4ED1" w:rsidP="00BF4ED1">
      <w:pPr>
        <w:jc w:val="both"/>
        <w:rPr>
          <w:sz w:val="28"/>
          <w:szCs w:val="28"/>
        </w:rPr>
      </w:pPr>
      <w:r>
        <w:rPr>
          <w:sz w:val="28"/>
          <w:szCs w:val="28"/>
        </w:rPr>
        <w:t xml:space="preserve">ARIZONA RULES OF </w:t>
      </w:r>
      <w:r w:rsidR="00AA02E4">
        <w:rPr>
          <w:sz w:val="28"/>
          <w:szCs w:val="28"/>
        </w:rPr>
        <w:t>PROBATE</w:t>
      </w:r>
      <w:r>
        <w:rPr>
          <w:sz w:val="28"/>
          <w:szCs w:val="28"/>
        </w:rPr>
        <w:tab/>
        <w:t>)</w:t>
      </w:r>
      <w:r w:rsidR="00BA4F1A">
        <w:rPr>
          <w:sz w:val="28"/>
          <w:szCs w:val="28"/>
        </w:rPr>
        <w:t xml:space="preserve">  </w:t>
      </w:r>
      <w:r w:rsidR="006F1552" w:rsidRPr="006F1552">
        <w:rPr>
          <w:b/>
          <w:sz w:val="28"/>
          <w:szCs w:val="28"/>
          <w:u w:val="single"/>
        </w:rPr>
        <w:t>Reply</w:t>
      </w:r>
      <w:r w:rsidR="006F1552" w:rsidRPr="006F1552">
        <w:rPr>
          <w:b/>
          <w:sz w:val="28"/>
          <w:szCs w:val="28"/>
        </w:rPr>
        <w:t xml:space="preserve"> re:</w:t>
      </w:r>
      <w:r w:rsidR="006F1552">
        <w:rPr>
          <w:sz w:val="28"/>
          <w:szCs w:val="28"/>
        </w:rPr>
        <w:t xml:space="preserve"> </w:t>
      </w:r>
      <w:r w:rsidR="00BA4F1A" w:rsidRPr="00CA795C">
        <w:rPr>
          <w:b/>
          <w:sz w:val="28"/>
          <w:szCs w:val="28"/>
        </w:rPr>
        <w:t>Supplemental Petition</w:t>
      </w:r>
    </w:p>
    <w:p w14:paraId="22D5DB55" w14:textId="420791B1" w:rsidR="00AA02E4" w:rsidRDefault="00BF4ED1" w:rsidP="00BF4ED1">
      <w:pPr>
        <w:ind w:left="4320" w:hanging="4320"/>
        <w:jc w:val="both"/>
        <w:rPr>
          <w:sz w:val="28"/>
          <w:szCs w:val="28"/>
        </w:rPr>
      </w:pPr>
      <w:r>
        <w:rPr>
          <w:sz w:val="28"/>
          <w:szCs w:val="28"/>
        </w:rPr>
        <w:t>PROCEDURE</w:t>
      </w:r>
      <w:r w:rsidR="00AA02E4">
        <w:rPr>
          <w:sz w:val="28"/>
          <w:szCs w:val="28"/>
        </w:rPr>
        <w:tab/>
        <w:t>)</w:t>
      </w:r>
      <w:r w:rsidR="00CA795C">
        <w:rPr>
          <w:sz w:val="28"/>
          <w:szCs w:val="28"/>
        </w:rPr>
        <w:t xml:space="preserve">  </w:t>
      </w:r>
    </w:p>
    <w:p w14:paraId="014C0DAC" w14:textId="376D0C9E" w:rsidR="00BF4ED1" w:rsidRDefault="00AA02E4" w:rsidP="00BF4ED1">
      <w:pPr>
        <w:ind w:left="4320" w:hanging="4320"/>
        <w:jc w:val="both"/>
        <w:rPr>
          <w:sz w:val="28"/>
          <w:szCs w:val="28"/>
        </w:rPr>
      </w:pPr>
      <w:r>
        <w:rPr>
          <w:sz w:val="28"/>
          <w:szCs w:val="28"/>
        </w:rPr>
        <w:tab/>
      </w:r>
      <w:r w:rsidR="00BF4ED1">
        <w:rPr>
          <w:sz w:val="28"/>
          <w:szCs w:val="28"/>
        </w:rPr>
        <w:t xml:space="preserve">)  </w:t>
      </w:r>
    </w:p>
    <w:p w14:paraId="5DB51F07" w14:textId="0B286C0A" w:rsidR="00BF4ED1" w:rsidRDefault="00BF4ED1" w:rsidP="00BF4ED1">
      <w:pPr>
        <w:jc w:val="both"/>
        <w:rPr>
          <w:sz w:val="28"/>
          <w:szCs w:val="28"/>
        </w:rPr>
      </w:pPr>
      <w:r>
        <w:rPr>
          <w:sz w:val="28"/>
          <w:szCs w:val="28"/>
        </w:rPr>
        <w:t xml:space="preserve">_______________________________)  </w:t>
      </w:r>
    </w:p>
    <w:p w14:paraId="08743B72" w14:textId="77777777" w:rsidR="00532AD5" w:rsidRDefault="00532AD5" w:rsidP="00BF4ED1"/>
    <w:p w14:paraId="6E193291" w14:textId="5D04C848" w:rsidR="00EE7D42" w:rsidRPr="006F1552" w:rsidRDefault="00DA377A" w:rsidP="006E3772">
      <w:pPr>
        <w:spacing w:line="480" w:lineRule="auto"/>
        <w:ind w:firstLine="720"/>
        <w:jc w:val="both"/>
        <w:rPr>
          <w:sz w:val="28"/>
          <w:szCs w:val="28"/>
        </w:rPr>
      </w:pPr>
      <w:r>
        <w:rPr>
          <w:sz w:val="28"/>
          <w:szCs w:val="28"/>
        </w:rPr>
        <w:t>The Editorial Group</w:t>
      </w:r>
      <w:r w:rsidR="006F1552">
        <w:rPr>
          <w:sz w:val="28"/>
          <w:szCs w:val="28"/>
        </w:rPr>
        <w:t xml:space="preserve"> submits this Reply concerning the Supplemental Petition</w:t>
      </w:r>
      <w:r w:rsidR="00921559" w:rsidRPr="006F1552">
        <w:rPr>
          <w:sz w:val="28"/>
          <w:szCs w:val="28"/>
        </w:rPr>
        <w:t>.</w:t>
      </w:r>
    </w:p>
    <w:p w14:paraId="71537B2F" w14:textId="0008B555" w:rsidR="005764F0" w:rsidRDefault="00B80838" w:rsidP="006E3772">
      <w:pPr>
        <w:spacing w:line="480" w:lineRule="auto"/>
        <w:ind w:firstLine="720"/>
        <w:jc w:val="both"/>
        <w:rPr>
          <w:sz w:val="28"/>
          <w:szCs w:val="28"/>
        </w:rPr>
      </w:pPr>
      <w:r w:rsidRPr="00B80838">
        <w:rPr>
          <w:b/>
          <w:sz w:val="28"/>
          <w:szCs w:val="28"/>
        </w:rPr>
        <w:t>1.</w:t>
      </w:r>
      <w:r>
        <w:rPr>
          <w:sz w:val="28"/>
          <w:szCs w:val="28"/>
        </w:rPr>
        <w:t xml:space="preserve"> </w:t>
      </w:r>
      <w:r w:rsidR="006F1552">
        <w:rPr>
          <w:b/>
          <w:sz w:val="28"/>
          <w:szCs w:val="28"/>
          <w:u w:val="single"/>
        </w:rPr>
        <w:t>Distribution of the Supplemental Petition</w:t>
      </w:r>
      <w:r w:rsidR="00AA02E4" w:rsidRPr="00EB137C">
        <w:rPr>
          <w:b/>
          <w:sz w:val="28"/>
          <w:szCs w:val="28"/>
          <w:u w:val="single"/>
        </w:rPr>
        <w:t>.</w:t>
      </w:r>
      <w:r w:rsidR="00AA02E4">
        <w:rPr>
          <w:sz w:val="28"/>
          <w:szCs w:val="28"/>
        </w:rPr>
        <w:t xml:space="preserve"> </w:t>
      </w:r>
      <w:r w:rsidR="007063D5">
        <w:rPr>
          <w:sz w:val="28"/>
          <w:szCs w:val="28"/>
        </w:rPr>
        <w:t xml:space="preserve"> </w:t>
      </w:r>
      <w:r w:rsidR="006F1552">
        <w:rPr>
          <w:sz w:val="28"/>
          <w:szCs w:val="28"/>
        </w:rPr>
        <w:t xml:space="preserve">The deadline for filing comments to the Supplemental Petition was November 1, 2019.  No formal comments were filed on the Court’s Rules Forum, and Editorial Group members received no informal comments.  </w:t>
      </w:r>
      <w:r w:rsidR="00FA70B7">
        <w:rPr>
          <w:sz w:val="28"/>
          <w:szCs w:val="28"/>
        </w:rPr>
        <w:t>T</w:t>
      </w:r>
      <w:r w:rsidR="006F1552">
        <w:rPr>
          <w:sz w:val="28"/>
          <w:szCs w:val="28"/>
        </w:rPr>
        <w:t>he Editorial Group note</w:t>
      </w:r>
      <w:r w:rsidR="00DA377A">
        <w:rPr>
          <w:sz w:val="28"/>
          <w:szCs w:val="28"/>
        </w:rPr>
        <w:t>s</w:t>
      </w:r>
      <w:r w:rsidR="006F1552">
        <w:rPr>
          <w:sz w:val="28"/>
          <w:szCs w:val="28"/>
        </w:rPr>
        <w:t xml:space="preserve"> that on October 2, 2019, a link to the Supplemental Petition</w:t>
      </w:r>
      <w:r w:rsidR="007F56B8">
        <w:rPr>
          <w:sz w:val="28"/>
          <w:szCs w:val="28"/>
        </w:rPr>
        <w:t xml:space="preserve"> </w:t>
      </w:r>
      <w:r w:rsidR="006F6764">
        <w:rPr>
          <w:sz w:val="28"/>
          <w:szCs w:val="28"/>
        </w:rPr>
        <w:t xml:space="preserve">along </w:t>
      </w:r>
      <w:r w:rsidR="007F56B8">
        <w:rPr>
          <w:sz w:val="28"/>
          <w:szCs w:val="28"/>
        </w:rPr>
        <w:t>with</w:t>
      </w:r>
      <w:r w:rsidR="006F1552">
        <w:rPr>
          <w:sz w:val="28"/>
          <w:szCs w:val="28"/>
        </w:rPr>
        <w:t xml:space="preserve"> an invitation to comment was provided to </w:t>
      </w:r>
      <w:r w:rsidR="00A66B83">
        <w:rPr>
          <w:sz w:val="28"/>
          <w:szCs w:val="28"/>
        </w:rPr>
        <w:t xml:space="preserve">(1) </w:t>
      </w:r>
      <w:r w:rsidR="006F1552">
        <w:rPr>
          <w:sz w:val="28"/>
          <w:szCs w:val="28"/>
        </w:rPr>
        <w:t>individuals who previously filed comments concerning the original R-18-0044 petition</w:t>
      </w:r>
      <w:r w:rsidR="00A66B83">
        <w:rPr>
          <w:sz w:val="28"/>
          <w:szCs w:val="28"/>
        </w:rPr>
        <w:t xml:space="preserve">; (2) </w:t>
      </w:r>
      <w:r w:rsidR="006F1552">
        <w:rPr>
          <w:sz w:val="28"/>
          <w:szCs w:val="28"/>
        </w:rPr>
        <w:t xml:space="preserve">representatives of </w:t>
      </w:r>
      <w:r w:rsidR="00A66B83">
        <w:rPr>
          <w:sz w:val="28"/>
          <w:szCs w:val="28"/>
        </w:rPr>
        <w:t>the State Bar of Arizona</w:t>
      </w:r>
      <w:r w:rsidR="007F56B8">
        <w:rPr>
          <w:sz w:val="28"/>
          <w:szCs w:val="28"/>
        </w:rPr>
        <w:t>’s</w:t>
      </w:r>
      <w:r w:rsidR="00A66B83">
        <w:rPr>
          <w:sz w:val="28"/>
          <w:szCs w:val="28"/>
        </w:rPr>
        <w:t xml:space="preserve"> Probate and Trust</w:t>
      </w:r>
      <w:r w:rsidR="00DA377A">
        <w:rPr>
          <w:sz w:val="28"/>
          <w:szCs w:val="28"/>
        </w:rPr>
        <w:t xml:space="preserve"> Section</w:t>
      </w:r>
      <w:r w:rsidR="00A66B83">
        <w:rPr>
          <w:sz w:val="28"/>
          <w:szCs w:val="28"/>
        </w:rPr>
        <w:t xml:space="preserve">, and </w:t>
      </w:r>
      <w:r w:rsidR="00DA377A">
        <w:rPr>
          <w:sz w:val="28"/>
          <w:szCs w:val="28"/>
        </w:rPr>
        <w:t xml:space="preserve">the </w:t>
      </w:r>
      <w:r w:rsidR="00A66B83">
        <w:rPr>
          <w:sz w:val="28"/>
          <w:szCs w:val="28"/>
        </w:rPr>
        <w:t>Elder Law, Mental Health, and Special Needs Planning</w:t>
      </w:r>
      <w:r w:rsidR="00DA377A">
        <w:rPr>
          <w:sz w:val="28"/>
          <w:szCs w:val="28"/>
        </w:rPr>
        <w:t xml:space="preserve"> Section</w:t>
      </w:r>
      <w:r w:rsidR="00A66B83">
        <w:rPr>
          <w:sz w:val="28"/>
          <w:szCs w:val="28"/>
        </w:rPr>
        <w:t>; and (3) a representative of the Maricopa County Bar Association</w:t>
      </w:r>
      <w:r w:rsidR="00DA377A">
        <w:rPr>
          <w:sz w:val="28"/>
          <w:szCs w:val="28"/>
        </w:rPr>
        <w:t>’s</w:t>
      </w:r>
      <w:r w:rsidR="00A66B83">
        <w:rPr>
          <w:sz w:val="28"/>
          <w:szCs w:val="28"/>
        </w:rPr>
        <w:t xml:space="preserve"> Estate Planning, Probate, and Trust Section.</w:t>
      </w:r>
    </w:p>
    <w:p w14:paraId="31672795" w14:textId="3789F9B9" w:rsidR="00921559" w:rsidRDefault="00B80838" w:rsidP="00846EB6">
      <w:pPr>
        <w:spacing w:line="480" w:lineRule="auto"/>
        <w:ind w:firstLine="720"/>
        <w:jc w:val="both"/>
        <w:rPr>
          <w:sz w:val="28"/>
          <w:szCs w:val="28"/>
        </w:rPr>
      </w:pPr>
      <w:r w:rsidRPr="00B80838">
        <w:rPr>
          <w:b/>
          <w:sz w:val="28"/>
          <w:szCs w:val="28"/>
        </w:rPr>
        <w:lastRenderedPageBreak/>
        <w:t>2.</w:t>
      </w:r>
      <w:r>
        <w:rPr>
          <w:sz w:val="28"/>
          <w:szCs w:val="28"/>
        </w:rPr>
        <w:t xml:space="preserve"> </w:t>
      </w:r>
      <w:r w:rsidR="00846EB6">
        <w:rPr>
          <w:b/>
          <w:sz w:val="28"/>
          <w:szCs w:val="28"/>
          <w:u w:val="single"/>
        </w:rPr>
        <w:t>Technical Corrections</w:t>
      </w:r>
      <w:r w:rsidR="00EB137C" w:rsidRPr="00035F8E">
        <w:rPr>
          <w:b/>
          <w:sz w:val="28"/>
          <w:szCs w:val="28"/>
          <w:u w:val="single"/>
        </w:rPr>
        <w:t>.</w:t>
      </w:r>
      <w:r w:rsidR="00EB137C" w:rsidRPr="007063D5">
        <w:rPr>
          <w:sz w:val="28"/>
          <w:szCs w:val="28"/>
        </w:rPr>
        <w:t xml:space="preserve"> </w:t>
      </w:r>
      <w:r w:rsidR="00792869" w:rsidRPr="007063D5">
        <w:rPr>
          <w:sz w:val="28"/>
          <w:szCs w:val="28"/>
        </w:rPr>
        <w:t xml:space="preserve"> </w:t>
      </w:r>
      <w:r w:rsidR="00846EB6">
        <w:rPr>
          <w:sz w:val="28"/>
          <w:szCs w:val="28"/>
        </w:rPr>
        <w:t>After further review of the probate rules adopted by the Court’s August 29, 2019 Order in R-18-0044, the Editorial Group requests the following technical corrections to those rules.</w:t>
      </w:r>
    </w:p>
    <w:p w14:paraId="230F345D" w14:textId="3909D926" w:rsidR="004E573B" w:rsidRDefault="004E573B" w:rsidP="00846EB6">
      <w:pPr>
        <w:spacing w:line="480" w:lineRule="auto"/>
        <w:ind w:firstLine="720"/>
        <w:jc w:val="both"/>
        <w:rPr>
          <w:b/>
          <w:sz w:val="28"/>
          <w:szCs w:val="28"/>
          <w:u w:val="single"/>
        </w:rPr>
      </w:pPr>
      <w:r>
        <w:rPr>
          <w:b/>
          <w:sz w:val="28"/>
          <w:szCs w:val="28"/>
          <w:u w:val="single"/>
        </w:rPr>
        <w:t>A. Rule 1</w:t>
      </w:r>
    </w:p>
    <w:p w14:paraId="49DC65F7" w14:textId="2F555518" w:rsidR="004E573B" w:rsidRDefault="004E573B" w:rsidP="004E573B">
      <w:pPr>
        <w:spacing w:line="480" w:lineRule="auto"/>
        <w:ind w:left="1530" w:hanging="810"/>
        <w:jc w:val="both"/>
        <w:rPr>
          <w:sz w:val="28"/>
          <w:szCs w:val="28"/>
        </w:rPr>
      </w:pPr>
      <w:r>
        <w:rPr>
          <w:b/>
          <w:i/>
          <w:sz w:val="28"/>
          <w:szCs w:val="28"/>
        </w:rPr>
        <w:t>Now says:</w:t>
      </w:r>
      <w:r w:rsidRPr="006E3772">
        <w:rPr>
          <w:sz w:val="28"/>
          <w:szCs w:val="28"/>
        </w:rPr>
        <w:t xml:space="preserve"> </w:t>
      </w:r>
      <w:r w:rsidR="000C28C1" w:rsidRPr="00DA377A">
        <w:rPr>
          <w:sz w:val="28"/>
          <w:szCs w:val="28"/>
        </w:rPr>
        <w:t>T</w:t>
      </w:r>
      <w:r>
        <w:rPr>
          <w:sz w:val="28"/>
          <w:szCs w:val="28"/>
        </w:rPr>
        <w:t>he section</w:t>
      </w:r>
      <w:r w:rsidR="00F03906">
        <w:rPr>
          <w:sz w:val="28"/>
          <w:szCs w:val="28"/>
        </w:rPr>
        <w:t>s on</w:t>
      </w:r>
      <w:r>
        <w:rPr>
          <w:sz w:val="28"/>
          <w:szCs w:val="28"/>
        </w:rPr>
        <w:t xml:space="preserve"> “scope,” “applicability,” and “construction”</w:t>
      </w:r>
      <w:r w:rsidR="000C28C1">
        <w:rPr>
          <w:sz w:val="28"/>
          <w:szCs w:val="28"/>
        </w:rPr>
        <w:t xml:space="preserve"> </w:t>
      </w:r>
      <w:r w:rsidR="00ED2CAC">
        <w:rPr>
          <w:sz w:val="28"/>
          <w:szCs w:val="28"/>
        </w:rPr>
        <w:t xml:space="preserve">were </w:t>
      </w:r>
      <w:r w:rsidR="000C28C1">
        <w:rPr>
          <w:sz w:val="28"/>
          <w:szCs w:val="28"/>
        </w:rPr>
        <w:t>shown without their respective letter designations.</w:t>
      </w:r>
    </w:p>
    <w:p w14:paraId="2D9C488D" w14:textId="40DD1A0A" w:rsidR="004E573B" w:rsidRPr="004E573B" w:rsidRDefault="004E573B" w:rsidP="004E573B">
      <w:pPr>
        <w:spacing w:line="480" w:lineRule="auto"/>
        <w:ind w:left="1530" w:hanging="810"/>
        <w:jc w:val="both"/>
        <w:rPr>
          <w:sz w:val="28"/>
          <w:szCs w:val="28"/>
        </w:rPr>
      </w:pPr>
      <w:r>
        <w:rPr>
          <w:b/>
          <w:i/>
          <w:sz w:val="28"/>
          <w:szCs w:val="28"/>
        </w:rPr>
        <w:t>Correction</w:t>
      </w:r>
      <w:r w:rsidRPr="004E573B">
        <w:rPr>
          <w:b/>
          <w:i/>
          <w:sz w:val="28"/>
          <w:szCs w:val="28"/>
        </w:rPr>
        <w:t>:</w:t>
      </w:r>
      <w:r w:rsidRPr="006E3772">
        <w:rPr>
          <w:sz w:val="28"/>
          <w:szCs w:val="28"/>
        </w:rPr>
        <w:t xml:space="preserve"> </w:t>
      </w:r>
      <w:r>
        <w:rPr>
          <w:sz w:val="28"/>
          <w:szCs w:val="28"/>
        </w:rPr>
        <w:t>The section designations (a), (b), and (c) should appear before each respective section</w:t>
      </w:r>
      <w:r w:rsidR="006F6764">
        <w:rPr>
          <w:sz w:val="28"/>
          <w:szCs w:val="28"/>
        </w:rPr>
        <w:t xml:space="preserve"> title</w:t>
      </w:r>
      <w:r>
        <w:rPr>
          <w:sz w:val="28"/>
          <w:szCs w:val="28"/>
        </w:rPr>
        <w:t>.</w:t>
      </w:r>
    </w:p>
    <w:p w14:paraId="433DEF2C" w14:textId="28DF8C1E" w:rsidR="00846EB6" w:rsidRPr="005D07D1" w:rsidRDefault="004E573B" w:rsidP="00846EB6">
      <w:pPr>
        <w:spacing w:line="480" w:lineRule="auto"/>
        <w:ind w:firstLine="720"/>
        <w:jc w:val="both"/>
        <w:rPr>
          <w:b/>
          <w:sz w:val="28"/>
          <w:szCs w:val="28"/>
          <w:u w:val="single"/>
        </w:rPr>
      </w:pPr>
      <w:r>
        <w:rPr>
          <w:b/>
          <w:sz w:val="28"/>
          <w:szCs w:val="28"/>
          <w:u w:val="single"/>
        </w:rPr>
        <w:t>B</w:t>
      </w:r>
      <w:r w:rsidR="00846EB6" w:rsidRPr="005D07D1">
        <w:rPr>
          <w:b/>
          <w:sz w:val="28"/>
          <w:szCs w:val="28"/>
          <w:u w:val="single"/>
        </w:rPr>
        <w:t xml:space="preserve">. </w:t>
      </w:r>
      <w:r w:rsidR="005D07D1" w:rsidRPr="005D07D1">
        <w:rPr>
          <w:b/>
          <w:sz w:val="28"/>
          <w:szCs w:val="28"/>
          <w:u w:val="single"/>
        </w:rPr>
        <w:t>Rule 15(</w:t>
      </w:r>
      <w:proofErr w:type="spellStart"/>
      <w:r w:rsidR="005D07D1" w:rsidRPr="005D07D1">
        <w:rPr>
          <w:b/>
          <w:sz w:val="28"/>
          <w:szCs w:val="28"/>
          <w:u w:val="single"/>
        </w:rPr>
        <w:t>i</w:t>
      </w:r>
      <w:proofErr w:type="spellEnd"/>
      <w:r w:rsidR="005D07D1" w:rsidRPr="005D07D1">
        <w:rPr>
          <w:b/>
          <w:sz w:val="28"/>
          <w:szCs w:val="28"/>
          <w:u w:val="single"/>
        </w:rPr>
        <w:t>)</w:t>
      </w:r>
    </w:p>
    <w:p w14:paraId="67253F4F" w14:textId="7CDCFE68" w:rsidR="005D07D1" w:rsidRPr="005D07D1" w:rsidRDefault="004E573B" w:rsidP="00846EB6">
      <w:pPr>
        <w:spacing w:line="480" w:lineRule="auto"/>
        <w:ind w:firstLine="720"/>
        <w:jc w:val="both"/>
        <w:rPr>
          <w:sz w:val="28"/>
          <w:szCs w:val="28"/>
        </w:rPr>
      </w:pPr>
      <w:r>
        <w:rPr>
          <w:b/>
          <w:i/>
          <w:sz w:val="28"/>
          <w:szCs w:val="28"/>
        </w:rPr>
        <w:t>Now s</w:t>
      </w:r>
      <w:r w:rsidR="005D07D1" w:rsidRPr="005D07D1">
        <w:rPr>
          <w:b/>
          <w:i/>
          <w:sz w:val="28"/>
          <w:szCs w:val="28"/>
        </w:rPr>
        <w:t>ays:</w:t>
      </w:r>
      <w:r w:rsidR="005D07D1" w:rsidRPr="005D07D1">
        <w:rPr>
          <w:sz w:val="28"/>
          <w:szCs w:val="28"/>
        </w:rPr>
        <w:t xml:space="preserve"> “Section (h) does not apply to a petition under Rule 44…”</w:t>
      </w:r>
    </w:p>
    <w:p w14:paraId="12DB160F" w14:textId="7E35E9A8" w:rsidR="005D07D1" w:rsidRPr="005D07D1" w:rsidRDefault="004E573B" w:rsidP="004E573B">
      <w:pPr>
        <w:spacing w:line="480" w:lineRule="auto"/>
        <w:ind w:left="1530" w:hanging="810"/>
        <w:jc w:val="both"/>
        <w:rPr>
          <w:sz w:val="28"/>
          <w:szCs w:val="28"/>
        </w:rPr>
      </w:pPr>
      <w:r>
        <w:rPr>
          <w:b/>
          <w:i/>
          <w:sz w:val="28"/>
          <w:szCs w:val="28"/>
        </w:rPr>
        <w:t>Correction</w:t>
      </w:r>
      <w:r w:rsidR="005D07D1" w:rsidRPr="005D07D1">
        <w:rPr>
          <w:b/>
          <w:i/>
          <w:sz w:val="28"/>
          <w:szCs w:val="28"/>
        </w:rPr>
        <w:t>:</w:t>
      </w:r>
      <w:r w:rsidR="005D07D1" w:rsidRPr="005D07D1">
        <w:rPr>
          <w:sz w:val="28"/>
          <w:szCs w:val="28"/>
        </w:rPr>
        <w:t xml:space="preserve"> “</w:t>
      </w:r>
      <w:r w:rsidR="0005475F" w:rsidRPr="0005475F">
        <w:rPr>
          <w:sz w:val="28"/>
          <w:szCs w:val="28"/>
          <w:u w:val="single"/>
        </w:rPr>
        <w:t>This section</w:t>
      </w:r>
      <w:r w:rsidR="005D07D1" w:rsidRPr="005D07D1">
        <w:rPr>
          <w:sz w:val="28"/>
          <w:szCs w:val="28"/>
        </w:rPr>
        <w:t xml:space="preserve"> does not apply to a petition under Rule 44…”</w:t>
      </w:r>
      <w:r>
        <w:rPr>
          <w:sz w:val="28"/>
          <w:szCs w:val="28"/>
        </w:rPr>
        <w:t xml:space="preserve"> [</w:t>
      </w:r>
      <w:r w:rsidR="006F6764">
        <w:rPr>
          <w:sz w:val="28"/>
          <w:szCs w:val="28"/>
        </w:rPr>
        <w:t>The correction changes</w:t>
      </w:r>
      <w:r>
        <w:rPr>
          <w:sz w:val="28"/>
          <w:szCs w:val="28"/>
        </w:rPr>
        <w:t xml:space="preserve"> </w:t>
      </w:r>
      <w:r w:rsidR="00DA377A">
        <w:rPr>
          <w:sz w:val="28"/>
          <w:szCs w:val="28"/>
        </w:rPr>
        <w:t>“</w:t>
      </w:r>
      <w:r>
        <w:rPr>
          <w:sz w:val="28"/>
          <w:szCs w:val="28"/>
        </w:rPr>
        <w:t>(h)</w:t>
      </w:r>
      <w:r w:rsidR="00DA377A">
        <w:rPr>
          <w:sz w:val="28"/>
          <w:szCs w:val="28"/>
        </w:rPr>
        <w:t>”</w:t>
      </w:r>
      <w:r>
        <w:rPr>
          <w:sz w:val="28"/>
          <w:szCs w:val="28"/>
        </w:rPr>
        <w:t xml:space="preserve"> to </w:t>
      </w:r>
      <w:r w:rsidR="0005475F">
        <w:rPr>
          <w:sz w:val="28"/>
          <w:szCs w:val="28"/>
        </w:rPr>
        <w:t>“this section</w:t>
      </w:r>
      <w:r w:rsidR="00752CAE">
        <w:rPr>
          <w:sz w:val="28"/>
          <w:szCs w:val="28"/>
        </w:rPr>
        <w:t>,</w:t>
      </w:r>
      <w:r w:rsidR="0005475F">
        <w:rPr>
          <w:sz w:val="28"/>
          <w:szCs w:val="28"/>
        </w:rPr>
        <w:t>”</w:t>
      </w:r>
      <w:r w:rsidR="00752CAE">
        <w:rPr>
          <w:sz w:val="28"/>
          <w:szCs w:val="28"/>
        </w:rPr>
        <w:t xml:space="preserve"> i.e., section (</w:t>
      </w:r>
      <w:proofErr w:type="spellStart"/>
      <w:r w:rsidR="00752CAE">
        <w:rPr>
          <w:sz w:val="28"/>
          <w:szCs w:val="28"/>
        </w:rPr>
        <w:t>i</w:t>
      </w:r>
      <w:proofErr w:type="spellEnd"/>
      <w:r w:rsidR="00752CAE">
        <w:rPr>
          <w:sz w:val="28"/>
          <w:szCs w:val="28"/>
        </w:rPr>
        <w:t>).</w:t>
      </w:r>
      <w:r>
        <w:rPr>
          <w:sz w:val="28"/>
          <w:szCs w:val="28"/>
        </w:rPr>
        <w:t>]</w:t>
      </w:r>
    </w:p>
    <w:p w14:paraId="2C02BB65" w14:textId="252D0B8C" w:rsidR="005D07D1" w:rsidRPr="005D07D1" w:rsidRDefault="004E573B" w:rsidP="00846EB6">
      <w:pPr>
        <w:spacing w:line="480" w:lineRule="auto"/>
        <w:ind w:firstLine="720"/>
        <w:jc w:val="both"/>
        <w:rPr>
          <w:b/>
          <w:sz w:val="28"/>
          <w:szCs w:val="28"/>
          <w:u w:val="single"/>
        </w:rPr>
      </w:pPr>
      <w:r>
        <w:rPr>
          <w:b/>
          <w:sz w:val="28"/>
          <w:szCs w:val="28"/>
          <w:u w:val="single"/>
        </w:rPr>
        <w:t>C</w:t>
      </w:r>
      <w:r w:rsidR="005D07D1" w:rsidRPr="005D07D1">
        <w:rPr>
          <w:b/>
          <w:sz w:val="28"/>
          <w:szCs w:val="28"/>
          <w:u w:val="single"/>
        </w:rPr>
        <w:t>. Rule 18(b)(1)</w:t>
      </w:r>
    </w:p>
    <w:p w14:paraId="59A75FD9" w14:textId="6D066EEE" w:rsidR="005D07D1" w:rsidRPr="005D07D1" w:rsidRDefault="004E573B" w:rsidP="005D07D1">
      <w:pPr>
        <w:spacing w:line="480" w:lineRule="auto"/>
        <w:ind w:left="1440" w:hanging="720"/>
        <w:jc w:val="both"/>
        <w:rPr>
          <w:sz w:val="28"/>
          <w:szCs w:val="28"/>
        </w:rPr>
      </w:pPr>
      <w:r>
        <w:rPr>
          <w:b/>
          <w:i/>
          <w:sz w:val="28"/>
          <w:szCs w:val="28"/>
        </w:rPr>
        <w:t>Now s</w:t>
      </w:r>
      <w:r w:rsidR="005D07D1" w:rsidRPr="005D07D1">
        <w:rPr>
          <w:b/>
          <w:i/>
          <w:sz w:val="28"/>
          <w:szCs w:val="28"/>
        </w:rPr>
        <w:t>ays:</w:t>
      </w:r>
      <w:r w:rsidR="005D07D1" w:rsidRPr="005D07D1">
        <w:rPr>
          <w:sz w:val="28"/>
          <w:szCs w:val="28"/>
        </w:rPr>
        <w:t xml:space="preserve"> “An order administratively dismissing the only petition filed in a probate case is a dismissal without prejudice of the entire case.”</w:t>
      </w:r>
    </w:p>
    <w:p w14:paraId="7896A5D2" w14:textId="39018B89" w:rsidR="005D07D1" w:rsidRDefault="004E573B" w:rsidP="005D07D1">
      <w:pPr>
        <w:spacing w:line="480" w:lineRule="auto"/>
        <w:ind w:left="1440" w:hanging="720"/>
        <w:jc w:val="both"/>
        <w:rPr>
          <w:sz w:val="28"/>
          <w:szCs w:val="28"/>
        </w:rPr>
      </w:pPr>
      <w:r>
        <w:rPr>
          <w:b/>
          <w:i/>
          <w:sz w:val="28"/>
          <w:szCs w:val="28"/>
        </w:rPr>
        <w:t>Correction</w:t>
      </w:r>
      <w:r w:rsidR="005D07D1" w:rsidRPr="005D07D1">
        <w:rPr>
          <w:b/>
          <w:i/>
          <w:sz w:val="28"/>
          <w:szCs w:val="28"/>
        </w:rPr>
        <w:t>:</w:t>
      </w:r>
      <w:r w:rsidR="005D07D1" w:rsidRPr="005D07D1">
        <w:rPr>
          <w:sz w:val="28"/>
          <w:szCs w:val="28"/>
        </w:rPr>
        <w:t xml:space="preserve"> </w:t>
      </w:r>
      <w:r w:rsidR="005D07D1">
        <w:rPr>
          <w:sz w:val="28"/>
          <w:szCs w:val="28"/>
        </w:rPr>
        <w:t>“</w:t>
      </w:r>
      <w:r w:rsidR="005D07D1" w:rsidRPr="005D07D1">
        <w:rPr>
          <w:sz w:val="28"/>
          <w:szCs w:val="28"/>
        </w:rPr>
        <w:t>An order administratively dismissing the only petition filed in a probate case is a dismissal without prejudice of the entire case</w:t>
      </w:r>
      <w:r w:rsidR="00FA70B7" w:rsidRPr="00FA70B7">
        <w:rPr>
          <w:sz w:val="28"/>
          <w:szCs w:val="28"/>
          <w:u w:val="single"/>
        </w:rPr>
        <w:t>;</w:t>
      </w:r>
      <w:r w:rsidR="00F03906">
        <w:rPr>
          <w:sz w:val="28"/>
          <w:szCs w:val="28"/>
          <w:u w:val="single"/>
        </w:rPr>
        <w:t xml:space="preserve"> however,</w:t>
      </w:r>
      <w:r w:rsidR="005D07D1" w:rsidRPr="00FA70B7">
        <w:rPr>
          <w:sz w:val="28"/>
          <w:szCs w:val="28"/>
          <w:u w:val="single"/>
        </w:rPr>
        <w:t xml:space="preserve"> the </w:t>
      </w:r>
      <w:r w:rsidR="005D07D1" w:rsidRPr="005D07D1">
        <w:rPr>
          <w:sz w:val="28"/>
          <w:szCs w:val="28"/>
          <w:u w:val="single"/>
        </w:rPr>
        <w:t>order dismisses only the petition if the probate case was initiated by filing a document other than a petition</w:t>
      </w:r>
      <w:r w:rsidR="005D07D1" w:rsidRPr="005D07D1">
        <w:rPr>
          <w:sz w:val="28"/>
          <w:szCs w:val="28"/>
        </w:rPr>
        <w:t>.</w:t>
      </w:r>
      <w:r w:rsidR="005D07D1">
        <w:rPr>
          <w:sz w:val="28"/>
          <w:szCs w:val="28"/>
        </w:rPr>
        <w:t xml:space="preserve">”  [This accounts for probate cases initiated by </w:t>
      </w:r>
      <w:r w:rsidR="007F56B8">
        <w:rPr>
          <w:sz w:val="28"/>
          <w:szCs w:val="28"/>
        </w:rPr>
        <w:t xml:space="preserve">filing </w:t>
      </w:r>
      <w:r w:rsidR="005D07D1">
        <w:rPr>
          <w:sz w:val="28"/>
          <w:szCs w:val="28"/>
        </w:rPr>
        <w:t>a document other than a petition</w:t>
      </w:r>
      <w:r w:rsidR="000C28C1">
        <w:rPr>
          <w:sz w:val="28"/>
          <w:szCs w:val="28"/>
        </w:rPr>
        <w:t xml:space="preserve">, and </w:t>
      </w:r>
      <w:r w:rsidR="000C28C1">
        <w:rPr>
          <w:sz w:val="28"/>
          <w:szCs w:val="28"/>
        </w:rPr>
        <w:lastRenderedPageBreak/>
        <w:t>prevents inadvertent dismissal of the entire case</w:t>
      </w:r>
      <w:r w:rsidR="00752CAE">
        <w:rPr>
          <w:sz w:val="28"/>
          <w:szCs w:val="28"/>
        </w:rPr>
        <w:t xml:space="preserve"> if a subsequent petition is filed</w:t>
      </w:r>
      <w:r w:rsidR="007F56B8">
        <w:rPr>
          <w:sz w:val="28"/>
          <w:szCs w:val="28"/>
        </w:rPr>
        <w:t xml:space="preserve"> and thereafter dismissed</w:t>
      </w:r>
      <w:r w:rsidR="005D07D1">
        <w:rPr>
          <w:sz w:val="28"/>
          <w:szCs w:val="28"/>
        </w:rPr>
        <w:t>.]</w:t>
      </w:r>
    </w:p>
    <w:p w14:paraId="6A5E3050" w14:textId="2CBA6B37" w:rsidR="005D07D1" w:rsidRPr="004E573B" w:rsidRDefault="004E573B" w:rsidP="005D07D1">
      <w:pPr>
        <w:spacing w:line="480" w:lineRule="auto"/>
        <w:ind w:left="1440" w:hanging="720"/>
        <w:jc w:val="both"/>
        <w:rPr>
          <w:b/>
          <w:sz w:val="28"/>
          <w:szCs w:val="28"/>
          <w:u w:val="single"/>
        </w:rPr>
      </w:pPr>
      <w:r>
        <w:rPr>
          <w:b/>
          <w:sz w:val="28"/>
          <w:szCs w:val="28"/>
          <w:u w:val="single"/>
        </w:rPr>
        <w:t>D</w:t>
      </w:r>
      <w:r w:rsidR="005D07D1" w:rsidRPr="004E573B">
        <w:rPr>
          <w:b/>
          <w:sz w:val="28"/>
          <w:szCs w:val="28"/>
          <w:u w:val="single"/>
        </w:rPr>
        <w:t xml:space="preserve">. </w:t>
      </w:r>
      <w:r w:rsidRPr="004E573B">
        <w:rPr>
          <w:b/>
          <w:sz w:val="28"/>
          <w:szCs w:val="28"/>
          <w:u w:val="single"/>
        </w:rPr>
        <w:t xml:space="preserve"> T</w:t>
      </w:r>
      <w:r w:rsidR="006F6764">
        <w:rPr>
          <w:b/>
          <w:sz w:val="28"/>
          <w:szCs w:val="28"/>
          <w:u w:val="single"/>
        </w:rPr>
        <w:t>he t</w:t>
      </w:r>
      <w:r w:rsidRPr="004E573B">
        <w:rPr>
          <w:b/>
          <w:sz w:val="28"/>
          <w:szCs w:val="28"/>
          <w:u w:val="single"/>
        </w:rPr>
        <w:t>itle to Part VI</w:t>
      </w:r>
    </w:p>
    <w:p w14:paraId="681042A0" w14:textId="48F98FB0" w:rsidR="004E573B" w:rsidRPr="004E573B" w:rsidRDefault="004E573B" w:rsidP="005D07D1">
      <w:pPr>
        <w:spacing w:line="480" w:lineRule="auto"/>
        <w:ind w:left="1440" w:hanging="720"/>
        <w:jc w:val="both"/>
        <w:rPr>
          <w:sz w:val="28"/>
          <w:szCs w:val="28"/>
        </w:rPr>
      </w:pPr>
      <w:r w:rsidRPr="004E573B">
        <w:rPr>
          <w:b/>
          <w:i/>
          <w:sz w:val="28"/>
          <w:szCs w:val="28"/>
        </w:rPr>
        <w:t>Now says:</w:t>
      </w:r>
      <w:r w:rsidRPr="004E573B">
        <w:rPr>
          <w:sz w:val="28"/>
          <w:szCs w:val="28"/>
        </w:rPr>
        <w:t xml:space="preserve"> “Rules that Apply to Guardianships, Conservatorships, and Decedent’s Estates.”</w:t>
      </w:r>
    </w:p>
    <w:p w14:paraId="0D4AD882" w14:textId="1DFCC7BF" w:rsidR="004E573B" w:rsidRPr="004E573B" w:rsidRDefault="000C28C1" w:rsidP="005D07D1">
      <w:pPr>
        <w:spacing w:line="480" w:lineRule="auto"/>
        <w:ind w:left="1440" w:hanging="720"/>
        <w:jc w:val="both"/>
        <w:rPr>
          <w:sz w:val="28"/>
          <w:szCs w:val="28"/>
        </w:rPr>
      </w:pPr>
      <w:r>
        <w:rPr>
          <w:b/>
          <w:i/>
          <w:sz w:val="28"/>
          <w:szCs w:val="28"/>
        </w:rPr>
        <w:t>Correction</w:t>
      </w:r>
      <w:r w:rsidR="004E573B" w:rsidRPr="004E573B">
        <w:rPr>
          <w:b/>
          <w:i/>
          <w:sz w:val="28"/>
          <w:szCs w:val="28"/>
        </w:rPr>
        <w:t>:</w:t>
      </w:r>
      <w:r w:rsidR="004E573B" w:rsidRPr="004E573B">
        <w:rPr>
          <w:sz w:val="28"/>
          <w:szCs w:val="28"/>
        </w:rPr>
        <w:t xml:space="preserve"> “Rules that Apply to Guardianships, Conservatorships, and Decedents’ Estates.”  [</w:t>
      </w:r>
      <w:r w:rsidR="006F6764">
        <w:rPr>
          <w:sz w:val="28"/>
          <w:szCs w:val="28"/>
        </w:rPr>
        <w:t>The correction makes</w:t>
      </w:r>
      <w:r w:rsidR="004E573B" w:rsidRPr="004E573B">
        <w:rPr>
          <w:sz w:val="28"/>
          <w:szCs w:val="28"/>
        </w:rPr>
        <w:t xml:space="preserve"> “decedents’ estates” plural possessive</w:t>
      </w:r>
      <w:r w:rsidR="0005475F">
        <w:rPr>
          <w:sz w:val="28"/>
          <w:szCs w:val="28"/>
        </w:rPr>
        <w:t xml:space="preserve"> by moving the apostrophe</w:t>
      </w:r>
      <w:r w:rsidR="004E573B" w:rsidRPr="004E573B">
        <w:rPr>
          <w:sz w:val="28"/>
          <w:szCs w:val="28"/>
        </w:rPr>
        <w:t>.</w:t>
      </w:r>
      <w:r w:rsidR="006F6764">
        <w:rPr>
          <w:sz w:val="28"/>
          <w:szCs w:val="28"/>
        </w:rPr>
        <w:t xml:space="preserve">  The correction should be made in both the </w:t>
      </w:r>
      <w:r w:rsidR="00581308">
        <w:rPr>
          <w:sz w:val="28"/>
          <w:szCs w:val="28"/>
        </w:rPr>
        <w:t xml:space="preserve">initial list of rules </w:t>
      </w:r>
      <w:r w:rsidR="00F03906">
        <w:rPr>
          <w:sz w:val="28"/>
          <w:szCs w:val="28"/>
        </w:rPr>
        <w:t>(</w:t>
      </w:r>
      <w:r w:rsidR="00581308">
        <w:rPr>
          <w:sz w:val="28"/>
          <w:szCs w:val="28"/>
        </w:rPr>
        <w:t>titled “Arizona Rules of Probate Procedure/Contents”</w:t>
      </w:r>
      <w:r w:rsidR="00F03906">
        <w:rPr>
          <w:sz w:val="28"/>
          <w:szCs w:val="28"/>
        </w:rPr>
        <w:t>)</w:t>
      </w:r>
      <w:r w:rsidR="006F6764">
        <w:rPr>
          <w:sz w:val="28"/>
          <w:szCs w:val="28"/>
        </w:rPr>
        <w:t xml:space="preserve"> and in the title to Part VI that appears directly above Rule 36.</w:t>
      </w:r>
      <w:r w:rsidR="004E573B" w:rsidRPr="004E573B">
        <w:rPr>
          <w:sz w:val="28"/>
          <w:szCs w:val="28"/>
        </w:rPr>
        <w:t>]</w:t>
      </w:r>
    </w:p>
    <w:p w14:paraId="205AE5B5" w14:textId="429A2A4F" w:rsidR="00EE7D42" w:rsidRPr="00955A09" w:rsidRDefault="00B80838" w:rsidP="00B133F7">
      <w:pPr>
        <w:spacing w:line="480" w:lineRule="auto"/>
        <w:jc w:val="both"/>
        <w:rPr>
          <w:sz w:val="28"/>
          <w:szCs w:val="28"/>
        </w:rPr>
      </w:pPr>
      <w:r>
        <w:rPr>
          <w:sz w:val="28"/>
          <w:szCs w:val="28"/>
        </w:rPr>
        <w:tab/>
      </w:r>
      <w:r w:rsidR="00EE7D42">
        <w:rPr>
          <w:sz w:val="28"/>
          <w:szCs w:val="28"/>
        </w:rPr>
        <w:t xml:space="preserve">RESPECTFULLY SUBMITTED this </w:t>
      </w:r>
      <w:r w:rsidR="00ED2CAC">
        <w:rPr>
          <w:sz w:val="28"/>
          <w:szCs w:val="28"/>
        </w:rPr>
        <w:t>12</w:t>
      </w:r>
      <w:r w:rsidR="00ED2CAC" w:rsidRPr="00ED2CAC">
        <w:rPr>
          <w:sz w:val="28"/>
          <w:szCs w:val="28"/>
          <w:vertAlign w:val="superscript"/>
        </w:rPr>
        <w:t>th</w:t>
      </w:r>
      <w:r w:rsidR="00ED2CAC">
        <w:rPr>
          <w:sz w:val="28"/>
          <w:szCs w:val="28"/>
        </w:rPr>
        <w:t xml:space="preserve"> </w:t>
      </w:r>
      <w:r w:rsidR="00EE7D42" w:rsidRPr="00955A09">
        <w:rPr>
          <w:sz w:val="28"/>
          <w:szCs w:val="28"/>
        </w:rPr>
        <w:t xml:space="preserve">day of </w:t>
      </w:r>
      <w:r w:rsidR="004E573B">
        <w:rPr>
          <w:sz w:val="28"/>
          <w:szCs w:val="28"/>
        </w:rPr>
        <w:t xml:space="preserve">November </w:t>
      </w:r>
      <w:r w:rsidR="00EE7D42">
        <w:rPr>
          <w:sz w:val="28"/>
          <w:szCs w:val="28"/>
        </w:rPr>
        <w:t>201</w:t>
      </w:r>
      <w:r w:rsidR="00CD7342">
        <w:rPr>
          <w:sz w:val="28"/>
          <w:szCs w:val="28"/>
        </w:rPr>
        <w:t>9</w:t>
      </w:r>
      <w:r w:rsidR="00EE7D42">
        <w:rPr>
          <w:sz w:val="28"/>
          <w:szCs w:val="28"/>
        </w:rPr>
        <w:t>.</w:t>
      </w:r>
    </w:p>
    <w:p w14:paraId="5A2B1670" w14:textId="77777777" w:rsidR="00EE7D42" w:rsidRPr="00955A09" w:rsidRDefault="00EE7D42" w:rsidP="00EE7D42">
      <w:pPr>
        <w:keepNext/>
        <w:jc w:val="both"/>
        <w:rPr>
          <w:sz w:val="28"/>
          <w:szCs w:val="28"/>
        </w:rPr>
      </w:pPr>
    </w:p>
    <w:p w14:paraId="42089DAE" w14:textId="77777777" w:rsidR="00EE7D42" w:rsidRDefault="00EE7D42" w:rsidP="00EE7D42">
      <w:pPr>
        <w:keepNext/>
        <w:ind w:left="2880" w:firstLine="720"/>
        <w:jc w:val="both"/>
        <w:rPr>
          <w:sz w:val="28"/>
          <w:szCs w:val="28"/>
        </w:rPr>
      </w:pPr>
    </w:p>
    <w:p w14:paraId="5F95F1A1" w14:textId="6D85F3C8" w:rsidR="00EE7D42" w:rsidRPr="0076259F" w:rsidRDefault="00EE7D42" w:rsidP="00EE7D42">
      <w:pPr>
        <w:keepNext/>
        <w:ind w:left="2880" w:firstLine="720"/>
        <w:jc w:val="both"/>
        <w:rPr>
          <w:sz w:val="28"/>
          <w:szCs w:val="28"/>
          <w:u w:val="single"/>
        </w:rPr>
      </w:pPr>
      <w:r>
        <w:rPr>
          <w:sz w:val="28"/>
          <w:szCs w:val="28"/>
        </w:rPr>
        <w:t xml:space="preserve">By </w:t>
      </w:r>
      <w:r w:rsidR="00ED2CAC">
        <w:rPr>
          <w:sz w:val="28"/>
          <w:szCs w:val="28"/>
        </w:rPr>
        <w:t xml:space="preserve">/s/ </w:t>
      </w:r>
      <w:bookmarkStart w:id="0" w:name="_GoBack"/>
      <w:bookmarkEnd w:id="0"/>
      <w:r w:rsidR="00B80838">
        <w:rPr>
          <w:sz w:val="28"/>
          <w:szCs w:val="28"/>
          <w:u w:val="single"/>
        </w:rPr>
        <w:t>___________________________</w:t>
      </w:r>
    </w:p>
    <w:p w14:paraId="60197B79" w14:textId="33C49532" w:rsidR="00FA70B7" w:rsidRDefault="00EE7D42" w:rsidP="00192E8A">
      <w:pPr>
        <w:keepNext/>
        <w:ind w:left="3945"/>
        <w:jc w:val="both"/>
        <w:rPr>
          <w:sz w:val="28"/>
          <w:szCs w:val="28"/>
        </w:rPr>
      </w:pPr>
      <w:r>
        <w:rPr>
          <w:sz w:val="28"/>
          <w:szCs w:val="28"/>
        </w:rPr>
        <w:t xml:space="preserve">Rebecca </w:t>
      </w:r>
      <w:r w:rsidR="00D11729">
        <w:rPr>
          <w:sz w:val="28"/>
          <w:szCs w:val="28"/>
        </w:rPr>
        <w:t xml:space="preserve">White </w:t>
      </w:r>
      <w:r>
        <w:rPr>
          <w:sz w:val="28"/>
          <w:szCs w:val="28"/>
        </w:rPr>
        <w:t>Berch (</w:t>
      </w:r>
      <w:r w:rsidR="00641792">
        <w:rPr>
          <w:sz w:val="28"/>
          <w:szCs w:val="28"/>
        </w:rPr>
        <w:t xml:space="preserve">Justice, </w:t>
      </w:r>
      <w:r>
        <w:rPr>
          <w:sz w:val="28"/>
          <w:szCs w:val="28"/>
        </w:rPr>
        <w:t>ret.)</w:t>
      </w:r>
      <w:r w:rsidR="00105F57">
        <w:rPr>
          <w:sz w:val="28"/>
          <w:szCs w:val="28"/>
        </w:rPr>
        <w:t xml:space="preserve"> </w:t>
      </w:r>
    </w:p>
    <w:p w14:paraId="16638A07" w14:textId="6E0793F8" w:rsidR="00EE7D42" w:rsidRDefault="00FA70B7" w:rsidP="00192E8A">
      <w:pPr>
        <w:keepNext/>
        <w:ind w:left="3945"/>
        <w:jc w:val="both"/>
        <w:rPr>
          <w:sz w:val="28"/>
          <w:szCs w:val="28"/>
        </w:rPr>
      </w:pPr>
      <w:r>
        <w:rPr>
          <w:sz w:val="28"/>
          <w:szCs w:val="28"/>
        </w:rPr>
        <w:t xml:space="preserve">Chair, </w:t>
      </w:r>
      <w:r w:rsidR="00641792">
        <w:rPr>
          <w:sz w:val="28"/>
          <w:szCs w:val="28"/>
        </w:rPr>
        <w:t xml:space="preserve">Probate Rules </w:t>
      </w:r>
      <w:r w:rsidR="004B0B49">
        <w:rPr>
          <w:sz w:val="28"/>
          <w:szCs w:val="28"/>
        </w:rPr>
        <w:t>Task Force</w:t>
      </w:r>
    </w:p>
    <w:sectPr w:rsidR="00EE7D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6AC2" w14:textId="77777777" w:rsidR="00FF57E4" w:rsidRDefault="00FF57E4" w:rsidP="00EE7D42">
      <w:r>
        <w:separator/>
      </w:r>
    </w:p>
  </w:endnote>
  <w:endnote w:type="continuationSeparator" w:id="0">
    <w:p w14:paraId="05AF53B6" w14:textId="77777777" w:rsidR="00FF57E4" w:rsidRDefault="00FF57E4"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7B5BA50E" w14:textId="022C25EA" w:rsidR="00EE7D42" w:rsidRDefault="00EE7D42">
        <w:pPr>
          <w:pStyle w:val="Footer"/>
          <w:jc w:val="center"/>
        </w:pPr>
        <w:r>
          <w:fldChar w:fldCharType="begin"/>
        </w:r>
        <w:r>
          <w:instrText xml:space="preserve"> PAGE   \* MERGEFORMAT </w:instrText>
        </w:r>
        <w:r>
          <w:fldChar w:fldCharType="separate"/>
        </w:r>
        <w:r w:rsidR="0086706B">
          <w:rPr>
            <w:noProof/>
          </w:rPr>
          <w:t>9</w:t>
        </w:r>
        <w:r>
          <w:rPr>
            <w:noProof/>
          </w:rPr>
          <w:fldChar w:fldCharType="end"/>
        </w:r>
      </w:p>
    </w:sdtContent>
  </w:sdt>
  <w:p w14:paraId="05D80D97" w14:textId="77777777" w:rsidR="00EE7D42" w:rsidRDefault="00EE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A4642" w14:textId="77777777" w:rsidR="00FF57E4" w:rsidRDefault="00FF57E4" w:rsidP="00EE7D42">
      <w:r>
        <w:separator/>
      </w:r>
    </w:p>
  </w:footnote>
  <w:footnote w:type="continuationSeparator" w:id="0">
    <w:p w14:paraId="0C38CDED" w14:textId="77777777" w:rsidR="00FF57E4" w:rsidRDefault="00FF57E4" w:rsidP="00EE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3D10"/>
    <w:multiLevelType w:val="multilevel"/>
    <w:tmpl w:val="A35C8472"/>
    <w:lvl w:ilvl="0">
      <w:start w:val="5"/>
      <w:numFmt w:val="lowerLetter"/>
      <w:lvlText w:val="(%1)"/>
      <w:lvlJc w:val="left"/>
      <w:pPr>
        <w:ind w:left="360" w:hanging="360"/>
      </w:pPr>
      <w:rPr>
        <w:rFonts w:ascii="Times New Roman" w:eastAsia="Calibri" w:hAnsi="Times New Roman" w:cs="Times New Roman"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u w:val="none"/>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15:restartNumberingAfterBreak="0">
    <w:nsid w:val="50A1688A"/>
    <w:multiLevelType w:val="multilevel"/>
    <w:tmpl w:val="5C3836AE"/>
    <w:lvl w:ilvl="0">
      <w:start w:val="4"/>
      <w:numFmt w:val="lowerLetter"/>
      <w:lvlText w:val="(%1)"/>
      <w:lvlJc w:val="left"/>
      <w:pPr>
        <w:ind w:left="360" w:hanging="360"/>
      </w:pPr>
      <w:rPr>
        <w:rFonts w:ascii="Times New Roman" w:eastAsia="Calibri" w:hAnsi="Times New Roman" w:cs="Times New Roman" w:hint="default"/>
        <w:b/>
        <w:i w:val="0"/>
        <w:strike w:val="0"/>
        <w:sz w:val="26"/>
      </w:rPr>
    </w:lvl>
    <w:lvl w:ilvl="1">
      <w:start w:val="2"/>
      <w:numFmt w:val="decimal"/>
      <w:lvlText w:val="(%2)"/>
      <w:lvlJc w:val="left"/>
      <w:pPr>
        <w:tabs>
          <w:tab w:val="num" w:pos="864"/>
        </w:tabs>
        <w:ind w:left="864" w:hanging="504"/>
      </w:pPr>
      <w:rPr>
        <w:rFonts w:ascii="Times New Roman Bold" w:hAnsi="Times New Roman Bold" w:hint="default"/>
        <w:b/>
        <w:i w:val="0"/>
        <w:strike w:val="0"/>
        <w:sz w:val="26"/>
        <w:u w:val="single"/>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EEB214A"/>
    <w:multiLevelType w:val="multilevel"/>
    <w:tmpl w:val="0FA485E6"/>
    <w:lvl w:ilvl="0">
      <w:start w:val="1"/>
      <w:numFmt w:val="lowerLetter"/>
      <w:lvlText w:val="(%1)"/>
      <w:lvlJc w:val="left"/>
      <w:pPr>
        <w:ind w:left="360" w:hanging="360"/>
      </w:pPr>
      <w:rPr>
        <w:rFonts w:ascii="Times New Roman" w:eastAsia="Calibri" w:hAnsi="Times New Roman" w:cs="Times New Roman"/>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C0E1BAF"/>
    <w:multiLevelType w:val="multilevel"/>
    <w:tmpl w:val="0FA485E6"/>
    <w:lvl w:ilvl="0">
      <w:start w:val="1"/>
      <w:numFmt w:val="lowerLetter"/>
      <w:lvlText w:val="(%1)"/>
      <w:lvlJc w:val="left"/>
      <w:pPr>
        <w:ind w:left="360" w:hanging="360"/>
      </w:pPr>
      <w:rPr>
        <w:rFonts w:ascii="Times New Roman" w:eastAsia="Calibri" w:hAnsi="Times New Roman" w:cs="Times New Roman"/>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79E92A7F"/>
    <w:multiLevelType w:val="multilevel"/>
    <w:tmpl w:val="9D4E58C2"/>
    <w:lvl w:ilvl="0">
      <w:start w:val="1"/>
      <w:numFmt w:val="lowerLetter"/>
      <w:lvlText w:val="(%1)"/>
      <w:lvlJc w:val="left"/>
      <w:pPr>
        <w:ind w:left="360" w:hanging="360"/>
      </w:pPr>
      <w:rPr>
        <w:rFonts w:ascii="Times New Roman" w:eastAsia="Calibri" w:hAnsi="Times New Roman" w:cs="Times New Roman"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35F8E"/>
    <w:rsid w:val="000433E4"/>
    <w:rsid w:val="0005475F"/>
    <w:rsid w:val="00060C18"/>
    <w:rsid w:val="0008106A"/>
    <w:rsid w:val="00090D52"/>
    <w:rsid w:val="000C28C1"/>
    <w:rsid w:val="000D14BB"/>
    <w:rsid w:val="000D4E9D"/>
    <w:rsid w:val="000F033C"/>
    <w:rsid w:val="000F5945"/>
    <w:rsid w:val="00105F57"/>
    <w:rsid w:val="00117C9A"/>
    <w:rsid w:val="00180920"/>
    <w:rsid w:val="00192E8A"/>
    <w:rsid w:val="001977A4"/>
    <w:rsid w:val="00224F0E"/>
    <w:rsid w:val="00262A9B"/>
    <w:rsid w:val="002F0514"/>
    <w:rsid w:val="00326D8D"/>
    <w:rsid w:val="00332DF6"/>
    <w:rsid w:val="0033382A"/>
    <w:rsid w:val="003454C6"/>
    <w:rsid w:val="00373F69"/>
    <w:rsid w:val="003942C2"/>
    <w:rsid w:val="00395D90"/>
    <w:rsid w:val="003F3812"/>
    <w:rsid w:val="00416176"/>
    <w:rsid w:val="004349D9"/>
    <w:rsid w:val="0049232E"/>
    <w:rsid w:val="00496759"/>
    <w:rsid w:val="004B0B49"/>
    <w:rsid w:val="004E573B"/>
    <w:rsid w:val="00500B8A"/>
    <w:rsid w:val="00503B6A"/>
    <w:rsid w:val="00520D4A"/>
    <w:rsid w:val="00527732"/>
    <w:rsid w:val="00532AD5"/>
    <w:rsid w:val="00533586"/>
    <w:rsid w:val="005418D6"/>
    <w:rsid w:val="00544CC7"/>
    <w:rsid w:val="0055203F"/>
    <w:rsid w:val="00553482"/>
    <w:rsid w:val="00553B9A"/>
    <w:rsid w:val="0056742A"/>
    <w:rsid w:val="005704C2"/>
    <w:rsid w:val="005764F0"/>
    <w:rsid w:val="00581308"/>
    <w:rsid w:val="005D07D1"/>
    <w:rsid w:val="005D0F1B"/>
    <w:rsid w:val="005F019A"/>
    <w:rsid w:val="005F36E1"/>
    <w:rsid w:val="00625AAB"/>
    <w:rsid w:val="006376FC"/>
    <w:rsid w:val="00641792"/>
    <w:rsid w:val="00642760"/>
    <w:rsid w:val="006508FA"/>
    <w:rsid w:val="006A141C"/>
    <w:rsid w:val="006A165A"/>
    <w:rsid w:val="006C7EAC"/>
    <w:rsid w:val="006D6681"/>
    <w:rsid w:val="006D6A8C"/>
    <w:rsid w:val="006E3772"/>
    <w:rsid w:val="006F1552"/>
    <w:rsid w:val="006F6764"/>
    <w:rsid w:val="007063D5"/>
    <w:rsid w:val="00712E64"/>
    <w:rsid w:val="00723362"/>
    <w:rsid w:val="007431DB"/>
    <w:rsid w:val="00744560"/>
    <w:rsid w:val="00744FCC"/>
    <w:rsid w:val="00752CAE"/>
    <w:rsid w:val="00765CC4"/>
    <w:rsid w:val="00774889"/>
    <w:rsid w:val="00792869"/>
    <w:rsid w:val="007C4F84"/>
    <w:rsid w:val="007F4A9E"/>
    <w:rsid w:val="007F4B4D"/>
    <w:rsid w:val="007F56B8"/>
    <w:rsid w:val="007F799B"/>
    <w:rsid w:val="00846EB6"/>
    <w:rsid w:val="0086706B"/>
    <w:rsid w:val="008715B5"/>
    <w:rsid w:val="00873283"/>
    <w:rsid w:val="00884D0A"/>
    <w:rsid w:val="008940F7"/>
    <w:rsid w:val="008C3ECC"/>
    <w:rsid w:val="008D219D"/>
    <w:rsid w:val="008F0BF6"/>
    <w:rsid w:val="00903941"/>
    <w:rsid w:val="0091370E"/>
    <w:rsid w:val="00921559"/>
    <w:rsid w:val="00972289"/>
    <w:rsid w:val="00985531"/>
    <w:rsid w:val="009D1689"/>
    <w:rsid w:val="009E4D4D"/>
    <w:rsid w:val="009E539F"/>
    <w:rsid w:val="009F26B6"/>
    <w:rsid w:val="00A033AC"/>
    <w:rsid w:val="00A06FA9"/>
    <w:rsid w:val="00A06FCD"/>
    <w:rsid w:val="00A24913"/>
    <w:rsid w:val="00A66B83"/>
    <w:rsid w:val="00A67429"/>
    <w:rsid w:val="00AA02E4"/>
    <w:rsid w:val="00B133F7"/>
    <w:rsid w:val="00B50910"/>
    <w:rsid w:val="00B80838"/>
    <w:rsid w:val="00BA4F1A"/>
    <w:rsid w:val="00BA6BEE"/>
    <w:rsid w:val="00BD4B3E"/>
    <w:rsid w:val="00BF4ED1"/>
    <w:rsid w:val="00C24277"/>
    <w:rsid w:val="00C43B55"/>
    <w:rsid w:val="00C4691B"/>
    <w:rsid w:val="00C60921"/>
    <w:rsid w:val="00C741C6"/>
    <w:rsid w:val="00C751CD"/>
    <w:rsid w:val="00C810EB"/>
    <w:rsid w:val="00CA3AE9"/>
    <w:rsid w:val="00CA795C"/>
    <w:rsid w:val="00CD1C40"/>
    <w:rsid w:val="00CD7342"/>
    <w:rsid w:val="00CE089E"/>
    <w:rsid w:val="00CE6356"/>
    <w:rsid w:val="00CF3ECF"/>
    <w:rsid w:val="00D11729"/>
    <w:rsid w:val="00D45E70"/>
    <w:rsid w:val="00D537E8"/>
    <w:rsid w:val="00D8665F"/>
    <w:rsid w:val="00D90501"/>
    <w:rsid w:val="00D97C43"/>
    <w:rsid w:val="00DA377A"/>
    <w:rsid w:val="00DB3CDF"/>
    <w:rsid w:val="00E10C93"/>
    <w:rsid w:val="00E402B2"/>
    <w:rsid w:val="00E47F4B"/>
    <w:rsid w:val="00E6119E"/>
    <w:rsid w:val="00E84237"/>
    <w:rsid w:val="00EA48E2"/>
    <w:rsid w:val="00EB137C"/>
    <w:rsid w:val="00ED2CAC"/>
    <w:rsid w:val="00EE7D42"/>
    <w:rsid w:val="00EF1600"/>
    <w:rsid w:val="00F00356"/>
    <w:rsid w:val="00F03906"/>
    <w:rsid w:val="00F358F6"/>
    <w:rsid w:val="00F37308"/>
    <w:rsid w:val="00F40E44"/>
    <w:rsid w:val="00F46B25"/>
    <w:rsid w:val="00FA4F62"/>
    <w:rsid w:val="00FA5347"/>
    <w:rsid w:val="00FA70B7"/>
    <w:rsid w:val="00FB21C7"/>
    <w:rsid w:val="00FC44B8"/>
    <w:rsid w:val="00FD773C"/>
    <w:rsid w:val="00FF57E4"/>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262A9B"/>
    <w:pPr>
      <w:keepNext/>
      <w:spacing w:before="240" w:after="60" w:line="276" w:lineRule="auto"/>
      <w:contextualSpacing w:val="0"/>
      <w:outlineLvl w:val="2"/>
    </w:pPr>
    <w:rPr>
      <w:rFonts w:ascii="Times New Roman Bold" w:eastAsia="Times New Roman" w:hAnsi="Times New Roman Bol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903941"/>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A795C"/>
    <w:rPr>
      <w:sz w:val="20"/>
      <w:szCs w:val="20"/>
    </w:rPr>
  </w:style>
  <w:style w:type="character" w:customStyle="1" w:styleId="FootnoteTextChar">
    <w:name w:val="Footnote Text Char"/>
    <w:basedOn w:val="DefaultParagraphFont"/>
    <w:link w:val="FootnoteText"/>
    <w:uiPriority w:val="99"/>
    <w:semiHidden/>
    <w:rsid w:val="00CA795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CA795C"/>
    <w:rPr>
      <w:vertAlign w:val="superscript"/>
    </w:rPr>
  </w:style>
  <w:style w:type="character" w:customStyle="1" w:styleId="Heading3Char">
    <w:name w:val="Heading 3 Char"/>
    <w:basedOn w:val="DefaultParagraphFont"/>
    <w:link w:val="Heading3"/>
    <w:uiPriority w:val="9"/>
    <w:rsid w:val="00262A9B"/>
    <w:rPr>
      <w:rFonts w:ascii="Times New Roman Bold" w:eastAsia="Times New Roman" w:hAnsi="Times New Roman Bold"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28B34-6AF2-4461-A24A-823EB31AB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7</cp:revision>
  <cp:lastPrinted>2019-11-07T23:46:00Z</cp:lastPrinted>
  <dcterms:created xsi:type="dcterms:W3CDTF">2019-11-06T17:47:00Z</dcterms:created>
  <dcterms:modified xsi:type="dcterms:W3CDTF">2019-11-12T19:10:00Z</dcterms:modified>
</cp:coreProperties>
</file>