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5113B5" w:rsidRDefault="005113B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5113B5" w:rsidRDefault="005113B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5113B5">
        <w:rPr>
          <w:rFonts w:ascii="Garamond" w:hAnsi="Garamond"/>
          <w:b/>
          <w:smallCaps/>
          <w:kern w:val="2"/>
          <w:sz w:val="28"/>
          <w:szCs w:val="28"/>
        </w:rPr>
        <w:t>Michael R. McVey</w:t>
      </w:r>
    </w:p>
    <w:p w:rsidR="006D3B9E" w:rsidRPr="00240AD0" w:rsidRDefault="00FD65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Deputy Chief – Criminal Group</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F07A4A">
        <w:rPr>
          <w:rFonts w:ascii="Garamond" w:hAnsi="Garamond"/>
          <w:b/>
          <w:smallCaps/>
          <w:kern w:val="2"/>
          <w:sz w:val="28"/>
          <w:szCs w:val="28"/>
        </w:rPr>
        <w:t>006926</w:t>
      </w:r>
      <w:r w:rsidRPr="00240AD0">
        <w:rPr>
          <w:rFonts w:ascii="Garamond" w:hAnsi="Garamond"/>
          <w:b/>
          <w:smallCaps/>
          <w:kern w:val="2"/>
          <w:sz w:val="28"/>
          <w:szCs w:val="28"/>
        </w:rPr>
        <w:t>)</w:t>
      </w:r>
    </w:p>
    <w:p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636D44" w:rsidRDefault="006D3B9E"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00240AD0" w:rsidRPr="000A5238">
              <w:rPr>
                <w:b/>
                <w:sz w:val="28"/>
                <w:szCs w:val="28"/>
              </w:rPr>
              <w:t xml:space="preserve"> </w:t>
            </w:r>
          </w:p>
          <w:p w:rsidR="00636D44" w:rsidRDefault="00636D44"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p>
          <w:p w:rsidR="006D3B9E" w:rsidRPr="00240AD0" w:rsidRDefault="00A6743C"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PETITION TO MODIFY RULES 5.4, 7.2, AND 7.4 OF THE ARIZONA RULES OF CRIMINAL PROCEDURE</w:t>
            </w: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591799">
              <w:rPr>
                <w:smallCaps/>
                <w:kern w:val="2"/>
                <w:sz w:val="28"/>
                <w:szCs w:val="28"/>
              </w:rPr>
              <w:t>-</w:t>
            </w:r>
            <w:r w:rsidR="00A6743C">
              <w:rPr>
                <w:smallCaps/>
                <w:kern w:val="2"/>
                <w:sz w:val="28"/>
                <w:szCs w:val="28"/>
              </w:rPr>
              <w:t>19-0013</w:t>
            </w:r>
          </w:p>
          <w:p w:rsidR="00636D44" w:rsidRPr="00240AD0" w:rsidRDefault="00636D4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bookmarkStart w:id="0" w:name="_GoBack"/>
            <w:r w:rsidRPr="00B13E25">
              <w:rPr>
                <w:smallCaps/>
                <w:kern w:val="2"/>
                <w:sz w:val="28"/>
                <w:szCs w:val="28"/>
              </w:rPr>
              <w:t>Maricopa County Attorney’s</w:t>
            </w:r>
            <w:r w:rsidR="00240AD0" w:rsidRPr="00B13E25">
              <w:rPr>
                <w:smallCaps/>
                <w:kern w:val="2"/>
                <w:sz w:val="28"/>
                <w:szCs w:val="28"/>
              </w:rPr>
              <w:t xml:space="preserve"> </w:t>
            </w:r>
            <w:r w:rsidR="00A6743C">
              <w:rPr>
                <w:smallCaps/>
                <w:kern w:val="2"/>
                <w:sz w:val="28"/>
                <w:szCs w:val="28"/>
              </w:rPr>
              <w:t>Reply to the Comment of the State Bar of Arizona</w:t>
            </w:r>
            <w:bookmarkEnd w:id="0"/>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6D3B9E" w:rsidRDefault="00102994"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The Maricopa County Attorney’s Office hereby submits this Reply to t</w:t>
      </w:r>
      <w:r w:rsidR="00A6743C">
        <w:rPr>
          <w:sz w:val="28"/>
          <w:szCs w:val="28"/>
        </w:rPr>
        <w:t xml:space="preserve">he Comment </w:t>
      </w:r>
      <w:r w:rsidR="00A54C1C">
        <w:rPr>
          <w:sz w:val="28"/>
          <w:szCs w:val="28"/>
        </w:rPr>
        <w:t xml:space="preserve">of the State Bar </w:t>
      </w:r>
      <w:r>
        <w:rPr>
          <w:sz w:val="28"/>
          <w:szCs w:val="28"/>
        </w:rPr>
        <w:t xml:space="preserve">in this matter.  The Comment </w:t>
      </w:r>
      <w:r w:rsidR="00A6743C">
        <w:rPr>
          <w:sz w:val="28"/>
          <w:szCs w:val="28"/>
        </w:rPr>
        <w:t>raises two concerns.  The first is that the proposed rule change does not provide sufficient gui</w:t>
      </w:r>
      <w:r w:rsidR="006D3B48">
        <w:rPr>
          <w:sz w:val="28"/>
          <w:szCs w:val="28"/>
        </w:rPr>
        <w:t xml:space="preserve">dance to trial courts regarding continuances of bail hearings.  Although the trial court is in the best position to “give meaning to due process and the presumption of innocence” [Comment at 3] in light of the specific circumstances </w:t>
      </w:r>
      <w:r w:rsidR="00A54C1C">
        <w:rPr>
          <w:sz w:val="28"/>
          <w:szCs w:val="28"/>
        </w:rPr>
        <w:t>of</w:t>
      </w:r>
      <w:r w:rsidR="006D3B48">
        <w:rPr>
          <w:sz w:val="28"/>
          <w:szCs w:val="28"/>
        </w:rPr>
        <w:t xml:space="preserve"> a given case, if this Court is concerned about the amount of discretion the proposed change gives trial judges the Maricopa County Attorney’s Office proposes the following change to </w:t>
      </w:r>
      <w:r w:rsidR="003E110B">
        <w:rPr>
          <w:sz w:val="28"/>
          <w:szCs w:val="28"/>
        </w:rPr>
        <w:t xml:space="preserve">the </w:t>
      </w:r>
      <w:r w:rsidR="006D3B48">
        <w:rPr>
          <w:sz w:val="28"/>
          <w:szCs w:val="28"/>
        </w:rPr>
        <w:t>proposed changes to Rule 7.2(b)(4)(B) in the initial petition:</w:t>
      </w:r>
    </w:p>
    <w:p w:rsidR="00636D44" w:rsidRDefault="00636D44"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p>
    <w:p w:rsidR="006D3B48" w:rsidRDefault="006D3B48" w:rsidP="008126AA">
      <w:pPr>
        <w:ind w:left="1440"/>
        <w:jc w:val="both"/>
        <w:rPr>
          <w:sz w:val="28"/>
          <w:szCs w:val="28"/>
        </w:rPr>
      </w:pPr>
      <w:r>
        <w:rPr>
          <w:sz w:val="28"/>
          <w:szCs w:val="28"/>
        </w:rPr>
        <w:lastRenderedPageBreak/>
        <w:t>(B)</w:t>
      </w:r>
      <w:r w:rsidR="00A54C1C">
        <w:rPr>
          <w:sz w:val="28"/>
          <w:szCs w:val="28"/>
        </w:rPr>
        <w:t xml:space="preserve">  </w:t>
      </w:r>
      <w:r>
        <w:rPr>
          <w:sz w:val="28"/>
          <w:szCs w:val="28"/>
        </w:rPr>
        <w:t xml:space="preserve">Timing.  </w:t>
      </w:r>
    </w:p>
    <w:p w:rsidR="003E110B" w:rsidRDefault="003E110B" w:rsidP="008126AA">
      <w:pPr>
        <w:ind w:left="1440"/>
        <w:jc w:val="both"/>
        <w:rPr>
          <w:sz w:val="28"/>
          <w:szCs w:val="28"/>
        </w:rPr>
      </w:pPr>
    </w:p>
    <w:p w:rsidR="006D3B48" w:rsidRPr="008126AA" w:rsidRDefault="006D3B48" w:rsidP="008126AA">
      <w:pPr>
        <w:ind w:left="2160"/>
        <w:jc w:val="both"/>
        <w:rPr>
          <w:sz w:val="28"/>
          <w:szCs w:val="28"/>
          <w:u w:val="single"/>
        </w:rPr>
      </w:pPr>
      <w:r w:rsidRPr="008126AA">
        <w:rPr>
          <w:sz w:val="28"/>
          <w:szCs w:val="28"/>
        </w:rPr>
        <w:t>(</w:t>
      </w:r>
      <w:proofErr w:type="spellStart"/>
      <w:r w:rsidRPr="008126AA">
        <w:rPr>
          <w:sz w:val="28"/>
          <w:szCs w:val="28"/>
        </w:rPr>
        <w:t>i</w:t>
      </w:r>
      <w:proofErr w:type="spellEnd"/>
      <w:r w:rsidRPr="008126AA">
        <w:rPr>
          <w:sz w:val="28"/>
          <w:szCs w:val="28"/>
        </w:rPr>
        <w:t xml:space="preserve">) If the State makes an oral motion under A.R.S. § 13-3961(E), the court must hold this hearing within 24 hours of the initial appearance, subject to continuances as provided in A.R.S. § 13-3961.  If this motion is not made, the hearing must be held as soon as practicable, but no later than 7 days after the initial appearance unless the detained defendant moves for a continuance </w:t>
      </w:r>
      <w:r w:rsidRPr="008126AA">
        <w:rPr>
          <w:sz w:val="28"/>
          <w:szCs w:val="28"/>
          <w:u w:val="single"/>
        </w:rPr>
        <w:t>OR THE COURT GRANTS A CONTINUANCE UNDER (B)(ii).</w:t>
      </w:r>
    </w:p>
    <w:p w:rsidR="006D3B48" w:rsidRPr="008126AA" w:rsidRDefault="006D3B48" w:rsidP="008126AA">
      <w:pPr>
        <w:jc w:val="both"/>
        <w:rPr>
          <w:sz w:val="28"/>
          <w:szCs w:val="28"/>
          <w:u w:val="single"/>
        </w:rPr>
      </w:pPr>
    </w:p>
    <w:p w:rsidR="006D3B48" w:rsidRDefault="006D3B48" w:rsidP="008126AA">
      <w:pPr>
        <w:ind w:left="2160"/>
        <w:jc w:val="both"/>
        <w:rPr>
          <w:sz w:val="28"/>
          <w:szCs w:val="28"/>
          <w:u w:val="single"/>
        </w:rPr>
      </w:pPr>
      <w:r w:rsidRPr="008126AA">
        <w:rPr>
          <w:sz w:val="28"/>
          <w:szCs w:val="28"/>
          <w:u w:val="single"/>
        </w:rPr>
        <w:t xml:space="preserve">(ii) THE COURT MAY CONTINUE THE HEARING IF THE COURT FINDS THAT EXTRAORDINARY CIRCUMSTANCES EXIST AND DELAY IS INDISPENSABLE TO THE INTERESTS OF JUSTICE.   FOR THIS PURPOSE, EXTRAORDINARY CIRUCMSTANCES ARE EVENTS THAT WOULD PROHIBIT THE HEARING FROM OCCURRING THAT ARE BEYOND THE PROSECUTOR’S CONTROL.  UPON A FINDING OF EXTRAORDINARY CIRCUMSTANCES, THE COURT MAY CONTINUE THE HEARING ONCE AND FOR NO MORE THAN </w:t>
      </w:r>
      <w:r w:rsidR="008126AA" w:rsidRPr="008126AA">
        <w:rPr>
          <w:sz w:val="28"/>
          <w:szCs w:val="28"/>
          <w:u w:val="single"/>
        </w:rPr>
        <w:t>5</w:t>
      </w:r>
      <w:r w:rsidRPr="008126AA">
        <w:rPr>
          <w:sz w:val="28"/>
          <w:szCs w:val="28"/>
          <w:u w:val="single"/>
        </w:rPr>
        <w:t xml:space="preserve"> DAYS.</w:t>
      </w:r>
    </w:p>
    <w:p w:rsidR="008126AA" w:rsidRDefault="008126AA" w:rsidP="008126AA">
      <w:pPr>
        <w:jc w:val="both"/>
        <w:rPr>
          <w:sz w:val="28"/>
          <w:szCs w:val="28"/>
          <w:u w:val="single"/>
        </w:rPr>
      </w:pPr>
    </w:p>
    <w:p w:rsidR="008126AA" w:rsidRDefault="008126AA" w:rsidP="008126AA">
      <w:pPr>
        <w:spacing w:line="480" w:lineRule="auto"/>
        <w:jc w:val="both"/>
        <w:rPr>
          <w:sz w:val="28"/>
          <w:szCs w:val="28"/>
        </w:rPr>
      </w:pPr>
      <w:r>
        <w:rPr>
          <w:sz w:val="28"/>
          <w:szCs w:val="28"/>
        </w:rPr>
        <w:tab/>
        <w:t>The Comment’s second concern is that the change to Rule 7.2</w:t>
      </w:r>
      <w:r w:rsidR="00A54C1C">
        <w:rPr>
          <w:sz w:val="28"/>
          <w:szCs w:val="28"/>
        </w:rPr>
        <w:t>(b)</w:t>
      </w:r>
      <w:r>
        <w:rPr>
          <w:sz w:val="28"/>
          <w:szCs w:val="28"/>
        </w:rPr>
        <w:t xml:space="preserve">(C)(ii) might cause a case to be dismissed despite the fact that a probable cause finding was made </w:t>
      </w:r>
      <w:r>
        <w:rPr>
          <w:i/>
          <w:sz w:val="28"/>
          <w:szCs w:val="28"/>
        </w:rPr>
        <w:t>before</w:t>
      </w:r>
      <w:r>
        <w:rPr>
          <w:sz w:val="28"/>
          <w:szCs w:val="28"/>
        </w:rPr>
        <w:t xml:space="preserve"> the bail eligibility hearing.  This concern can be adequately address</w:t>
      </w:r>
      <w:r w:rsidR="003E110B">
        <w:rPr>
          <w:sz w:val="28"/>
          <w:szCs w:val="28"/>
        </w:rPr>
        <w:t>ed</w:t>
      </w:r>
      <w:r>
        <w:rPr>
          <w:sz w:val="28"/>
          <w:szCs w:val="28"/>
        </w:rPr>
        <w:t xml:space="preserve"> with the addition of the following language to the proposed Rule 7.2(b)(C)(ii):</w:t>
      </w:r>
    </w:p>
    <w:p w:rsidR="00A54C1C" w:rsidRPr="00A54C1C" w:rsidRDefault="00A54C1C" w:rsidP="00A54C1C">
      <w:pPr>
        <w:pStyle w:val="NoSpacing"/>
        <w:numPr>
          <w:ilvl w:val="0"/>
          <w:numId w:val="16"/>
        </w:numPr>
        <w:ind w:left="2131" w:hanging="720"/>
        <w:jc w:val="both"/>
        <w:rPr>
          <w:rFonts w:ascii="Times New Roman" w:hAnsi="Times New Roman" w:cs="Times New Roman"/>
          <w:sz w:val="28"/>
          <w:szCs w:val="28"/>
        </w:rPr>
      </w:pPr>
      <w:r>
        <w:rPr>
          <w:rFonts w:ascii="Times New Roman" w:hAnsi="Times New Roman" w:cs="Times New Roman"/>
          <w:sz w:val="28"/>
          <w:szCs w:val="28"/>
        </w:rPr>
        <w:t>D</w:t>
      </w:r>
      <w:r w:rsidRPr="00A54C1C">
        <w:rPr>
          <w:rFonts w:ascii="Times New Roman" w:hAnsi="Times New Roman" w:cs="Times New Roman"/>
          <w:sz w:val="28"/>
          <w:szCs w:val="28"/>
        </w:rPr>
        <w:t xml:space="preserve">etermination of Probable Cause and Release Conditions.  If the court does not find the proof evident or the presumption great under (b)(1) or (b)(2)(A), </w:t>
      </w:r>
      <w:r w:rsidRPr="00A54C1C">
        <w:rPr>
          <w:rFonts w:ascii="Times New Roman" w:hAnsi="Times New Roman" w:cs="Times New Roman"/>
          <w:sz w:val="28"/>
          <w:szCs w:val="28"/>
          <w:u w:val="single"/>
        </w:rPr>
        <w:t xml:space="preserve">AND THERE HAS BEEN NO PRIOR FINDING OF PROBALE CAUSE FOR THE CHARGES BY A GRAND JURY OR THROUGH A PRELIMINARY HEARING, </w:t>
      </w:r>
      <w:r w:rsidRPr="00A54C1C">
        <w:rPr>
          <w:rFonts w:ascii="Times New Roman" w:hAnsi="Times New Roman" w:cs="Times New Roman"/>
          <w:sz w:val="28"/>
          <w:szCs w:val="28"/>
        </w:rPr>
        <w:t xml:space="preserve">the court must determine whether there is probable cause to believe that an offense was committed and that the defendant committed it. </w:t>
      </w:r>
    </w:p>
    <w:p w:rsidR="00A54C1C" w:rsidRDefault="00A54C1C" w:rsidP="00A54C1C">
      <w:pPr>
        <w:pStyle w:val="NoSpacing"/>
        <w:numPr>
          <w:ilvl w:val="0"/>
          <w:numId w:val="15"/>
        </w:numPr>
        <w:ind w:left="3150" w:hanging="495"/>
        <w:jc w:val="both"/>
        <w:rPr>
          <w:rFonts w:ascii="Times New Roman" w:hAnsi="Times New Roman" w:cs="Times New Roman"/>
          <w:sz w:val="28"/>
          <w:szCs w:val="28"/>
        </w:rPr>
      </w:pPr>
      <w:r w:rsidRPr="00A54C1C">
        <w:rPr>
          <w:rFonts w:ascii="Times New Roman" w:hAnsi="Times New Roman" w:cs="Times New Roman"/>
          <w:i/>
          <w:iCs/>
          <w:sz w:val="28"/>
          <w:szCs w:val="28"/>
          <w:u w:val="single"/>
        </w:rPr>
        <w:t>PROBABLE CAUSE FOUND.</w:t>
      </w:r>
      <w:r w:rsidRPr="00A54C1C">
        <w:rPr>
          <w:rFonts w:ascii="Times New Roman" w:hAnsi="Times New Roman" w:cs="Times New Roman"/>
          <w:i/>
          <w:iCs/>
          <w:sz w:val="28"/>
          <w:szCs w:val="28"/>
        </w:rPr>
        <w:t xml:space="preserve"> </w:t>
      </w:r>
      <w:r w:rsidRPr="00A54C1C">
        <w:rPr>
          <w:rFonts w:ascii="Times New Roman" w:hAnsi="Times New Roman" w:cs="Times New Roman"/>
          <w:sz w:val="28"/>
          <w:szCs w:val="28"/>
        </w:rPr>
        <w:t xml:space="preserve">If the court finds probable cause, </w:t>
      </w:r>
      <w:r w:rsidRPr="00A54C1C">
        <w:rPr>
          <w:rFonts w:ascii="Times New Roman" w:hAnsi="Times New Roman" w:cs="Times New Roman"/>
          <w:sz w:val="28"/>
          <w:szCs w:val="28"/>
          <w:u w:val="single"/>
        </w:rPr>
        <w:t xml:space="preserve">OR PROBABLE CAUSE FOR THE CHARGES WAS PREVIOUSLY DETERMINED BY A GRAND </w:t>
      </w:r>
      <w:r w:rsidRPr="00A54C1C">
        <w:rPr>
          <w:rFonts w:ascii="Times New Roman" w:hAnsi="Times New Roman" w:cs="Times New Roman"/>
          <w:sz w:val="28"/>
          <w:szCs w:val="28"/>
          <w:u w:val="single"/>
        </w:rPr>
        <w:lastRenderedPageBreak/>
        <w:t xml:space="preserve">JURY OR THROUGH A PRELIMINAY HEARING, </w:t>
      </w:r>
      <w:r w:rsidRPr="00A54C1C">
        <w:rPr>
          <w:rFonts w:ascii="Times New Roman" w:hAnsi="Times New Roman" w:cs="Times New Roman"/>
          <w:sz w:val="28"/>
          <w:szCs w:val="28"/>
        </w:rPr>
        <w:t xml:space="preserve">the court must determine release conditions under (a).  </w:t>
      </w:r>
    </w:p>
    <w:p w:rsidR="00A54C1C" w:rsidRPr="00A54C1C" w:rsidRDefault="00A54C1C" w:rsidP="00A54C1C">
      <w:pPr>
        <w:pStyle w:val="NoSpacing"/>
        <w:ind w:left="3150"/>
        <w:jc w:val="both"/>
        <w:rPr>
          <w:rFonts w:ascii="Times New Roman" w:hAnsi="Times New Roman" w:cs="Times New Roman"/>
          <w:sz w:val="28"/>
          <w:szCs w:val="28"/>
        </w:rPr>
      </w:pPr>
    </w:p>
    <w:p w:rsidR="00A54C1C" w:rsidRPr="00A54C1C" w:rsidRDefault="00A54C1C" w:rsidP="00A54C1C">
      <w:pPr>
        <w:pStyle w:val="NoSpacing"/>
        <w:numPr>
          <w:ilvl w:val="0"/>
          <w:numId w:val="15"/>
        </w:numPr>
        <w:ind w:left="3150" w:hanging="495"/>
        <w:jc w:val="both"/>
        <w:rPr>
          <w:rFonts w:ascii="Times New Roman" w:hAnsi="Times New Roman" w:cs="Times New Roman"/>
          <w:sz w:val="28"/>
          <w:szCs w:val="28"/>
        </w:rPr>
      </w:pPr>
      <w:r w:rsidRPr="00A54C1C">
        <w:rPr>
          <w:rFonts w:ascii="Times New Roman" w:hAnsi="Times New Roman" w:cs="Times New Roman"/>
          <w:i/>
          <w:iCs/>
          <w:sz w:val="28"/>
          <w:szCs w:val="28"/>
          <w:u w:val="single"/>
        </w:rPr>
        <w:t>NO PROBABLE CAUSE FOUND.</w:t>
      </w:r>
      <w:r w:rsidRPr="00A54C1C">
        <w:rPr>
          <w:rFonts w:ascii="Times New Roman" w:hAnsi="Times New Roman" w:cs="Times New Roman"/>
          <w:i/>
          <w:iCs/>
          <w:sz w:val="28"/>
          <w:szCs w:val="28"/>
        </w:rPr>
        <w:t xml:space="preserve">  </w:t>
      </w:r>
      <w:r w:rsidRPr="00A54C1C">
        <w:rPr>
          <w:rFonts w:ascii="Times New Roman" w:hAnsi="Times New Roman" w:cs="Times New Roman"/>
          <w:sz w:val="28"/>
          <w:szCs w:val="28"/>
          <w:u w:val="single"/>
        </w:rPr>
        <w:t>UNLESS THERE WAS A FINDING OF PROBABLE CAUSE FOR THE CHARGES BY A GRAND JURY OR THROUGH A PRELIMINARY HEARING, i</w:t>
      </w:r>
      <w:r w:rsidRPr="00A54C1C">
        <w:rPr>
          <w:rFonts w:ascii="Times New Roman" w:hAnsi="Times New Roman" w:cs="Times New Roman"/>
          <w:sz w:val="28"/>
          <w:szCs w:val="28"/>
        </w:rPr>
        <w:t xml:space="preserve">f the court does not find probable cause, the defendant must be released from custody.  </w:t>
      </w:r>
      <w:r w:rsidRPr="00A54C1C">
        <w:rPr>
          <w:rFonts w:ascii="Times New Roman" w:hAnsi="Times New Roman" w:cs="Times New Roman"/>
          <w:strike/>
          <w:sz w:val="28"/>
          <w:szCs w:val="28"/>
        </w:rPr>
        <w:t>The parties may stipulate before the bail eligibility hearing that the probable cause determination at the hearing satisfies the requirements of Rule 5.  If the parties so stipulate and the court does not find probable cause, the court must dismiss the complaint and discharge the defendant.  If the parties have not so stipulated,</w:t>
      </w:r>
      <w:r w:rsidRPr="00A54C1C">
        <w:rPr>
          <w:rFonts w:ascii="Times New Roman" w:hAnsi="Times New Roman" w:cs="Times New Roman"/>
          <w:sz w:val="28"/>
          <w:szCs w:val="28"/>
        </w:rPr>
        <w:t xml:space="preserve"> </w:t>
      </w:r>
      <w:r w:rsidRPr="00A54C1C">
        <w:rPr>
          <w:rFonts w:ascii="Times New Roman" w:hAnsi="Times New Roman" w:cs="Times New Roman"/>
          <w:sz w:val="28"/>
          <w:szCs w:val="28"/>
          <w:u w:val="single"/>
        </w:rPr>
        <w:t xml:space="preserve">UPON THE STATE’S REQUEST, </w:t>
      </w:r>
      <w:r w:rsidRPr="00A54C1C">
        <w:rPr>
          <w:rFonts w:ascii="Times New Roman" w:hAnsi="Times New Roman" w:cs="Times New Roman"/>
          <w:sz w:val="28"/>
          <w:szCs w:val="28"/>
        </w:rPr>
        <w:t xml:space="preserve">the court must schedule a preliminary hearing as provided in Rule 5.1(a).  </w:t>
      </w:r>
      <w:r w:rsidRPr="00A54C1C">
        <w:rPr>
          <w:rFonts w:ascii="Times New Roman" w:hAnsi="Times New Roman" w:cs="Times New Roman"/>
          <w:sz w:val="28"/>
          <w:szCs w:val="28"/>
          <w:u w:val="single"/>
        </w:rPr>
        <w:t>IF THE STATE DOES NOT REQUEST A PRELIMINARY HEARING, THE COURT MUST DISMISS THE COMPLAINT AND DISCHARGE THE DEFENDANT, UNLESS PROBABLE CAUSE FOR THE CHARGES WAS PREVIOULSY DETERMINED BY A GRAND JURY OR THROUGH A PRELIMINARY HEARING.</w:t>
      </w:r>
    </w:p>
    <w:p w:rsidR="00A54C1C" w:rsidRDefault="00A54C1C" w:rsidP="0000458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rPr>
          <w:kern w:val="2"/>
          <w:sz w:val="28"/>
          <w:szCs w:val="28"/>
        </w:rPr>
      </w:pPr>
    </w:p>
    <w:p w:rsidR="00B13E25" w:rsidRPr="00240AD0" w:rsidRDefault="00A54C1C" w:rsidP="0000458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rPr>
          <w:kern w:val="2"/>
          <w:sz w:val="28"/>
          <w:szCs w:val="28"/>
        </w:rPr>
      </w:pPr>
      <w:r>
        <w:rPr>
          <w:kern w:val="2"/>
          <w:sz w:val="28"/>
          <w:szCs w:val="28"/>
        </w:rPr>
        <w:tab/>
      </w:r>
      <w:r w:rsidR="00004580">
        <w:rPr>
          <w:kern w:val="2"/>
          <w:sz w:val="28"/>
          <w:szCs w:val="28"/>
        </w:rPr>
        <w:t xml:space="preserve">Respectfully submitted this </w:t>
      </w:r>
      <w:r w:rsidR="00102994">
        <w:rPr>
          <w:kern w:val="2"/>
          <w:sz w:val="28"/>
          <w:szCs w:val="28"/>
        </w:rPr>
        <w:t>12</w:t>
      </w:r>
      <w:r w:rsidR="00102994" w:rsidRPr="00102994">
        <w:rPr>
          <w:kern w:val="2"/>
          <w:sz w:val="28"/>
          <w:szCs w:val="28"/>
          <w:vertAlign w:val="superscript"/>
        </w:rPr>
        <w:t>th</w:t>
      </w:r>
      <w:r w:rsidR="00102994">
        <w:rPr>
          <w:kern w:val="2"/>
          <w:sz w:val="28"/>
          <w:szCs w:val="28"/>
        </w:rPr>
        <w:t xml:space="preserve"> </w:t>
      </w:r>
      <w:r w:rsidR="00004580">
        <w:rPr>
          <w:kern w:val="2"/>
          <w:sz w:val="28"/>
          <w:szCs w:val="28"/>
        </w:rPr>
        <w:t xml:space="preserve">day of </w:t>
      </w:r>
      <w:r w:rsidR="00102994">
        <w:rPr>
          <w:kern w:val="2"/>
          <w:sz w:val="28"/>
          <w:szCs w:val="28"/>
        </w:rPr>
        <w:t>August, 2019.</w:t>
      </w:r>
    </w:p>
    <w:p w:rsidR="00636D44" w:rsidRDefault="00636D44">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p>
    <w:p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F07A4A">
        <w:rPr>
          <w:smallCaps/>
          <w:kern w:val="2"/>
          <w:sz w:val="28"/>
          <w:szCs w:val="28"/>
        </w:rPr>
        <w:t>MICHAEL R. MCVEY</w:t>
      </w:r>
    </w:p>
    <w:p w:rsidR="000356B6"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FD65B0">
        <w:rPr>
          <w:smallCaps/>
          <w:kern w:val="2"/>
          <w:sz w:val="28"/>
          <w:szCs w:val="28"/>
        </w:rPr>
        <w:t>Deputy Chief – Criminal Group</w:t>
      </w:r>
    </w:p>
    <w:p w:rsidR="00854465" w:rsidRDefault="00854465"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sectPr w:rsidR="00854465" w:rsidSect="005C22B2">
      <w:headerReference w:type="default" r:id="rId8"/>
      <w:footerReference w:type="default" r:id="rId9"/>
      <w:endnotePr>
        <w:numFmt w:val="decimal"/>
      </w:endnotePr>
      <w:pgSz w:w="12240" w:h="15840"/>
      <w:pgMar w:top="-1440" w:right="1152" w:bottom="1260" w:left="1440" w:header="86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187" w:rsidRDefault="00706187">
      <w:r>
        <w:separator/>
      </w:r>
    </w:p>
  </w:endnote>
  <w:endnote w:type="continuationSeparator" w:id="0">
    <w:p w:rsidR="00706187" w:rsidRDefault="0070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091801"/>
      <w:docPartObj>
        <w:docPartGallery w:val="Page Numbers (Bottom of Page)"/>
        <w:docPartUnique/>
      </w:docPartObj>
    </w:sdtPr>
    <w:sdtEndPr>
      <w:rPr>
        <w:noProof/>
      </w:rPr>
    </w:sdtEndPr>
    <w:sdtContent>
      <w:p w:rsidR="00F47C84" w:rsidRDefault="00F47C84">
        <w:pPr>
          <w:pStyle w:val="Footer"/>
          <w:jc w:val="center"/>
        </w:pPr>
        <w:r>
          <w:fldChar w:fldCharType="begin"/>
        </w:r>
        <w:r>
          <w:instrText xml:space="preserve"> PAGE   \* MERGEFORMAT </w:instrText>
        </w:r>
        <w:r>
          <w:fldChar w:fldCharType="separate"/>
        </w:r>
        <w:r w:rsidR="00D12CC7">
          <w:rPr>
            <w:noProof/>
          </w:rPr>
          <w:t>4</w:t>
        </w:r>
        <w:r>
          <w:rPr>
            <w:noProof/>
          </w:rPr>
          <w:fldChar w:fldCharType="end"/>
        </w:r>
      </w:p>
    </w:sdtContent>
  </w:sdt>
  <w:p w:rsidR="00732566" w:rsidRDefault="007325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187" w:rsidRDefault="00706187">
      <w:r>
        <w:separator/>
      </w:r>
    </w:p>
  </w:footnote>
  <w:footnote w:type="continuationSeparator" w:id="0">
    <w:p w:rsidR="00706187" w:rsidRDefault="0070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5A89D9E7" wp14:editId="5A89D9E8">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03CD0"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5A89D9E9" wp14:editId="5A89D9EA">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642C7"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5A89D9EB" wp14:editId="5A89D9EC">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A2617"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p w:rsidR="00732566" w:rsidRDefault="00732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C8F"/>
    <w:multiLevelType w:val="hybridMultilevel"/>
    <w:tmpl w:val="D1CC1914"/>
    <w:lvl w:ilvl="0" w:tplc="641AD9DA">
      <w:start w:val="1"/>
      <w:numFmt w:val="lowerRoman"/>
      <w:lvlText w:val="(%1)"/>
      <w:lvlJc w:val="left"/>
      <w:pPr>
        <w:ind w:left="2655" w:hanging="720"/>
      </w:pPr>
      <w:rPr>
        <w:u w:val="single"/>
      </w:rPr>
    </w:lvl>
    <w:lvl w:ilvl="1" w:tplc="04090019">
      <w:start w:val="1"/>
      <w:numFmt w:val="lowerLetter"/>
      <w:lvlText w:val="%2."/>
      <w:lvlJc w:val="left"/>
      <w:pPr>
        <w:ind w:left="3015" w:hanging="360"/>
      </w:pPr>
    </w:lvl>
    <w:lvl w:ilvl="2" w:tplc="0409001B">
      <w:start w:val="1"/>
      <w:numFmt w:val="lowerRoman"/>
      <w:lvlText w:val="%3."/>
      <w:lvlJc w:val="right"/>
      <w:pPr>
        <w:ind w:left="3735" w:hanging="180"/>
      </w:pPr>
    </w:lvl>
    <w:lvl w:ilvl="3" w:tplc="0409000F">
      <w:start w:val="1"/>
      <w:numFmt w:val="decimal"/>
      <w:lvlText w:val="%4."/>
      <w:lvlJc w:val="left"/>
      <w:pPr>
        <w:ind w:left="4455" w:hanging="360"/>
      </w:pPr>
    </w:lvl>
    <w:lvl w:ilvl="4" w:tplc="04090019">
      <w:start w:val="1"/>
      <w:numFmt w:val="lowerLetter"/>
      <w:lvlText w:val="%5."/>
      <w:lvlJc w:val="left"/>
      <w:pPr>
        <w:ind w:left="5175" w:hanging="360"/>
      </w:pPr>
    </w:lvl>
    <w:lvl w:ilvl="5" w:tplc="0409001B">
      <w:start w:val="1"/>
      <w:numFmt w:val="lowerRoman"/>
      <w:lvlText w:val="%6."/>
      <w:lvlJc w:val="right"/>
      <w:pPr>
        <w:ind w:left="5895" w:hanging="180"/>
      </w:pPr>
    </w:lvl>
    <w:lvl w:ilvl="6" w:tplc="0409000F">
      <w:start w:val="1"/>
      <w:numFmt w:val="decimal"/>
      <w:lvlText w:val="%7."/>
      <w:lvlJc w:val="left"/>
      <w:pPr>
        <w:ind w:left="6615" w:hanging="360"/>
      </w:pPr>
    </w:lvl>
    <w:lvl w:ilvl="7" w:tplc="04090019">
      <w:start w:val="1"/>
      <w:numFmt w:val="lowerLetter"/>
      <w:lvlText w:val="%8."/>
      <w:lvlJc w:val="left"/>
      <w:pPr>
        <w:ind w:left="7335" w:hanging="360"/>
      </w:pPr>
    </w:lvl>
    <w:lvl w:ilvl="8" w:tplc="0409001B">
      <w:start w:val="1"/>
      <w:numFmt w:val="lowerRoman"/>
      <w:lvlText w:val="%9."/>
      <w:lvlJc w:val="right"/>
      <w:pPr>
        <w:ind w:left="8055" w:hanging="180"/>
      </w:pPr>
    </w:lvl>
  </w:abstractNum>
  <w:abstractNum w:abstractNumId="1"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2"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3" w15:restartNumberingAfterBreak="0">
    <w:nsid w:val="1D4A523D"/>
    <w:multiLevelType w:val="hybridMultilevel"/>
    <w:tmpl w:val="DF88F2F8"/>
    <w:lvl w:ilvl="0" w:tplc="7AA4784E">
      <w:start w:val="3"/>
      <w:numFmt w:val="upperLetter"/>
      <w:lvlText w:val="(%1)"/>
      <w:lvlJc w:val="left"/>
      <w:pPr>
        <w:ind w:left="1785" w:hanging="375"/>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5" w15:restartNumberingAfterBreak="0">
    <w:nsid w:val="29A71DCE"/>
    <w:multiLevelType w:val="hybridMultilevel"/>
    <w:tmpl w:val="42E49E8C"/>
    <w:lvl w:ilvl="0" w:tplc="9E9AF0EA">
      <w:start w:val="1"/>
      <w:numFmt w:val="upperLetter"/>
      <w:lvlText w:val="(%1)"/>
      <w:lvlJc w:val="left"/>
      <w:pPr>
        <w:ind w:left="1875" w:hanging="465"/>
      </w:pPr>
      <w:rPr>
        <w:strike w:val="0"/>
        <w:dstrike w:val="0"/>
        <w:u w:val="none"/>
        <w:effect w:val="none"/>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3930" w:hanging="360"/>
      </w:pPr>
    </w:lvl>
    <w:lvl w:ilvl="4" w:tplc="04090019">
      <w:start w:val="1"/>
      <w:numFmt w:val="lowerLetter"/>
      <w:lvlText w:val="%5."/>
      <w:lvlJc w:val="left"/>
      <w:pPr>
        <w:ind w:left="4650" w:hanging="360"/>
      </w:pPr>
    </w:lvl>
    <w:lvl w:ilvl="5" w:tplc="0409001B">
      <w:start w:val="1"/>
      <w:numFmt w:val="lowerRoman"/>
      <w:lvlText w:val="%6."/>
      <w:lvlJc w:val="right"/>
      <w:pPr>
        <w:ind w:left="5370" w:hanging="180"/>
      </w:pPr>
    </w:lvl>
    <w:lvl w:ilvl="6" w:tplc="0409000F">
      <w:start w:val="1"/>
      <w:numFmt w:val="decimal"/>
      <w:lvlText w:val="%7."/>
      <w:lvlJc w:val="left"/>
      <w:pPr>
        <w:ind w:left="6090" w:hanging="360"/>
      </w:pPr>
    </w:lvl>
    <w:lvl w:ilvl="7" w:tplc="04090019">
      <w:start w:val="1"/>
      <w:numFmt w:val="lowerLetter"/>
      <w:lvlText w:val="%8."/>
      <w:lvlJc w:val="left"/>
      <w:pPr>
        <w:ind w:left="6810" w:hanging="360"/>
      </w:pPr>
    </w:lvl>
    <w:lvl w:ilvl="8" w:tplc="0409001B">
      <w:start w:val="1"/>
      <w:numFmt w:val="lowerRoman"/>
      <w:lvlText w:val="%9."/>
      <w:lvlJc w:val="right"/>
      <w:pPr>
        <w:ind w:left="7530" w:hanging="180"/>
      </w:pPr>
    </w:lvl>
  </w:abstractNum>
  <w:abstractNum w:abstractNumId="6"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8"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9"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11"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2"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3"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8"/>
  </w:num>
  <w:num w:numId="5">
    <w:abstractNumId w:val="10"/>
  </w:num>
  <w:num w:numId="6">
    <w:abstractNumId w:val="12"/>
  </w:num>
  <w:num w:numId="7">
    <w:abstractNumId w:val="7"/>
  </w:num>
  <w:num w:numId="8">
    <w:abstractNumId w:val="15"/>
  </w:num>
  <w:num w:numId="9">
    <w:abstractNumId w:val="6"/>
  </w:num>
  <w:num w:numId="10">
    <w:abstractNumId w:val="11"/>
  </w:num>
  <w:num w:numId="11">
    <w:abstractNumId w:val="9"/>
  </w:num>
  <w:num w:numId="12">
    <w:abstractNumId w:val="13"/>
  </w:num>
  <w:num w:numId="13">
    <w:abstractNumId w:val="1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C4"/>
    <w:rsid w:val="000008E1"/>
    <w:rsid w:val="00004580"/>
    <w:rsid w:val="00014F75"/>
    <w:rsid w:val="00016A18"/>
    <w:rsid w:val="000206EB"/>
    <w:rsid w:val="00033D41"/>
    <w:rsid w:val="000356B6"/>
    <w:rsid w:val="000540CA"/>
    <w:rsid w:val="00062AD9"/>
    <w:rsid w:val="00080B0A"/>
    <w:rsid w:val="00091266"/>
    <w:rsid w:val="000A5238"/>
    <w:rsid w:val="000A639F"/>
    <w:rsid w:val="000A6D9F"/>
    <w:rsid w:val="000C72BC"/>
    <w:rsid w:val="00102994"/>
    <w:rsid w:val="001462C8"/>
    <w:rsid w:val="00151ED9"/>
    <w:rsid w:val="00160A0A"/>
    <w:rsid w:val="00172749"/>
    <w:rsid w:val="00186E0B"/>
    <w:rsid w:val="001A7B95"/>
    <w:rsid w:val="001C177E"/>
    <w:rsid w:val="001C7441"/>
    <w:rsid w:val="001F129E"/>
    <w:rsid w:val="002344A9"/>
    <w:rsid w:val="00240AD0"/>
    <w:rsid w:val="00241C3C"/>
    <w:rsid w:val="00264DAB"/>
    <w:rsid w:val="00291F6B"/>
    <w:rsid w:val="00296C13"/>
    <w:rsid w:val="002A47F1"/>
    <w:rsid w:val="002B7C22"/>
    <w:rsid w:val="002B7D2E"/>
    <w:rsid w:val="002C701F"/>
    <w:rsid w:val="002C702F"/>
    <w:rsid w:val="002D22F7"/>
    <w:rsid w:val="002F2A78"/>
    <w:rsid w:val="002F3EB1"/>
    <w:rsid w:val="002F499A"/>
    <w:rsid w:val="00313306"/>
    <w:rsid w:val="003165C9"/>
    <w:rsid w:val="00330B95"/>
    <w:rsid w:val="003616F4"/>
    <w:rsid w:val="003643BA"/>
    <w:rsid w:val="00375DCD"/>
    <w:rsid w:val="00375DEA"/>
    <w:rsid w:val="00375E59"/>
    <w:rsid w:val="0038518F"/>
    <w:rsid w:val="00386A35"/>
    <w:rsid w:val="003968B9"/>
    <w:rsid w:val="003E110B"/>
    <w:rsid w:val="004363FF"/>
    <w:rsid w:val="00444AB3"/>
    <w:rsid w:val="004612E1"/>
    <w:rsid w:val="00466C3A"/>
    <w:rsid w:val="00480D6D"/>
    <w:rsid w:val="004851FD"/>
    <w:rsid w:val="00494514"/>
    <w:rsid w:val="004A7039"/>
    <w:rsid w:val="004C3B70"/>
    <w:rsid w:val="004D370F"/>
    <w:rsid w:val="004F6F2A"/>
    <w:rsid w:val="005113B5"/>
    <w:rsid w:val="005327C4"/>
    <w:rsid w:val="00534963"/>
    <w:rsid w:val="0054761C"/>
    <w:rsid w:val="00572D5C"/>
    <w:rsid w:val="00583854"/>
    <w:rsid w:val="00585CC4"/>
    <w:rsid w:val="00591799"/>
    <w:rsid w:val="005C22B2"/>
    <w:rsid w:val="005D21A8"/>
    <w:rsid w:val="005F3216"/>
    <w:rsid w:val="005F5F61"/>
    <w:rsid w:val="00601830"/>
    <w:rsid w:val="006027C0"/>
    <w:rsid w:val="00633330"/>
    <w:rsid w:val="00636D44"/>
    <w:rsid w:val="00642713"/>
    <w:rsid w:val="0065463E"/>
    <w:rsid w:val="006619B2"/>
    <w:rsid w:val="006668BC"/>
    <w:rsid w:val="006711C7"/>
    <w:rsid w:val="00680D2C"/>
    <w:rsid w:val="006974AE"/>
    <w:rsid w:val="006D3B48"/>
    <w:rsid w:val="006D3B9E"/>
    <w:rsid w:val="006F1A7C"/>
    <w:rsid w:val="00706187"/>
    <w:rsid w:val="00707B10"/>
    <w:rsid w:val="00714098"/>
    <w:rsid w:val="00732566"/>
    <w:rsid w:val="00777D18"/>
    <w:rsid w:val="0079128E"/>
    <w:rsid w:val="007B2EB9"/>
    <w:rsid w:val="007D0F12"/>
    <w:rsid w:val="00804992"/>
    <w:rsid w:val="008126AA"/>
    <w:rsid w:val="00831EC9"/>
    <w:rsid w:val="008455F6"/>
    <w:rsid w:val="00850C3E"/>
    <w:rsid w:val="00854465"/>
    <w:rsid w:val="008858DA"/>
    <w:rsid w:val="008A5C26"/>
    <w:rsid w:val="008B718A"/>
    <w:rsid w:val="008C3D93"/>
    <w:rsid w:val="008D6E03"/>
    <w:rsid w:val="00905810"/>
    <w:rsid w:val="00947D99"/>
    <w:rsid w:val="00952701"/>
    <w:rsid w:val="00965DC1"/>
    <w:rsid w:val="00980F4C"/>
    <w:rsid w:val="009C08F8"/>
    <w:rsid w:val="009C477B"/>
    <w:rsid w:val="009E227D"/>
    <w:rsid w:val="009F35FF"/>
    <w:rsid w:val="009F4BE7"/>
    <w:rsid w:val="00A035EA"/>
    <w:rsid w:val="00A27296"/>
    <w:rsid w:val="00A30908"/>
    <w:rsid w:val="00A34E85"/>
    <w:rsid w:val="00A35197"/>
    <w:rsid w:val="00A42C92"/>
    <w:rsid w:val="00A54C1C"/>
    <w:rsid w:val="00A56857"/>
    <w:rsid w:val="00A6743C"/>
    <w:rsid w:val="00A73F88"/>
    <w:rsid w:val="00A745EF"/>
    <w:rsid w:val="00A97971"/>
    <w:rsid w:val="00AA12EA"/>
    <w:rsid w:val="00AD14AC"/>
    <w:rsid w:val="00AD6B2B"/>
    <w:rsid w:val="00AE4D6B"/>
    <w:rsid w:val="00AE75B3"/>
    <w:rsid w:val="00AF5C12"/>
    <w:rsid w:val="00AF7F8E"/>
    <w:rsid w:val="00B02B57"/>
    <w:rsid w:val="00B03DED"/>
    <w:rsid w:val="00B04EFF"/>
    <w:rsid w:val="00B13E25"/>
    <w:rsid w:val="00B3764E"/>
    <w:rsid w:val="00B464A5"/>
    <w:rsid w:val="00B532D8"/>
    <w:rsid w:val="00B604A9"/>
    <w:rsid w:val="00B75DC0"/>
    <w:rsid w:val="00BA6C7D"/>
    <w:rsid w:val="00BD58C4"/>
    <w:rsid w:val="00BF23F8"/>
    <w:rsid w:val="00BF5583"/>
    <w:rsid w:val="00C001D7"/>
    <w:rsid w:val="00C03076"/>
    <w:rsid w:val="00C03CB5"/>
    <w:rsid w:val="00C20E87"/>
    <w:rsid w:val="00C35878"/>
    <w:rsid w:val="00C453DE"/>
    <w:rsid w:val="00C74C5F"/>
    <w:rsid w:val="00C83859"/>
    <w:rsid w:val="00C966EF"/>
    <w:rsid w:val="00C97F1D"/>
    <w:rsid w:val="00CA4AE7"/>
    <w:rsid w:val="00CB7C73"/>
    <w:rsid w:val="00CD7181"/>
    <w:rsid w:val="00CF4C05"/>
    <w:rsid w:val="00D12CC7"/>
    <w:rsid w:val="00D232CE"/>
    <w:rsid w:val="00D40318"/>
    <w:rsid w:val="00D52A27"/>
    <w:rsid w:val="00D54AE8"/>
    <w:rsid w:val="00DC1528"/>
    <w:rsid w:val="00DC1921"/>
    <w:rsid w:val="00DD5CED"/>
    <w:rsid w:val="00DD7B52"/>
    <w:rsid w:val="00DE1278"/>
    <w:rsid w:val="00DE2CD3"/>
    <w:rsid w:val="00DF0BEB"/>
    <w:rsid w:val="00DF191F"/>
    <w:rsid w:val="00DF7741"/>
    <w:rsid w:val="00E00C47"/>
    <w:rsid w:val="00E10EF4"/>
    <w:rsid w:val="00E13078"/>
    <w:rsid w:val="00E43552"/>
    <w:rsid w:val="00E52D1F"/>
    <w:rsid w:val="00E6336F"/>
    <w:rsid w:val="00E91B4A"/>
    <w:rsid w:val="00E94E35"/>
    <w:rsid w:val="00E9533D"/>
    <w:rsid w:val="00EB16EB"/>
    <w:rsid w:val="00EC5127"/>
    <w:rsid w:val="00ED53CE"/>
    <w:rsid w:val="00EE0233"/>
    <w:rsid w:val="00EE200A"/>
    <w:rsid w:val="00EF52D9"/>
    <w:rsid w:val="00F010B2"/>
    <w:rsid w:val="00F07A4A"/>
    <w:rsid w:val="00F31383"/>
    <w:rsid w:val="00F34B7A"/>
    <w:rsid w:val="00F47C84"/>
    <w:rsid w:val="00F57CC2"/>
    <w:rsid w:val="00F60EA3"/>
    <w:rsid w:val="00F725C5"/>
    <w:rsid w:val="00F90CB9"/>
    <w:rsid w:val="00FB0418"/>
    <w:rsid w:val="00FB597B"/>
    <w:rsid w:val="00FB7894"/>
    <w:rsid w:val="00FC5650"/>
    <w:rsid w:val="00FD0A0E"/>
    <w:rsid w:val="00FD143D"/>
    <w:rsid w:val="00FD2EA6"/>
    <w:rsid w:val="00FD65B0"/>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B988A"/>
  <w15:docId w15:val="{6974C575-423A-4C75-B81A-D2323487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link w:val="FooterChar"/>
    <w:uiPriority w:val="99"/>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BodyText">
    <w:name w:val="Body Text"/>
    <w:basedOn w:val="Normal"/>
    <w:link w:val="BodyTextChar"/>
    <w:rsid w:val="00591799"/>
    <w:pPr>
      <w:spacing w:after="120"/>
    </w:pPr>
  </w:style>
  <w:style w:type="character" w:customStyle="1" w:styleId="BodyTextChar">
    <w:name w:val="Body Text Char"/>
    <w:basedOn w:val="DefaultParagraphFont"/>
    <w:link w:val="BodyText"/>
    <w:rsid w:val="00591799"/>
    <w:rPr>
      <w:snapToGrid w:val="0"/>
      <w:sz w:val="24"/>
    </w:rPr>
  </w:style>
  <w:style w:type="paragraph" w:styleId="Header">
    <w:name w:val="header"/>
    <w:basedOn w:val="Normal"/>
    <w:link w:val="HeaderChar"/>
    <w:rsid w:val="00F47C84"/>
    <w:pPr>
      <w:tabs>
        <w:tab w:val="center" w:pos="4680"/>
        <w:tab w:val="right" w:pos="9360"/>
      </w:tabs>
    </w:pPr>
  </w:style>
  <w:style w:type="character" w:customStyle="1" w:styleId="HeaderChar">
    <w:name w:val="Header Char"/>
    <w:basedOn w:val="DefaultParagraphFont"/>
    <w:link w:val="Header"/>
    <w:rsid w:val="00F47C84"/>
    <w:rPr>
      <w:snapToGrid w:val="0"/>
      <w:sz w:val="24"/>
    </w:rPr>
  </w:style>
  <w:style w:type="character" w:customStyle="1" w:styleId="FooterChar">
    <w:name w:val="Footer Char"/>
    <w:basedOn w:val="DefaultParagraphFont"/>
    <w:link w:val="Footer"/>
    <w:uiPriority w:val="99"/>
    <w:rsid w:val="00F47C84"/>
    <w:rPr>
      <w:sz w:val="24"/>
      <w:szCs w:val="24"/>
    </w:rPr>
  </w:style>
  <w:style w:type="paragraph" w:styleId="NoSpacing">
    <w:name w:val="No Spacing"/>
    <w:basedOn w:val="Normal"/>
    <w:uiPriority w:val="1"/>
    <w:qFormat/>
    <w:rsid w:val="00A54C1C"/>
    <w:pPr>
      <w:widowControl/>
    </w:pPr>
    <w:rPr>
      <w:rFonts w:ascii="Calibri" w:eastAsiaTheme="minorHAnsi" w:hAnsi="Calibri" w:cs="Calibri"/>
      <w:snapToGrid/>
      <w:sz w:val="22"/>
      <w:szCs w:val="22"/>
    </w:rPr>
  </w:style>
  <w:style w:type="paragraph" w:styleId="BalloonText">
    <w:name w:val="Balloon Text"/>
    <w:basedOn w:val="Normal"/>
    <w:link w:val="BalloonTextChar"/>
    <w:rsid w:val="00636D44"/>
    <w:rPr>
      <w:rFonts w:ascii="Segoe UI" w:hAnsi="Segoe UI" w:cs="Segoe UI"/>
      <w:sz w:val="18"/>
      <w:szCs w:val="18"/>
    </w:rPr>
  </w:style>
  <w:style w:type="character" w:customStyle="1" w:styleId="BalloonTextChar">
    <w:name w:val="Balloon Text Char"/>
    <w:basedOn w:val="DefaultParagraphFont"/>
    <w:link w:val="BalloonText"/>
    <w:rsid w:val="00636D4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433982788">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575270">
      <w:bodyDiv w:val="1"/>
      <w:marLeft w:val="0"/>
      <w:marRight w:val="0"/>
      <w:marTop w:val="0"/>
      <w:marBottom w:val="0"/>
      <w:divBdr>
        <w:top w:val="none" w:sz="0" w:space="0" w:color="auto"/>
        <w:left w:val="none" w:sz="0" w:space="0" w:color="auto"/>
        <w:bottom w:val="none" w:sz="0" w:space="0" w:color="auto"/>
        <w:right w:val="none" w:sz="0" w:space="0" w:color="auto"/>
      </w:divBdr>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OneDrive%20-%20Maricopa%20County%20Attorney%20Office\Operations\Rules%20Committee\2019\Form%20Com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C22B1-9272-4409-879C-5DAC24DB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Comment.dotx</Template>
  <TotalTime>0</TotalTime>
  <Pages>3</Pages>
  <Words>647</Words>
  <Characters>3451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Vick Ken</dc:creator>
  <cp:lastModifiedBy>Domanico Joseph</cp:lastModifiedBy>
  <cp:revision>2</cp:revision>
  <cp:lastPrinted>2019-08-12T21:10:00Z</cp:lastPrinted>
  <dcterms:created xsi:type="dcterms:W3CDTF">2019-08-12T21:12:00Z</dcterms:created>
  <dcterms:modified xsi:type="dcterms:W3CDTF">2019-08-12T21:12:00Z</dcterms:modified>
  <cp:contentStatus/>
</cp:coreProperties>
</file>