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5A707" w14:textId="21551775" w:rsidR="0078036E" w:rsidRDefault="0078036E" w:rsidP="0078036E">
      <w:pPr>
        <w:jc w:val="both"/>
        <w:rPr>
          <w:sz w:val="28"/>
          <w:szCs w:val="28"/>
        </w:rPr>
      </w:pPr>
      <w:r>
        <w:rPr>
          <w:sz w:val="28"/>
          <w:szCs w:val="28"/>
        </w:rPr>
        <w:t>Rebecca White Berch (Justice, ret.), Chair</w:t>
      </w:r>
    </w:p>
    <w:p w14:paraId="2105A218" w14:textId="77777777" w:rsidR="0078036E" w:rsidRDefault="0078036E" w:rsidP="0078036E">
      <w:pPr>
        <w:jc w:val="both"/>
        <w:rPr>
          <w:sz w:val="28"/>
          <w:szCs w:val="28"/>
        </w:rPr>
      </w:pPr>
      <w:r>
        <w:rPr>
          <w:sz w:val="28"/>
          <w:szCs w:val="28"/>
        </w:rPr>
        <w:t>Task Force on the Arizona Rules of Probate Procedure, Petitioner</w:t>
      </w:r>
    </w:p>
    <w:p w14:paraId="7028316E" w14:textId="77777777" w:rsidR="0078036E" w:rsidRPr="00955A09" w:rsidRDefault="0078036E" w:rsidP="0078036E">
      <w:pPr>
        <w:jc w:val="both"/>
        <w:rPr>
          <w:sz w:val="28"/>
          <w:szCs w:val="28"/>
        </w:rPr>
      </w:pPr>
      <w:r w:rsidRPr="00955A09">
        <w:rPr>
          <w:sz w:val="28"/>
          <w:szCs w:val="28"/>
        </w:rPr>
        <w:t>1501 W. Washington St.</w:t>
      </w:r>
    </w:p>
    <w:p w14:paraId="50FD4A70" w14:textId="58719DA6" w:rsidR="0078036E" w:rsidRDefault="0078036E" w:rsidP="0078036E">
      <w:pPr>
        <w:jc w:val="both"/>
        <w:rPr>
          <w:sz w:val="28"/>
          <w:szCs w:val="28"/>
        </w:rPr>
      </w:pPr>
      <w:r w:rsidRPr="00955A09">
        <w:rPr>
          <w:sz w:val="28"/>
          <w:szCs w:val="28"/>
        </w:rPr>
        <w:t>Phoenix, AZ 85007</w:t>
      </w:r>
    </w:p>
    <w:p w14:paraId="201D7FBC" w14:textId="77777777" w:rsidR="0078036E" w:rsidRPr="00955A09" w:rsidRDefault="0078036E" w:rsidP="0078036E">
      <w:pPr>
        <w:jc w:val="both"/>
        <w:rPr>
          <w:sz w:val="28"/>
          <w:szCs w:val="28"/>
        </w:rPr>
      </w:pPr>
    </w:p>
    <w:p w14:paraId="26BA08FE" w14:textId="77777777" w:rsidR="0078036E" w:rsidRDefault="0078036E" w:rsidP="0078036E">
      <w:pPr>
        <w:spacing w:line="480" w:lineRule="auto"/>
        <w:jc w:val="both"/>
        <w:rPr>
          <w:sz w:val="28"/>
          <w:szCs w:val="28"/>
        </w:rPr>
      </w:pPr>
    </w:p>
    <w:p w14:paraId="49F7CCDE" w14:textId="77777777" w:rsidR="0078036E" w:rsidRPr="007641DA" w:rsidRDefault="0078036E" w:rsidP="0078036E">
      <w:pPr>
        <w:spacing w:line="480" w:lineRule="auto"/>
        <w:jc w:val="both"/>
        <w:rPr>
          <w:sz w:val="28"/>
          <w:szCs w:val="28"/>
          <w:u w:val="single"/>
        </w:rPr>
      </w:pPr>
    </w:p>
    <w:p w14:paraId="427B3D43" w14:textId="77777777" w:rsidR="0078036E" w:rsidRPr="00955A09" w:rsidRDefault="0078036E" w:rsidP="0078036E">
      <w:pPr>
        <w:ind w:left="2160" w:firstLine="720"/>
        <w:jc w:val="both"/>
        <w:rPr>
          <w:sz w:val="28"/>
          <w:szCs w:val="28"/>
        </w:rPr>
      </w:pPr>
      <w:r w:rsidRPr="00955A09">
        <w:rPr>
          <w:sz w:val="28"/>
          <w:szCs w:val="28"/>
        </w:rPr>
        <w:t>SUPREME COURT</w:t>
      </w:r>
      <w:r>
        <w:rPr>
          <w:sz w:val="28"/>
          <w:szCs w:val="28"/>
        </w:rPr>
        <w:t xml:space="preserve"> OF ARIZONA</w:t>
      </w:r>
    </w:p>
    <w:p w14:paraId="0CE9FA4D" w14:textId="77777777" w:rsidR="0078036E" w:rsidRPr="00955A09" w:rsidRDefault="0078036E" w:rsidP="0078036E">
      <w:pPr>
        <w:jc w:val="both"/>
        <w:rPr>
          <w:sz w:val="28"/>
          <w:szCs w:val="28"/>
        </w:rPr>
      </w:pPr>
    </w:p>
    <w:p w14:paraId="07340FFA" w14:textId="77777777" w:rsidR="0078036E" w:rsidRDefault="0078036E" w:rsidP="0078036E">
      <w:pPr>
        <w:jc w:val="both"/>
        <w:rPr>
          <w:sz w:val="28"/>
          <w:szCs w:val="28"/>
        </w:rPr>
      </w:pPr>
    </w:p>
    <w:p w14:paraId="73559F8B" w14:textId="3791C4B0" w:rsidR="0078036E" w:rsidRDefault="0078036E" w:rsidP="0078036E">
      <w:pPr>
        <w:jc w:val="both"/>
        <w:rPr>
          <w:sz w:val="28"/>
          <w:szCs w:val="28"/>
        </w:rPr>
      </w:pPr>
      <w:r>
        <w:rPr>
          <w:sz w:val="28"/>
          <w:szCs w:val="28"/>
        </w:rPr>
        <w:t xml:space="preserve">PETITION TO AMEND THE </w:t>
      </w:r>
      <w:r>
        <w:rPr>
          <w:sz w:val="28"/>
          <w:szCs w:val="28"/>
        </w:rPr>
        <w:tab/>
      </w:r>
      <w:r>
        <w:rPr>
          <w:sz w:val="28"/>
          <w:szCs w:val="28"/>
        </w:rPr>
        <w:tab/>
        <w:t>) S</w:t>
      </w:r>
      <w:r w:rsidRPr="00955A09">
        <w:rPr>
          <w:sz w:val="28"/>
          <w:szCs w:val="28"/>
        </w:rPr>
        <w:t>upreme Court No. R-</w:t>
      </w:r>
      <w:r>
        <w:rPr>
          <w:sz w:val="28"/>
          <w:szCs w:val="28"/>
        </w:rPr>
        <w:t>18-0044</w:t>
      </w:r>
    </w:p>
    <w:p w14:paraId="36D67A67" w14:textId="6E335353" w:rsidR="0078036E" w:rsidRDefault="0078036E" w:rsidP="0078036E">
      <w:pPr>
        <w:jc w:val="both"/>
        <w:rPr>
          <w:sz w:val="28"/>
          <w:szCs w:val="28"/>
        </w:rPr>
      </w:pPr>
      <w:r>
        <w:rPr>
          <w:sz w:val="28"/>
          <w:szCs w:val="28"/>
        </w:rPr>
        <w:t>ARIZONA RULES OF PROBATE</w:t>
      </w:r>
      <w:r>
        <w:rPr>
          <w:sz w:val="28"/>
          <w:szCs w:val="28"/>
        </w:rPr>
        <w:tab/>
        <w:t>)</w:t>
      </w:r>
    </w:p>
    <w:p w14:paraId="5D229244" w14:textId="3E7886EC" w:rsidR="0078036E" w:rsidRDefault="0078036E" w:rsidP="0078036E">
      <w:pPr>
        <w:ind w:left="4320" w:hanging="4320"/>
        <w:jc w:val="both"/>
        <w:rPr>
          <w:sz w:val="28"/>
          <w:szCs w:val="28"/>
        </w:rPr>
      </w:pPr>
      <w:r>
        <w:rPr>
          <w:sz w:val="28"/>
          <w:szCs w:val="28"/>
        </w:rPr>
        <w:t>PROCEDURE</w:t>
      </w:r>
      <w:r>
        <w:rPr>
          <w:sz w:val="28"/>
          <w:szCs w:val="28"/>
        </w:rPr>
        <w:tab/>
        <w:t>) RE</w:t>
      </w:r>
      <w:r w:rsidR="00496B47">
        <w:rPr>
          <w:sz w:val="28"/>
          <w:szCs w:val="28"/>
        </w:rPr>
        <w:t>PLY</w:t>
      </w:r>
      <w:r w:rsidR="000F7CA2">
        <w:rPr>
          <w:sz w:val="28"/>
          <w:szCs w:val="28"/>
        </w:rPr>
        <w:t xml:space="preserve"> TO PUBLIC COMMENTS</w:t>
      </w:r>
    </w:p>
    <w:p w14:paraId="1252142C" w14:textId="2817FB0D" w:rsidR="0078036E" w:rsidRDefault="0078036E" w:rsidP="0078036E">
      <w:pPr>
        <w:ind w:left="4320" w:hanging="4320"/>
        <w:jc w:val="both"/>
        <w:rPr>
          <w:sz w:val="28"/>
          <w:szCs w:val="28"/>
        </w:rPr>
      </w:pPr>
      <w:r>
        <w:rPr>
          <w:sz w:val="28"/>
          <w:szCs w:val="28"/>
        </w:rPr>
        <w:tab/>
        <w:t>)</w:t>
      </w:r>
    </w:p>
    <w:p w14:paraId="71DC8AD0" w14:textId="77777777" w:rsidR="0078036E" w:rsidRDefault="0078036E" w:rsidP="0078036E">
      <w:pPr>
        <w:tabs>
          <w:tab w:val="left" w:pos="4320"/>
        </w:tabs>
        <w:jc w:val="both"/>
        <w:rPr>
          <w:sz w:val="28"/>
          <w:szCs w:val="28"/>
        </w:rPr>
      </w:pPr>
      <w:r>
        <w:rPr>
          <w:sz w:val="28"/>
          <w:szCs w:val="28"/>
        </w:rPr>
        <w:t>______________________________</w:t>
      </w:r>
      <w:r>
        <w:rPr>
          <w:sz w:val="28"/>
          <w:szCs w:val="28"/>
        </w:rPr>
        <w:tab/>
        <w:t>)</w:t>
      </w:r>
    </w:p>
    <w:p w14:paraId="34C63B8F" w14:textId="77777777" w:rsidR="0078036E" w:rsidRDefault="0078036E" w:rsidP="0078036E"/>
    <w:p w14:paraId="33E7A94D" w14:textId="131C1573" w:rsidR="00532AD5" w:rsidRDefault="00EF6C11" w:rsidP="00FE4F6A">
      <w:pPr>
        <w:spacing w:line="480" w:lineRule="auto"/>
        <w:ind w:firstLine="720"/>
        <w:jc w:val="both"/>
        <w:rPr>
          <w:sz w:val="28"/>
          <w:szCs w:val="28"/>
        </w:rPr>
      </w:pPr>
      <w:r>
        <w:rPr>
          <w:sz w:val="28"/>
          <w:szCs w:val="28"/>
        </w:rPr>
        <w:t>The</w:t>
      </w:r>
      <w:r w:rsidR="0078036E" w:rsidRPr="0095461F">
        <w:rPr>
          <w:sz w:val="28"/>
          <w:szCs w:val="28"/>
        </w:rPr>
        <w:t xml:space="preserve"> Task Force on the Arizona Rules of</w:t>
      </w:r>
      <w:r w:rsidR="0078036E">
        <w:rPr>
          <w:sz w:val="28"/>
          <w:szCs w:val="28"/>
        </w:rPr>
        <w:t xml:space="preserve"> Probate </w:t>
      </w:r>
      <w:r w:rsidR="0078036E" w:rsidRPr="0095461F">
        <w:rPr>
          <w:sz w:val="28"/>
          <w:szCs w:val="28"/>
        </w:rPr>
        <w:t>Procedure</w:t>
      </w:r>
      <w:r w:rsidR="0078036E">
        <w:rPr>
          <w:sz w:val="28"/>
          <w:szCs w:val="28"/>
        </w:rPr>
        <w:t xml:space="preserve"> (“Task Force”)</w:t>
      </w:r>
      <w:r w:rsidR="00FE4F6A">
        <w:rPr>
          <w:sz w:val="28"/>
          <w:szCs w:val="28"/>
        </w:rPr>
        <w:t xml:space="preserve"> </w:t>
      </w:r>
      <w:r w:rsidR="0078036E" w:rsidRPr="0095461F">
        <w:rPr>
          <w:sz w:val="28"/>
          <w:szCs w:val="28"/>
        </w:rPr>
        <w:t>submit</w:t>
      </w:r>
      <w:r w:rsidR="0078036E">
        <w:rPr>
          <w:sz w:val="28"/>
          <w:szCs w:val="28"/>
        </w:rPr>
        <w:t xml:space="preserve">s </w:t>
      </w:r>
      <w:r w:rsidR="0078036E" w:rsidRPr="0095461F">
        <w:rPr>
          <w:sz w:val="28"/>
          <w:szCs w:val="28"/>
        </w:rPr>
        <w:t xml:space="preserve">this </w:t>
      </w:r>
      <w:r w:rsidR="00FE4F6A">
        <w:rPr>
          <w:sz w:val="28"/>
          <w:szCs w:val="28"/>
        </w:rPr>
        <w:t>R</w:t>
      </w:r>
      <w:r w:rsidR="0078036E">
        <w:rPr>
          <w:sz w:val="28"/>
          <w:szCs w:val="28"/>
        </w:rPr>
        <w:t>e</w:t>
      </w:r>
      <w:r w:rsidR="00496B47">
        <w:rPr>
          <w:sz w:val="28"/>
          <w:szCs w:val="28"/>
        </w:rPr>
        <w:t>ply</w:t>
      </w:r>
      <w:r w:rsidR="0078036E">
        <w:rPr>
          <w:sz w:val="28"/>
          <w:szCs w:val="28"/>
        </w:rPr>
        <w:t xml:space="preserve"> pursuant to the Court’s May 20, 2019 Order authorizing </w:t>
      </w:r>
      <w:r w:rsidR="00FE4F6A">
        <w:rPr>
          <w:sz w:val="28"/>
          <w:szCs w:val="28"/>
        </w:rPr>
        <w:t>this</w:t>
      </w:r>
      <w:r w:rsidR="0078036E">
        <w:rPr>
          <w:sz w:val="28"/>
          <w:szCs w:val="28"/>
        </w:rPr>
        <w:t xml:space="preserve"> filing by June 14, 2019</w:t>
      </w:r>
      <w:r w:rsidR="0078036E" w:rsidRPr="0095461F">
        <w:rPr>
          <w:sz w:val="28"/>
          <w:szCs w:val="28"/>
        </w:rPr>
        <w:t>.</w:t>
      </w:r>
    </w:p>
    <w:p w14:paraId="5956CC55" w14:textId="42990916" w:rsidR="003E1F2F" w:rsidRDefault="003E1F2F" w:rsidP="00FE4F6A">
      <w:pPr>
        <w:spacing w:line="480" w:lineRule="auto"/>
        <w:ind w:firstLine="720"/>
        <w:jc w:val="both"/>
        <w:rPr>
          <w:sz w:val="28"/>
          <w:szCs w:val="28"/>
        </w:rPr>
      </w:pPr>
      <w:r>
        <w:rPr>
          <w:sz w:val="28"/>
          <w:szCs w:val="28"/>
        </w:rPr>
        <w:t xml:space="preserve">The </w:t>
      </w:r>
      <w:r w:rsidRPr="00E2209E">
        <w:rPr>
          <w:sz w:val="28"/>
          <w:szCs w:val="28"/>
        </w:rPr>
        <w:t>Reply</w:t>
      </w:r>
      <w:r>
        <w:rPr>
          <w:sz w:val="28"/>
          <w:szCs w:val="28"/>
        </w:rPr>
        <w:t xml:space="preserve"> includes three appendices.  Appendix A</w:t>
      </w:r>
      <w:r w:rsidR="00116E66">
        <w:rPr>
          <w:sz w:val="28"/>
          <w:szCs w:val="28"/>
        </w:rPr>
        <w:t>-R (the “R” designates “</w:t>
      </w:r>
      <w:r w:rsidR="00E52A86">
        <w:rPr>
          <w:sz w:val="28"/>
          <w:szCs w:val="28"/>
        </w:rPr>
        <w:t>R</w:t>
      </w:r>
      <w:r w:rsidR="00116E66">
        <w:rPr>
          <w:sz w:val="28"/>
          <w:szCs w:val="28"/>
        </w:rPr>
        <w:t>eply”)</w:t>
      </w:r>
      <w:r>
        <w:rPr>
          <w:sz w:val="28"/>
          <w:szCs w:val="28"/>
        </w:rPr>
        <w:t xml:space="preserve"> shows with redlines the Task Force’s </w:t>
      </w:r>
      <w:r w:rsidR="00E52A86">
        <w:rPr>
          <w:sz w:val="28"/>
          <w:szCs w:val="28"/>
        </w:rPr>
        <w:t xml:space="preserve">recent </w:t>
      </w:r>
      <w:r>
        <w:rPr>
          <w:sz w:val="28"/>
          <w:szCs w:val="28"/>
        </w:rPr>
        <w:t>changes to rules</w:t>
      </w:r>
      <w:r w:rsidR="000F7CA2">
        <w:rPr>
          <w:sz w:val="28"/>
          <w:szCs w:val="28"/>
        </w:rPr>
        <w:t xml:space="preserve"> </w:t>
      </w:r>
      <w:r w:rsidR="00EB0385">
        <w:rPr>
          <w:sz w:val="28"/>
          <w:szCs w:val="28"/>
        </w:rPr>
        <w:t xml:space="preserve">originally proposed </w:t>
      </w:r>
      <w:r>
        <w:rPr>
          <w:sz w:val="28"/>
          <w:szCs w:val="28"/>
        </w:rPr>
        <w:t>in Appendix A of the January</w:t>
      </w:r>
      <w:r w:rsidR="000F7CA2">
        <w:rPr>
          <w:sz w:val="28"/>
          <w:szCs w:val="28"/>
        </w:rPr>
        <w:t xml:space="preserve"> 2019</w:t>
      </w:r>
      <w:r>
        <w:rPr>
          <w:sz w:val="28"/>
          <w:szCs w:val="28"/>
        </w:rPr>
        <w:t xml:space="preserve"> rule petition.  Appendix B</w:t>
      </w:r>
      <w:r w:rsidR="00116E66">
        <w:rPr>
          <w:sz w:val="28"/>
          <w:szCs w:val="28"/>
        </w:rPr>
        <w:t>-R</w:t>
      </w:r>
      <w:r>
        <w:rPr>
          <w:sz w:val="28"/>
          <w:szCs w:val="28"/>
        </w:rPr>
        <w:t xml:space="preserve"> is a clean version of the proposed rules</w:t>
      </w:r>
      <w:r w:rsidR="000F7CA2">
        <w:rPr>
          <w:sz w:val="28"/>
          <w:szCs w:val="28"/>
        </w:rPr>
        <w:t>, including</w:t>
      </w:r>
      <w:r>
        <w:rPr>
          <w:sz w:val="28"/>
          <w:szCs w:val="28"/>
        </w:rPr>
        <w:t xml:space="preserve"> a correlation table that shows the new rules’ origins in the current rules.  Appendix C</w:t>
      </w:r>
      <w:r w:rsidR="00116E66">
        <w:rPr>
          <w:sz w:val="28"/>
          <w:szCs w:val="28"/>
        </w:rPr>
        <w:t>-R</w:t>
      </w:r>
      <w:r>
        <w:rPr>
          <w:sz w:val="28"/>
          <w:szCs w:val="28"/>
        </w:rPr>
        <w:t xml:space="preserve"> contains clean versions of </w:t>
      </w:r>
      <w:r w:rsidR="00EB0385">
        <w:rPr>
          <w:sz w:val="28"/>
          <w:szCs w:val="28"/>
        </w:rPr>
        <w:t xml:space="preserve">seven </w:t>
      </w:r>
      <w:r>
        <w:rPr>
          <w:sz w:val="28"/>
          <w:szCs w:val="28"/>
        </w:rPr>
        <w:t>proposed forms.</w:t>
      </w:r>
    </w:p>
    <w:p w14:paraId="71E9BF27" w14:textId="04E5A04E" w:rsidR="002D0109" w:rsidRDefault="0078036E" w:rsidP="0077377E">
      <w:pPr>
        <w:spacing w:line="480" w:lineRule="auto"/>
        <w:ind w:firstLine="720"/>
        <w:jc w:val="both"/>
        <w:rPr>
          <w:sz w:val="28"/>
          <w:szCs w:val="28"/>
        </w:rPr>
      </w:pPr>
      <w:r>
        <w:rPr>
          <w:sz w:val="28"/>
          <w:szCs w:val="28"/>
        </w:rPr>
        <w:t xml:space="preserve">Because </w:t>
      </w:r>
      <w:r w:rsidR="00496B47">
        <w:rPr>
          <w:sz w:val="28"/>
          <w:szCs w:val="28"/>
        </w:rPr>
        <w:t>R</w:t>
      </w:r>
      <w:r w:rsidR="0077377E">
        <w:rPr>
          <w:sz w:val="28"/>
          <w:szCs w:val="28"/>
        </w:rPr>
        <w:t>-</w:t>
      </w:r>
      <w:r w:rsidR="00EF6C11">
        <w:rPr>
          <w:sz w:val="28"/>
          <w:szCs w:val="28"/>
        </w:rPr>
        <w:t>1</w:t>
      </w:r>
      <w:r w:rsidR="0077377E">
        <w:rPr>
          <w:sz w:val="28"/>
          <w:szCs w:val="28"/>
        </w:rPr>
        <w:t xml:space="preserve">8-0044 </w:t>
      </w:r>
      <w:r w:rsidR="00116E66">
        <w:rPr>
          <w:sz w:val="28"/>
          <w:szCs w:val="28"/>
        </w:rPr>
        <w:t>pr</w:t>
      </w:r>
      <w:r>
        <w:rPr>
          <w:sz w:val="28"/>
          <w:szCs w:val="28"/>
        </w:rPr>
        <w:t xml:space="preserve">oposed </w:t>
      </w:r>
      <w:r w:rsidR="00EF6C11">
        <w:rPr>
          <w:sz w:val="28"/>
          <w:szCs w:val="28"/>
        </w:rPr>
        <w:t>that the Court abrogate</w:t>
      </w:r>
      <w:r>
        <w:rPr>
          <w:sz w:val="28"/>
          <w:szCs w:val="28"/>
        </w:rPr>
        <w:t xml:space="preserve"> the current probate rules and </w:t>
      </w:r>
      <w:r w:rsidR="00EF6C11">
        <w:rPr>
          <w:sz w:val="28"/>
          <w:szCs w:val="28"/>
        </w:rPr>
        <w:t>adopt</w:t>
      </w:r>
      <w:r>
        <w:rPr>
          <w:sz w:val="28"/>
          <w:szCs w:val="28"/>
        </w:rPr>
        <w:t xml:space="preserve"> a</w:t>
      </w:r>
      <w:r w:rsidR="000F7CA2">
        <w:rPr>
          <w:sz w:val="28"/>
          <w:szCs w:val="28"/>
        </w:rPr>
        <w:t xml:space="preserve"> comprehensive</w:t>
      </w:r>
      <w:r>
        <w:rPr>
          <w:sz w:val="28"/>
          <w:szCs w:val="28"/>
        </w:rPr>
        <w:t xml:space="preserve"> new</w:t>
      </w:r>
      <w:r w:rsidR="00EF6C11">
        <w:rPr>
          <w:sz w:val="28"/>
          <w:szCs w:val="28"/>
        </w:rPr>
        <w:t xml:space="preserve"> set of rules</w:t>
      </w:r>
      <w:r>
        <w:rPr>
          <w:sz w:val="28"/>
          <w:szCs w:val="28"/>
        </w:rPr>
        <w:t xml:space="preserve">, as well as </w:t>
      </w:r>
      <w:r w:rsidR="00EF6C11">
        <w:rPr>
          <w:sz w:val="28"/>
          <w:szCs w:val="28"/>
        </w:rPr>
        <w:t>several</w:t>
      </w:r>
      <w:r>
        <w:rPr>
          <w:sz w:val="28"/>
          <w:szCs w:val="28"/>
        </w:rPr>
        <w:t xml:space="preserve"> new forms,</w:t>
      </w:r>
      <w:r w:rsidR="00496B47">
        <w:rPr>
          <w:sz w:val="28"/>
          <w:szCs w:val="28"/>
        </w:rPr>
        <w:t xml:space="preserve"> the Task </w:t>
      </w:r>
      <w:r w:rsidR="00496B47">
        <w:rPr>
          <w:sz w:val="28"/>
          <w:szCs w:val="28"/>
        </w:rPr>
        <w:lastRenderedPageBreak/>
        <w:t xml:space="preserve">Force </w:t>
      </w:r>
      <w:r w:rsidR="00FE4F6A">
        <w:rPr>
          <w:sz w:val="28"/>
          <w:szCs w:val="28"/>
        </w:rPr>
        <w:t xml:space="preserve">widely </w:t>
      </w:r>
      <w:r w:rsidR="00EF6C11">
        <w:rPr>
          <w:sz w:val="28"/>
          <w:szCs w:val="28"/>
        </w:rPr>
        <w:t>publicized</w:t>
      </w:r>
      <w:r>
        <w:rPr>
          <w:sz w:val="28"/>
          <w:szCs w:val="28"/>
        </w:rPr>
        <w:t xml:space="preserve"> </w:t>
      </w:r>
      <w:r w:rsidR="00496B47">
        <w:rPr>
          <w:sz w:val="28"/>
          <w:szCs w:val="28"/>
        </w:rPr>
        <w:t>its w</w:t>
      </w:r>
      <w:r>
        <w:rPr>
          <w:sz w:val="28"/>
          <w:szCs w:val="28"/>
        </w:rPr>
        <w:t xml:space="preserve">ork product.  It </w:t>
      </w:r>
      <w:r w:rsidR="007E620E" w:rsidRPr="0077377E">
        <w:rPr>
          <w:sz w:val="28"/>
          <w:szCs w:val="28"/>
        </w:rPr>
        <w:t>distributed</w:t>
      </w:r>
      <w:r w:rsidRPr="0077377E">
        <w:rPr>
          <w:sz w:val="28"/>
          <w:szCs w:val="28"/>
        </w:rPr>
        <w:t xml:space="preserve"> links to R-18-0044</w:t>
      </w:r>
      <w:r w:rsidRPr="007E620E">
        <w:rPr>
          <w:sz w:val="28"/>
          <w:szCs w:val="28"/>
        </w:rPr>
        <w:t xml:space="preserve"> and inv</w:t>
      </w:r>
      <w:r w:rsidR="002D0109" w:rsidRPr="007E620E">
        <w:rPr>
          <w:sz w:val="28"/>
          <w:szCs w:val="28"/>
        </w:rPr>
        <w:t>ited comments from</w:t>
      </w:r>
      <w:r w:rsidR="00EF6C11">
        <w:rPr>
          <w:sz w:val="28"/>
          <w:szCs w:val="28"/>
        </w:rPr>
        <w:t>:</w:t>
      </w:r>
    </w:p>
    <w:p w14:paraId="2F57390D" w14:textId="2BEAFB9E" w:rsidR="002D0109" w:rsidRDefault="002D0109" w:rsidP="00BE362F">
      <w:pPr>
        <w:spacing w:line="276" w:lineRule="auto"/>
        <w:ind w:firstLine="720"/>
        <w:rPr>
          <w:sz w:val="28"/>
          <w:szCs w:val="28"/>
        </w:rPr>
      </w:pPr>
      <w:r>
        <w:rPr>
          <w:sz w:val="28"/>
          <w:szCs w:val="28"/>
        </w:rPr>
        <w:t xml:space="preserve">- </w:t>
      </w:r>
      <w:r w:rsidR="00702B36">
        <w:rPr>
          <w:sz w:val="28"/>
          <w:szCs w:val="28"/>
        </w:rPr>
        <w:t xml:space="preserve"> </w:t>
      </w:r>
      <w:r>
        <w:rPr>
          <w:sz w:val="28"/>
          <w:szCs w:val="28"/>
        </w:rPr>
        <w:t>the State Bar</w:t>
      </w:r>
      <w:r w:rsidR="007E620E">
        <w:rPr>
          <w:sz w:val="28"/>
          <w:szCs w:val="28"/>
        </w:rPr>
        <w:t xml:space="preserve"> of Arizona</w:t>
      </w:r>
      <w:r>
        <w:rPr>
          <w:sz w:val="28"/>
          <w:szCs w:val="28"/>
        </w:rPr>
        <w:t xml:space="preserve"> Probate and Trust Section</w:t>
      </w:r>
    </w:p>
    <w:p w14:paraId="40346131" w14:textId="229E3F31" w:rsidR="002D0109" w:rsidRDefault="002D0109" w:rsidP="00702B36">
      <w:pPr>
        <w:spacing w:line="276" w:lineRule="auto"/>
        <w:ind w:left="990" w:hanging="270"/>
        <w:rPr>
          <w:sz w:val="28"/>
          <w:szCs w:val="28"/>
        </w:rPr>
      </w:pPr>
      <w:r>
        <w:rPr>
          <w:sz w:val="28"/>
          <w:szCs w:val="28"/>
        </w:rPr>
        <w:t>-  the State Bar Elder Law, Mental Health, and Special Needs Planning Section</w:t>
      </w:r>
    </w:p>
    <w:p w14:paraId="34817ADB" w14:textId="1CE1EF18" w:rsidR="002D0109" w:rsidRDefault="002D0109" w:rsidP="00BE362F">
      <w:pPr>
        <w:spacing w:line="276" w:lineRule="auto"/>
        <w:ind w:firstLine="720"/>
        <w:rPr>
          <w:sz w:val="28"/>
          <w:szCs w:val="28"/>
        </w:rPr>
      </w:pPr>
      <w:r>
        <w:rPr>
          <w:sz w:val="28"/>
          <w:szCs w:val="28"/>
        </w:rPr>
        <w:t xml:space="preserve">- </w:t>
      </w:r>
      <w:r w:rsidR="00702B36">
        <w:rPr>
          <w:sz w:val="28"/>
          <w:szCs w:val="28"/>
        </w:rPr>
        <w:t xml:space="preserve"> </w:t>
      </w:r>
      <w:r>
        <w:rPr>
          <w:sz w:val="28"/>
          <w:szCs w:val="28"/>
        </w:rPr>
        <w:t>the State Bar Civil Practice and Procedure Committee</w:t>
      </w:r>
    </w:p>
    <w:p w14:paraId="6652E62B" w14:textId="41560A9D" w:rsidR="002D0109" w:rsidRDefault="00C117D7" w:rsidP="00BE362F">
      <w:pPr>
        <w:spacing w:line="276" w:lineRule="auto"/>
        <w:ind w:left="720"/>
        <w:rPr>
          <w:sz w:val="28"/>
          <w:szCs w:val="28"/>
        </w:rPr>
      </w:pPr>
      <w:r>
        <w:rPr>
          <w:sz w:val="28"/>
          <w:szCs w:val="28"/>
        </w:rPr>
        <w:t xml:space="preserve">- </w:t>
      </w:r>
      <w:r w:rsidR="002D0109">
        <w:rPr>
          <w:sz w:val="28"/>
          <w:szCs w:val="28"/>
        </w:rPr>
        <w:t xml:space="preserve">the Maricopa County Bar Estate Planning, Probate, and Trust Law Section </w:t>
      </w:r>
      <w:r>
        <w:rPr>
          <w:sz w:val="28"/>
          <w:szCs w:val="28"/>
        </w:rPr>
        <w:t xml:space="preserve">- </w:t>
      </w:r>
      <w:r w:rsidR="002D0109">
        <w:rPr>
          <w:sz w:val="28"/>
          <w:szCs w:val="28"/>
        </w:rPr>
        <w:t>the National Academy of Elder Law Attorneys (“NEALA”)</w:t>
      </w:r>
    </w:p>
    <w:p w14:paraId="75E795DA" w14:textId="61BFBA6B" w:rsidR="0077377E" w:rsidRDefault="00C117D7" w:rsidP="004071E3">
      <w:pPr>
        <w:spacing w:line="480" w:lineRule="auto"/>
        <w:ind w:left="720"/>
        <w:rPr>
          <w:sz w:val="28"/>
          <w:szCs w:val="28"/>
        </w:rPr>
      </w:pPr>
      <w:r>
        <w:rPr>
          <w:sz w:val="28"/>
          <w:szCs w:val="28"/>
        </w:rPr>
        <w:t xml:space="preserve">- </w:t>
      </w:r>
      <w:r w:rsidR="002D0109">
        <w:rPr>
          <w:sz w:val="28"/>
          <w:szCs w:val="28"/>
        </w:rPr>
        <w:t>the Arizona Fiduciaries Association</w:t>
      </w:r>
    </w:p>
    <w:p w14:paraId="506CBFBC" w14:textId="70C39471" w:rsidR="002D0109" w:rsidRDefault="00C117D7" w:rsidP="001D14B6">
      <w:pPr>
        <w:spacing w:line="480" w:lineRule="auto"/>
        <w:ind w:firstLine="720"/>
        <w:jc w:val="both"/>
        <w:rPr>
          <w:sz w:val="28"/>
          <w:szCs w:val="28"/>
        </w:rPr>
      </w:pPr>
      <w:r>
        <w:rPr>
          <w:sz w:val="28"/>
          <w:szCs w:val="28"/>
        </w:rPr>
        <w:t xml:space="preserve">Task Force </w:t>
      </w:r>
      <w:r w:rsidR="002D0109">
        <w:rPr>
          <w:sz w:val="28"/>
          <w:szCs w:val="28"/>
        </w:rPr>
        <w:t xml:space="preserve">members, </w:t>
      </w:r>
      <w:r w:rsidR="000F7CA2">
        <w:rPr>
          <w:sz w:val="28"/>
          <w:szCs w:val="28"/>
        </w:rPr>
        <w:t>individually and in teams</w:t>
      </w:r>
      <w:r w:rsidR="002D0109">
        <w:rPr>
          <w:sz w:val="28"/>
          <w:szCs w:val="28"/>
        </w:rPr>
        <w:t xml:space="preserve">, </w:t>
      </w:r>
      <w:r w:rsidR="00496B47">
        <w:rPr>
          <w:sz w:val="28"/>
          <w:szCs w:val="28"/>
        </w:rPr>
        <w:t xml:space="preserve">discussed the </w:t>
      </w:r>
      <w:r w:rsidR="002D0109">
        <w:rPr>
          <w:sz w:val="28"/>
          <w:szCs w:val="28"/>
        </w:rPr>
        <w:t xml:space="preserve">proposed rules </w:t>
      </w:r>
      <w:r w:rsidR="00496B47">
        <w:rPr>
          <w:sz w:val="28"/>
          <w:szCs w:val="28"/>
        </w:rPr>
        <w:t xml:space="preserve">in presentations </w:t>
      </w:r>
      <w:r w:rsidR="002D0109">
        <w:rPr>
          <w:sz w:val="28"/>
          <w:szCs w:val="28"/>
        </w:rPr>
        <w:t>to</w:t>
      </w:r>
      <w:r w:rsidR="00E540F2">
        <w:rPr>
          <w:sz w:val="28"/>
          <w:szCs w:val="28"/>
        </w:rPr>
        <w:t xml:space="preserve"> the following groups, among others</w:t>
      </w:r>
      <w:r w:rsidR="00EF6C11">
        <w:rPr>
          <w:sz w:val="28"/>
          <w:szCs w:val="28"/>
        </w:rPr>
        <w:t>:</w:t>
      </w:r>
    </w:p>
    <w:p w14:paraId="77046CBB" w14:textId="1A22AE29" w:rsidR="00C117D7" w:rsidRDefault="00C117D7" w:rsidP="00702B36">
      <w:pPr>
        <w:spacing w:line="276" w:lineRule="auto"/>
        <w:ind w:left="900" w:hanging="180"/>
        <w:rPr>
          <w:sz w:val="28"/>
          <w:szCs w:val="28"/>
        </w:rPr>
      </w:pPr>
      <w:r>
        <w:rPr>
          <w:sz w:val="28"/>
          <w:szCs w:val="28"/>
        </w:rPr>
        <w:t xml:space="preserve">- </w:t>
      </w:r>
      <w:r w:rsidR="002D0109">
        <w:rPr>
          <w:sz w:val="28"/>
          <w:szCs w:val="28"/>
        </w:rPr>
        <w:t>the Executive Council of the Elder Law, Mental Health, and Special Needs Planning Section of the State Bar</w:t>
      </w:r>
    </w:p>
    <w:p w14:paraId="7FCC2F2D" w14:textId="3F801F28" w:rsidR="00C117D7" w:rsidRDefault="00C117D7" w:rsidP="00702B36">
      <w:pPr>
        <w:spacing w:line="276" w:lineRule="auto"/>
        <w:ind w:left="900" w:hanging="180"/>
        <w:rPr>
          <w:sz w:val="28"/>
          <w:szCs w:val="28"/>
        </w:rPr>
      </w:pPr>
      <w:r>
        <w:rPr>
          <w:sz w:val="28"/>
          <w:szCs w:val="28"/>
        </w:rPr>
        <w:t xml:space="preserve">- </w:t>
      </w:r>
      <w:r w:rsidR="002D0109">
        <w:rPr>
          <w:sz w:val="28"/>
          <w:szCs w:val="28"/>
        </w:rPr>
        <w:t>the Executive Council of the Estate Planning, Probate, and Trust Law Section of the Maricopa County Bar Association</w:t>
      </w:r>
    </w:p>
    <w:p w14:paraId="573ACB41" w14:textId="31380737" w:rsidR="00C117D7" w:rsidRDefault="00C117D7" w:rsidP="00382558">
      <w:pPr>
        <w:spacing w:line="276" w:lineRule="auto"/>
        <w:ind w:firstLine="720"/>
        <w:rPr>
          <w:sz w:val="28"/>
          <w:szCs w:val="28"/>
        </w:rPr>
      </w:pPr>
      <w:r>
        <w:rPr>
          <w:sz w:val="28"/>
          <w:szCs w:val="28"/>
        </w:rPr>
        <w:t xml:space="preserve">- </w:t>
      </w:r>
      <w:r w:rsidR="002D0109">
        <w:rPr>
          <w:sz w:val="28"/>
          <w:szCs w:val="28"/>
        </w:rPr>
        <w:t>the Phoenix College of Estate Planning Attorneys</w:t>
      </w:r>
    </w:p>
    <w:p w14:paraId="05946AD6" w14:textId="77777777" w:rsidR="00C117D7" w:rsidRDefault="00C117D7" w:rsidP="00382558">
      <w:pPr>
        <w:spacing w:line="276" w:lineRule="auto"/>
        <w:ind w:firstLine="720"/>
        <w:rPr>
          <w:sz w:val="28"/>
          <w:szCs w:val="28"/>
        </w:rPr>
      </w:pPr>
      <w:r>
        <w:rPr>
          <w:sz w:val="28"/>
          <w:szCs w:val="28"/>
        </w:rPr>
        <w:t>- the Arizona Fiduciaries Association</w:t>
      </w:r>
    </w:p>
    <w:p w14:paraId="29D34EA3" w14:textId="77777777" w:rsidR="00C117D7" w:rsidRDefault="00C117D7" w:rsidP="00382558">
      <w:pPr>
        <w:spacing w:line="276" w:lineRule="auto"/>
        <w:ind w:firstLine="720"/>
        <w:rPr>
          <w:sz w:val="28"/>
          <w:szCs w:val="28"/>
        </w:rPr>
      </w:pPr>
      <w:r>
        <w:rPr>
          <w:sz w:val="28"/>
          <w:szCs w:val="28"/>
        </w:rPr>
        <w:t xml:space="preserve">- </w:t>
      </w:r>
      <w:r w:rsidR="002D0109">
        <w:rPr>
          <w:sz w:val="28"/>
          <w:szCs w:val="28"/>
        </w:rPr>
        <w:t>the Committee on Superior Court</w:t>
      </w:r>
    </w:p>
    <w:p w14:paraId="2A7C9437" w14:textId="77777777" w:rsidR="00C117D7" w:rsidRDefault="00C117D7" w:rsidP="00382558">
      <w:pPr>
        <w:spacing w:line="276" w:lineRule="auto"/>
        <w:ind w:firstLine="720"/>
        <w:rPr>
          <w:sz w:val="28"/>
          <w:szCs w:val="28"/>
        </w:rPr>
      </w:pPr>
      <w:r>
        <w:rPr>
          <w:sz w:val="28"/>
          <w:szCs w:val="28"/>
        </w:rPr>
        <w:t>- the Presiding Superior Court Judges</w:t>
      </w:r>
    </w:p>
    <w:p w14:paraId="084EC306" w14:textId="77777777" w:rsidR="00382558" w:rsidRDefault="00382558" w:rsidP="00382558">
      <w:pPr>
        <w:spacing w:line="276" w:lineRule="auto"/>
        <w:ind w:firstLine="720"/>
        <w:rPr>
          <w:sz w:val="28"/>
          <w:szCs w:val="28"/>
        </w:rPr>
      </w:pPr>
    </w:p>
    <w:p w14:paraId="164F2C64" w14:textId="5EE29269" w:rsidR="00C117D7" w:rsidRDefault="00C117D7" w:rsidP="009C2ED5">
      <w:pPr>
        <w:spacing w:line="480" w:lineRule="auto"/>
        <w:ind w:firstLine="720"/>
        <w:jc w:val="both"/>
        <w:rPr>
          <w:sz w:val="28"/>
          <w:szCs w:val="28"/>
        </w:rPr>
      </w:pPr>
      <w:r>
        <w:rPr>
          <w:sz w:val="28"/>
          <w:szCs w:val="28"/>
        </w:rPr>
        <w:t xml:space="preserve">Task Force members </w:t>
      </w:r>
      <w:r w:rsidR="00EA08A0">
        <w:rPr>
          <w:sz w:val="28"/>
          <w:szCs w:val="28"/>
        </w:rPr>
        <w:t>discussed</w:t>
      </w:r>
      <w:r w:rsidRPr="0077377E">
        <w:rPr>
          <w:sz w:val="28"/>
          <w:szCs w:val="28"/>
        </w:rPr>
        <w:t xml:space="preserve"> the proposed rules </w:t>
      </w:r>
      <w:r w:rsidR="00B66D54" w:rsidRPr="0077377E">
        <w:rPr>
          <w:sz w:val="28"/>
          <w:szCs w:val="28"/>
        </w:rPr>
        <w:t xml:space="preserve">at </w:t>
      </w:r>
      <w:r w:rsidR="00B66D54">
        <w:rPr>
          <w:sz w:val="28"/>
          <w:szCs w:val="28"/>
        </w:rPr>
        <w:t>a</w:t>
      </w:r>
      <w:r>
        <w:rPr>
          <w:sz w:val="28"/>
          <w:szCs w:val="28"/>
        </w:rPr>
        <w:t xml:space="preserve"> State Bar seminar on Advance</w:t>
      </w:r>
      <w:r w:rsidR="00FE4F6A">
        <w:rPr>
          <w:sz w:val="28"/>
          <w:szCs w:val="28"/>
        </w:rPr>
        <w:t>d</w:t>
      </w:r>
      <w:r>
        <w:rPr>
          <w:sz w:val="28"/>
          <w:szCs w:val="28"/>
        </w:rPr>
        <w:t xml:space="preserve"> Issues in Probate and Estate </w:t>
      </w:r>
      <w:r w:rsidR="003E1F2F">
        <w:rPr>
          <w:sz w:val="28"/>
          <w:szCs w:val="28"/>
        </w:rPr>
        <w:t>Planning, which</w:t>
      </w:r>
      <w:r w:rsidR="00FE4F6A">
        <w:rPr>
          <w:sz w:val="28"/>
          <w:szCs w:val="28"/>
        </w:rPr>
        <w:t xml:space="preserve"> had about 200 attendees</w:t>
      </w:r>
      <w:r w:rsidR="001D14B6">
        <w:rPr>
          <w:sz w:val="28"/>
          <w:szCs w:val="28"/>
        </w:rPr>
        <w:t xml:space="preserve">, and </w:t>
      </w:r>
      <w:r w:rsidR="00471CEA">
        <w:rPr>
          <w:sz w:val="28"/>
          <w:szCs w:val="28"/>
        </w:rPr>
        <w:t xml:space="preserve">during </w:t>
      </w:r>
      <w:r>
        <w:rPr>
          <w:sz w:val="28"/>
          <w:szCs w:val="28"/>
        </w:rPr>
        <w:t xml:space="preserve">a continuing education </w:t>
      </w:r>
      <w:r w:rsidR="00471CEA">
        <w:rPr>
          <w:sz w:val="28"/>
          <w:szCs w:val="28"/>
        </w:rPr>
        <w:t>session</w:t>
      </w:r>
      <w:r>
        <w:rPr>
          <w:sz w:val="28"/>
          <w:szCs w:val="28"/>
        </w:rPr>
        <w:t xml:space="preserve"> at Pima County’s Step Up to Justice</w:t>
      </w:r>
      <w:r w:rsidR="001D14B6">
        <w:rPr>
          <w:sz w:val="28"/>
          <w:szCs w:val="28"/>
        </w:rPr>
        <w:t xml:space="preserve"> Program.</w:t>
      </w:r>
      <w:r>
        <w:rPr>
          <w:sz w:val="28"/>
          <w:szCs w:val="28"/>
        </w:rPr>
        <w:t xml:space="preserve"> </w:t>
      </w:r>
      <w:r w:rsidR="00A33EE4">
        <w:rPr>
          <w:sz w:val="28"/>
          <w:szCs w:val="28"/>
        </w:rPr>
        <w:t xml:space="preserve"> </w:t>
      </w:r>
      <w:r w:rsidR="001D14B6">
        <w:rPr>
          <w:sz w:val="28"/>
          <w:szCs w:val="28"/>
        </w:rPr>
        <w:t>The Hon. Jay M. Polk, a</w:t>
      </w:r>
      <w:r w:rsidR="00060D08">
        <w:rPr>
          <w:sz w:val="28"/>
          <w:szCs w:val="28"/>
        </w:rPr>
        <w:t xml:space="preserve"> member of the </w:t>
      </w:r>
      <w:r>
        <w:rPr>
          <w:sz w:val="28"/>
          <w:szCs w:val="28"/>
        </w:rPr>
        <w:t>Task Force</w:t>
      </w:r>
      <w:r w:rsidR="001D14B6">
        <w:rPr>
          <w:sz w:val="28"/>
          <w:szCs w:val="28"/>
        </w:rPr>
        <w:t>,</w:t>
      </w:r>
      <w:r>
        <w:rPr>
          <w:sz w:val="28"/>
          <w:szCs w:val="28"/>
        </w:rPr>
        <w:t xml:space="preserve"> also authored articles about the proposed rules that were </w:t>
      </w:r>
      <w:r w:rsidRPr="0077377E">
        <w:rPr>
          <w:sz w:val="28"/>
          <w:szCs w:val="28"/>
        </w:rPr>
        <w:t xml:space="preserve">published in </w:t>
      </w:r>
      <w:r w:rsidR="007E620E" w:rsidRPr="0077377E">
        <w:rPr>
          <w:sz w:val="28"/>
          <w:szCs w:val="28"/>
        </w:rPr>
        <w:t xml:space="preserve">Arizona </w:t>
      </w:r>
      <w:r w:rsidRPr="0077377E">
        <w:rPr>
          <w:sz w:val="28"/>
          <w:szCs w:val="28"/>
        </w:rPr>
        <w:t>legal periodicals:</w:t>
      </w:r>
    </w:p>
    <w:p w14:paraId="7666ACA0" w14:textId="2B2AE29C" w:rsidR="00060D08" w:rsidRDefault="00060D08" w:rsidP="00B66D54">
      <w:pPr>
        <w:pStyle w:val="ListParagraph"/>
        <w:numPr>
          <w:ilvl w:val="0"/>
          <w:numId w:val="6"/>
        </w:numPr>
        <w:spacing w:line="276" w:lineRule="auto"/>
        <w:ind w:left="900" w:hanging="180"/>
        <w:rPr>
          <w:sz w:val="28"/>
          <w:szCs w:val="28"/>
        </w:rPr>
      </w:pPr>
      <w:r w:rsidRPr="007E620E">
        <w:rPr>
          <w:sz w:val="28"/>
          <w:szCs w:val="28"/>
        </w:rPr>
        <w:t xml:space="preserve">“Top 20 Proposed Substantive Changes to the Probate Rules,” </w:t>
      </w:r>
      <w:r w:rsidRPr="007E620E">
        <w:rPr>
          <w:i/>
          <w:sz w:val="28"/>
          <w:szCs w:val="28"/>
        </w:rPr>
        <w:t>Maricopa Lawyer</w:t>
      </w:r>
      <w:r w:rsidRPr="007E620E">
        <w:rPr>
          <w:sz w:val="28"/>
          <w:szCs w:val="28"/>
        </w:rPr>
        <w:t>, March 2019</w:t>
      </w:r>
    </w:p>
    <w:p w14:paraId="5BF96E15" w14:textId="0262832A" w:rsidR="00C117D7" w:rsidRPr="007E620E" w:rsidRDefault="00C117D7" w:rsidP="00B66D54">
      <w:pPr>
        <w:pStyle w:val="ListParagraph"/>
        <w:numPr>
          <w:ilvl w:val="0"/>
          <w:numId w:val="6"/>
        </w:numPr>
        <w:spacing w:line="276" w:lineRule="auto"/>
        <w:ind w:left="900" w:hanging="180"/>
        <w:rPr>
          <w:sz w:val="28"/>
          <w:szCs w:val="28"/>
        </w:rPr>
      </w:pPr>
      <w:r w:rsidRPr="007E620E">
        <w:rPr>
          <w:sz w:val="28"/>
          <w:szCs w:val="28"/>
        </w:rPr>
        <w:lastRenderedPageBreak/>
        <w:t>“Changes Proposed for Probate Procedure Rules,</w:t>
      </w:r>
      <w:r w:rsidR="007E620E" w:rsidRPr="007E620E">
        <w:rPr>
          <w:sz w:val="28"/>
          <w:szCs w:val="28"/>
        </w:rPr>
        <w:t xml:space="preserve">” </w:t>
      </w:r>
      <w:r w:rsidR="007E620E" w:rsidRPr="007E620E">
        <w:rPr>
          <w:i/>
          <w:sz w:val="28"/>
          <w:szCs w:val="28"/>
        </w:rPr>
        <w:t>Arizona</w:t>
      </w:r>
      <w:r w:rsidRPr="007E620E">
        <w:rPr>
          <w:i/>
          <w:sz w:val="28"/>
          <w:szCs w:val="28"/>
        </w:rPr>
        <w:t xml:space="preserve"> Attorney</w:t>
      </w:r>
      <w:r w:rsidR="00745EBA" w:rsidRPr="007E620E">
        <w:rPr>
          <w:sz w:val="28"/>
          <w:szCs w:val="28"/>
        </w:rPr>
        <w:t>, April 2019</w:t>
      </w:r>
    </w:p>
    <w:p w14:paraId="0B01147E" w14:textId="77777777" w:rsidR="00382558" w:rsidRPr="007E620E" w:rsidRDefault="00382558" w:rsidP="00382558">
      <w:pPr>
        <w:pStyle w:val="ListParagraph"/>
        <w:spacing w:line="276" w:lineRule="auto"/>
        <w:rPr>
          <w:sz w:val="28"/>
          <w:szCs w:val="28"/>
        </w:rPr>
      </w:pPr>
    </w:p>
    <w:p w14:paraId="437BD8BA" w14:textId="60FE6E11" w:rsidR="00E82CAE" w:rsidRDefault="001D14B6" w:rsidP="001D14B6">
      <w:pPr>
        <w:spacing w:line="480" w:lineRule="auto"/>
        <w:ind w:firstLine="720"/>
        <w:jc w:val="both"/>
        <w:rPr>
          <w:sz w:val="28"/>
          <w:szCs w:val="28"/>
        </w:rPr>
      </w:pPr>
      <w:r>
        <w:rPr>
          <w:sz w:val="28"/>
          <w:szCs w:val="28"/>
        </w:rPr>
        <w:t>Based on this widespread publicity, t</w:t>
      </w:r>
      <w:r w:rsidR="008121F3">
        <w:rPr>
          <w:sz w:val="28"/>
          <w:szCs w:val="28"/>
        </w:rPr>
        <w:t xml:space="preserve">he Task Force anticipated </w:t>
      </w:r>
      <w:r w:rsidR="007E620E">
        <w:rPr>
          <w:sz w:val="28"/>
          <w:szCs w:val="28"/>
        </w:rPr>
        <w:t xml:space="preserve">that </w:t>
      </w:r>
      <w:r w:rsidR="008121F3">
        <w:rPr>
          <w:sz w:val="28"/>
          <w:szCs w:val="28"/>
        </w:rPr>
        <w:t>it</w:t>
      </w:r>
      <w:r w:rsidR="007E620E">
        <w:rPr>
          <w:sz w:val="28"/>
          <w:szCs w:val="28"/>
        </w:rPr>
        <w:t xml:space="preserve"> would </w:t>
      </w:r>
      <w:r w:rsidR="00E540F2">
        <w:rPr>
          <w:sz w:val="28"/>
          <w:szCs w:val="28"/>
        </w:rPr>
        <w:t>receive many</w:t>
      </w:r>
      <w:r w:rsidR="007E620E">
        <w:rPr>
          <w:sz w:val="28"/>
          <w:szCs w:val="28"/>
        </w:rPr>
        <w:t xml:space="preserve"> formal comments, but </w:t>
      </w:r>
      <w:r w:rsidR="00E540F2">
        <w:rPr>
          <w:sz w:val="28"/>
          <w:szCs w:val="28"/>
        </w:rPr>
        <w:t>th</w:t>
      </w:r>
      <w:r w:rsidR="00116E66">
        <w:rPr>
          <w:sz w:val="28"/>
          <w:szCs w:val="28"/>
        </w:rPr>
        <w:t>is</w:t>
      </w:r>
      <w:r w:rsidR="007E620E">
        <w:rPr>
          <w:sz w:val="28"/>
          <w:szCs w:val="28"/>
        </w:rPr>
        <w:t xml:space="preserve"> was not the case.  </w:t>
      </w:r>
      <w:r w:rsidR="00E540F2">
        <w:rPr>
          <w:sz w:val="28"/>
          <w:szCs w:val="28"/>
        </w:rPr>
        <w:t>O</w:t>
      </w:r>
      <w:r w:rsidR="007E620E">
        <w:rPr>
          <w:sz w:val="28"/>
          <w:szCs w:val="28"/>
        </w:rPr>
        <w:t xml:space="preserve">nly six formal comments </w:t>
      </w:r>
      <w:r w:rsidR="001D2F16">
        <w:rPr>
          <w:sz w:val="28"/>
          <w:szCs w:val="28"/>
        </w:rPr>
        <w:t>appeared</w:t>
      </w:r>
      <w:r w:rsidR="007E620E">
        <w:rPr>
          <w:sz w:val="28"/>
          <w:szCs w:val="28"/>
        </w:rPr>
        <w:t xml:space="preserve"> on the Court Rules Forum.  One of th</w:t>
      </w:r>
      <w:r w:rsidR="008121F3">
        <w:rPr>
          <w:sz w:val="28"/>
          <w:szCs w:val="28"/>
        </w:rPr>
        <w:t>o</w:t>
      </w:r>
      <w:r w:rsidR="007E620E">
        <w:rPr>
          <w:sz w:val="28"/>
          <w:szCs w:val="28"/>
        </w:rPr>
        <w:t xml:space="preserve">se comments, from the Committee on Superior Court, was supportive </w:t>
      </w:r>
      <w:r w:rsidR="00E540F2">
        <w:rPr>
          <w:sz w:val="28"/>
          <w:szCs w:val="28"/>
        </w:rPr>
        <w:t>and</w:t>
      </w:r>
      <w:r w:rsidR="007E620E">
        <w:rPr>
          <w:sz w:val="28"/>
          <w:szCs w:val="28"/>
        </w:rPr>
        <w:t xml:space="preserve"> requested no substantive changes.  </w:t>
      </w:r>
      <w:r w:rsidR="00E540F2">
        <w:rPr>
          <w:sz w:val="28"/>
          <w:szCs w:val="28"/>
        </w:rPr>
        <w:t>T</w:t>
      </w:r>
      <w:r w:rsidR="007E620E">
        <w:rPr>
          <w:sz w:val="28"/>
          <w:szCs w:val="28"/>
        </w:rPr>
        <w:t>he five</w:t>
      </w:r>
      <w:r w:rsidR="00E540F2">
        <w:rPr>
          <w:sz w:val="28"/>
          <w:szCs w:val="28"/>
        </w:rPr>
        <w:t xml:space="preserve"> other</w:t>
      </w:r>
      <w:r w:rsidR="007E620E">
        <w:rPr>
          <w:sz w:val="28"/>
          <w:szCs w:val="28"/>
        </w:rPr>
        <w:t xml:space="preserve"> </w:t>
      </w:r>
      <w:r w:rsidR="00FE4F6A">
        <w:rPr>
          <w:sz w:val="28"/>
          <w:szCs w:val="28"/>
        </w:rPr>
        <w:t xml:space="preserve">Rules Forum </w:t>
      </w:r>
      <w:r w:rsidR="007E620E">
        <w:rPr>
          <w:sz w:val="28"/>
          <w:szCs w:val="28"/>
        </w:rPr>
        <w:t xml:space="preserve">comments raised significant issues. </w:t>
      </w:r>
      <w:r w:rsidR="00116E66">
        <w:rPr>
          <w:sz w:val="28"/>
          <w:szCs w:val="28"/>
        </w:rPr>
        <w:t xml:space="preserve"> </w:t>
      </w:r>
      <w:r w:rsidR="007E620E">
        <w:rPr>
          <w:sz w:val="28"/>
          <w:szCs w:val="28"/>
        </w:rPr>
        <w:t>In addition, the Task Force gathered informal comments during</w:t>
      </w:r>
      <w:r w:rsidR="00E540F2">
        <w:rPr>
          <w:sz w:val="28"/>
          <w:szCs w:val="28"/>
        </w:rPr>
        <w:t xml:space="preserve"> discussions,</w:t>
      </w:r>
      <w:r w:rsidR="008121F3">
        <w:rPr>
          <w:sz w:val="28"/>
          <w:szCs w:val="28"/>
        </w:rPr>
        <w:t xml:space="preserve"> </w:t>
      </w:r>
      <w:r w:rsidR="007E620E">
        <w:rPr>
          <w:sz w:val="28"/>
          <w:szCs w:val="28"/>
        </w:rPr>
        <w:t>presentations</w:t>
      </w:r>
      <w:r w:rsidR="00E540F2">
        <w:rPr>
          <w:sz w:val="28"/>
          <w:szCs w:val="28"/>
        </w:rPr>
        <w:t>,</w:t>
      </w:r>
      <w:r w:rsidR="007E620E">
        <w:rPr>
          <w:sz w:val="28"/>
          <w:szCs w:val="28"/>
        </w:rPr>
        <w:t xml:space="preserve"> and seminars</w:t>
      </w:r>
      <w:r w:rsidR="00E52A86">
        <w:rPr>
          <w:sz w:val="28"/>
          <w:szCs w:val="28"/>
        </w:rPr>
        <w:t xml:space="preserve">. </w:t>
      </w:r>
      <w:r w:rsidR="00646EF6">
        <w:rPr>
          <w:sz w:val="28"/>
          <w:szCs w:val="28"/>
        </w:rPr>
        <w:t xml:space="preserve"> </w:t>
      </w:r>
      <w:r w:rsidR="00E52A86">
        <w:rPr>
          <w:sz w:val="28"/>
          <w:szCs w:val="28"/>
        </w:rPr>
        <w:t>T</w:t>
      </w:r>
      <w:r w:rsidR="001D2F16">
        <w:rPr>
          <w:sz w:val="28"/>
          <w:szCs w:val="28"/>
        </w:rPr>
        <w:t>he</w:t>
      </w:r>
      <w:r w:rsidR="007E620E">
        <w:rPr>
          <w:sz w:val="28"/>
          <w:szCs w:val="28"/>
        </w:rPr>
        <w:t xml:space="preserve"> Task Force</w:t>
      </w:r>
      <w:r w:rsidR="00E52A86">
        <w:rPr>
          <w:sz w:val="28"/>
          <w:szCs w:val="28"/>
        </w:rPr>
        <w:t xml:space="preserve"> also</w:t>
      </w:r>
      <w:r w:rsidR="007E620E">
        <w:rPr>
          <w:sz w:val="28"/>
          <w:szCs w:val="28"/>
        </w:rPr>
        <w:t xml:space="preserve"> </w:t>
      </w:r>
      <w:r w:rsidR="00E52A86">
        <w:rPr>
          <w:sz w:val="28"/>
          <w:szCs w:val="28"/>
        </w:rPr>
        <w:t xml:space="preserve">took the </w:t>
      </w:r>
      <w:r w:rsidR="007E620E">
        <w:rPr>
          <w:sz w:val="28"/>
          <w:szCs w:val="28"/>
        </w:rPr>
        <w:t xml:space="preserve">initiative </w:t>
      </w:r>
      <w:r w:rsidR="00E52A86">
        <w:rPr>
          <w:sz w:val="28"/>
          <w:szCs w:val="28"/>
        </w:rPr>
        <w:t xml:space="preserve">to </w:t>
      </w:r>
      <w:r w:rsidR="007E620E">
        <w:rPr>
          <w:sz w:val="28"/>
          <w:szCs w:val="28"/>
        </w:rPr>
        <w:t>review</w:t>
      </w:r>
      <w:r w:rsidR="00E52A86">
        <w:rPr>
          <w:sz w:val="28"/>
          <w:szCs w:val="28"/>
        </w:rPr>
        <w:t xml:space="preserve"> </w:t>
      </w:r>
      <w:r w:rsidR="007E620E">
        <w:rPr>
          <w:sz w:val="28"/>
          <w:szCs w:val="28"/>
        </w:rPr>
        <w:t xml:space="preserve">its </w:t>
      </w:r>
      <w:r w:rsidR="00FE4F6A">
        <w:rPr>
          <w:sz w:val="28"/>
          <w:szCs w:val="28"/>
        </w:rPr>
        <w:t xml:space="preserve">own </w:t>
      </w:r>
      <w:r w:rsidR="007E620E">
        <w:rPr>
          <w:sz w:val="28"/>
          <w:szCs w:val="28"/>
        </w:rPr>
        <w:t>work product</w:t>
      </w:r>
      <w:r w:rsidR="00E52A86">
        <w:rPr>
          <w:sz w:val="28"/>
          <w:szCs w:val="28"/>
        </w:rPr>
        <w:t xml:space="preserve"> and</w:t>
      </w:r>
      <w:r w:rsidR="0077377E">
        <w:rPr>
          <w:sz w:val="28"/>
          <w:szCs w:val="28"/>
        </w:rPr>
        <w:t xml:space="preserve"> </w:t>
      </w:r>
      <w:r w:rsidR="00E540F2">
        <w:rPr>
          <w:sz w:val="28"/>
          <w:szCs w:val="28"/>
        </w:rPr>
        <w:t>identified</w:t>
      </w:r>
      <w:r w:rsidR="001D2F16">
        <w:rPr>
          <w:sz w:val="28"/>
          <w:szCs w:val="28"/>
        </w:rPr>
        <w:t xml:space="preserve"> minor items requiring </w:t>
      </w:r>
      <w:r w:rsidR="00FE4F6A">
        <w:rPr>
          <w:sz w:val="28"/>
          <w:szCs w:val="28"/>
        </w:rPr>
        <w:t xml:space="preserve">simple </w:t>
      </w:r>
      <w:r w:rsidR="001D2F16">
        <w:rPr>
          <w:sz w:val="28"/>
          <w:szCs w:val="28"/>
        </w:rPr>
        <w:t>corrections as well as weight</w:t>
      </w:r>
      <w:r w:rsidR="00E540F2">
        <w:rPr>
          <w:sz w:val="28"/>
          <w:szCs w:val="28"/>
        </w:rPr>
        <w:t>ier</w:t>
      </w:r>
      <w:r w:rsidR="001D2F16">
        <w:rPr>
          <w:sz w:val="28"/>
          <w:szCs w:val="28"/>
        </w:rPr>
        <w:t xml:space="preserve"> issues</w:t>
      </w:r>
      <w:r w:rsidR="0077377E">
        <w:rPr>
          <w:sz w:val="28"/>
          <w:szCs w:val="28"/>
        </w:rPr>
        <w:t xml:space="preserve"> </w:t>
      </w:r>
      <w:r w:rsidR="00060D08">
        <w:rPr>
          <w:sz w:val="28"/>
          <w:szCs w:val="28"/>
        </w:rPr>
        <w:t>that required</w:t>
      </w:r>
      <w:r w:rsidR="0077377E">
        <w:rPr>
          <w:sz w:val="28"/>
          <w:szCs w:val="28"/>
        </w:rPr>
        <w:t xml:space="preserve"> further discussion</w:t>
      </w:r>
      <w:r w:rsidR="001D2F16">
        <w:rPr>
          <w:sz w:val="28"/>
          <w:szCs w:val="28"/>
        </w:rPr>
        <w:t xml:space="preserve">.  </w:t>
      </w:r>
      <w:r w:rsidR="00A96D4F">
        <w:rPr>
          <w:sz w:val="28"/>
          <w:szCs w:val="28"/>
        </w:rPr>
        <w:t>T</w:t>
      </w:r>
      <w:r w:rsidR="001D2F16">
        <w:rPr>
          <w:sz w:val="28"/>
          <w:szCs w:val="28"/>
        </w:rPr>
        <w:t xml:space="preserve">he Task Force </w:t>
      </w:r>
      <w:r w:rsidR="00A96D4F">
        <w:rPr>
          <w:sz w:val="28"/>
          <w:szCs w:val="28"/>
        </w:rPr>
        <w:t xml:space="preserve">met </w:t>
      </w:r>
      <w:r w:rsidR="001D2F16">
        <w:rPr>
          <w:sz w:val="28"/>
          <w:szCs w:val="28"/>
        </w:rPr>
        <w:t xml:space="preserve">on May 17, </w:t>
      </w:r>
      <w:r w:rsidR="00E561C8">
        <w:rPr>
          <w:sz w:val="28"/>
          <w:szCs w:val="28"/>
        </w:rPr>
        <w:t xml:space="preserve">2019, </w:t>
      </w:r>
      <w:r w:rsidR="00A96D4F">
        <w:rPr>
          <w:sz w:val="28"/>
          <w:szCs w:val="28"/>
        </w:rPr>
        <w:t>and,</w:t>
      </w:r>
      <w:r w:rsidR="00E540F2">
        <w:rPr>
          <w:sz w:val="28"/>
          <w:szCs w:val="28"/>
        </w:rPr>
        <w:t xml:space="preserve"> </w:t>
      </w:r>
      <w:r w:rsidR="00A96D4F">
        <w:rPr>
          <w:sz w:val="28"/>
          <w:szCs w:val="28"/>
        </w:rPr>
        <w:t xml:space="preserve">over six hours, discussed all </w:t>
      </w:r>
      <w:r w:rsidR="00EA08A0">
        <w:rPr>
          <w:sz w:val="28"/>
          <w:szCs w:val="28"/>
        </w:rPr>
        <w:t>these matters</w:t>
      </w:r>
      <w:r w:rsidR="00A96D4F">
        <w:rPr>
          <w:sz w:val="28"/>
          <w:szCs w:val="28"/>
        </w:rPr>
        <w:t>.</w:t>
      </w:r>
      <w:r w:rsidR="00E82CAE">
        <w:rPr>
          <w:sz w:val="28"/>
          <w:szCs w:val="28"/>
        </w:rPr>
        <w:t xml:space="preserve">  This Reply summarize</w:t>
      </w:r>
      <w:r w:rsidR="00EA08A0">
        <w:rPr>
          <w:sz w:val="28"/>
          <w:szCs w:val="28"/>
        </w:rPr>
        <w:t>s</w:t>
      </w:r>
      <w:r w:rsidR="00A96D4F">
        <w:rPr>
          <w:sz w:val="28"/>
          <w:szCs w:val="28"/>
        </w:rPr>
        <w:t xml:space="preserve"> </w:t>
      </w:r>
      <w:r w:rsidR="00466B8A">
        <w:rPr>
          <w:sz w:val="28"/>
          <w:szCs w:val="28"/>
        </w:rPr>
        <w:t xml:space="preserve">the Task Force </w:t>
      </w:r>
      <w:r w:rsidR="00E82CAE">
        <w:rPr>
          <w:sz w:val="28"/>
          <w:szCs w:val="28"/>
        </w:rPr>
        <w:t>discussion and any resulting changes to the proposed rules</w:t>
      </w:r>
      <w:r w:rsidR="007944FF">
        <w:rPr>
          <w:sz w:val="28"/>
          <w:szCs w:val="28"/>
        </w:rPr>
        <w:t xml:space="preserve"> made by the Task Force or by the Editorial Group, </w:t>
      </w:r>
      <w:r w:rsidR="000B4EBA">
        <w:rPr>
          <w:sz w:val="28"/>
          <w:szCs w:val="28"/>
        </w:rPr>
        <w:t xml:space="preserve">which was </w:t>
      </w:r>
      <w:r w:rsidR="007944FF">
        <w:rPr>
          <w:sz w:val="28"/>
          <w:szCs w:val="28"/>
        </w:rPr>
        <w:t>a sub</w:t>
      </w:r>
      <w:r w:rsidR="00A96D4F">
        <w:rPr>
          <w:sz w:val="28"/>
          <w:szCs w:val="28"/>
        </w:rPr>
        <w:t>group</w:t>
      </w:r>
      <w:r w:rsidR="007944FF">
        <w:rPr>
          <w:sz w:val="28"/>
          <w:szCs w:val="28"/>
        </w:rPr>
        <w:t xml:space="preserve"> </w:t>
      </w:r>
      <w:r w:rsidR="008C7E73">
        <w:rPr>
          <w:sz w:val="28"/>
          <w:szCs w:val="28"/>
        </w:rPr>
        <w:t>the</w:t>
      </w:r>
      <w:r w:rsidR="007944FF">
        <w:rPr>
          <w:sz w:val="28"/>
          <w:szCs w:val="28"/>
        </w:rPr>
        <w:t xml:space="preserve"> Task Force authorized to </w:t>
      </w:r>
      <w:r w:rsidR="00933D9A">
        <w:rPr>
          <w:sz w:val="28"/>
          <w:szCs w:val="28"/>
        </w:rPr>
        <w:t xml:space="preserve">craft, </w:t>
      </w:r>
      <w:r w:rsidR="007944FF">
        <w:rPr>
          <w:sz w:val="28"/>
          <w:szCs w:val="28"/>
        </w:rPr>
        <w:t xml:space="preserve">harmonize or “fine tune” the wording of various </w:t>
      </w:r>
      <w:r w:rsidR="000B4EBA">
        <w:rPr>
          <w:sz w:val="28"/>
          <w:szCs w:val="28"/>
        </w:rPr>
        <w:t>r</w:t>
      </w:r>
      <w:r w:rsidR="007944FF">
        <w:rPr>
          <w:sz w:val="28"/>
          <w:szCs w:val="28"/>
        </w:rPr>
        <w:t xml:space="preserve">ules consistent with </w:t>
      </w:r>
      <w:r w:rsidR="00933D9A">
        <w:rPr>
          <w:sz w:val="28"/>
          <w:szCs w:val="28"/>
        </w:rPr>
        <w:t xml:space="preserve">the </w:t>
      </w:r>
      <w:r w:rsidR="003974AE">
        <w:rPr>
          <w:sz w:val="28"/>
          <w:szCs w:val="28"/>
        </w:rPr>
        <w:t>Task Force</w:t>
      </w:r>
      <w:r w:rsidR="00933D9A">
        <w:rPr>
          <w:sz w:val="28"/>
          <w:szCs w:val="28"/>
        </w:rPr>
        <w:t>’s</w:t>
      </w:r>
      <w:r w:rsidR="003974AE">
        <w:rPr>
          <w:sz w:val="28"/>
          <w:szCs w:val="28"/>
        </w:rPr>
        <w:t xml:space="preserve"> discussion</w:t>
      </w:r>
      <w:r w:rsidR="00E52A86">
        <w:rPr>
          <w:sz w:val="28"/>
          <w:szCs w:val="28"/>
        </w:rPr>
        <w:t>s</w:t>
      </w:r>
      <w:r w:rsidR="003974AE">
        <w:rPr>
          <w:sz w:val="28"/>
          <w:szCs w:val="28"/>
        </w:rPr>
        <w:t>.</w:t>
      </w:r>
      <w:r w:rsidR="003974AE">
        <w:rPr>
          <w:rStyle w:val="FootnoteReference"/>
          <w:sz w:val="28"/>
          <w:szCs w:val="28"/>
        </w:rPr>
        <w:footnoteReference w:id="2"/>
      </w:r>
    </w:p>
    <w:p w14:paraId="70D4E75F" w14:textId="77777777" w:rsidR="00E82CAE" w:rsidRPr="0053064A" w:rsidRDefault="00E82CAE" w:rsidP="0053064A">
      <w:pPr>
        <w:pStyle w:val="ListParagraph"/>
        <w:numPr>
          <w:ilvl w:val="0"/>
          <w:numId w:val="13"/>
        </w:numPr>
        <w:spacing w:before="240" w:line="480" w:lineRule="auto"/>
        <w:ind w:left="1800" w:hanging="720"/>
        <w:jc w:val="both"/>
        <w:rPr>
          <w:sz w:val="28"/>
          <w:szCs w:val="28"/>
        </w:rPr>
      </w:pPr>
      <w:r w:rsidRPr="0053064A">
        <w:rPr>
          <w:b/>
          <w:sz w:val="28"/>
          <w:szCs w:val="28"/>
          <w:u w:val="single"/>
        </w:rPr>
        <w:t>Rules Forum comments</w:t>
      </w:r>
      <w:r w:rsidRPr="0053064A">
        <w:rPr>
          <w:sz w:val="28"/>
          <w:szCs w:val="28"/>
        </w:rPr>
        <w:t>.</w:t>
      </w:r>
    </w:p>
    <w:p w14:paraId="32BD1822" w14:textId="7FEE7F8E" w:rsidR="00E82CAE" w:rsidRPr="00E62B21" w:rsidRDefault="00E82CAE" w:rsidP="00E62B21">
      <w:pPr>
        <w:pStyle w:val="ListParagraph"/>
        <w:spacing w:before="240" w:line="480" w:lineRule="auto"/>
        <w:ind w:left="0" w:firstLine="720"/>
        <w:jc w:val="both"/>
        <w:rPr>
          <w:sz w:val="28"/>
          <w:szCs w:val="28"/>
        </w:rPr>
      </w:pPr>
      <w:bookmarkStart w:id="0" w:name="_Hlk531958096"/>
      <w:r w:rsidRPr="00E82CAE">
        <w:rPr>
          <w:b/>
          <w:i/>
          <w:sz w:val="28"/>
          <w:szCs w:val="28"/>
        </w:rPr>
        <w:lastRenderedPageBreak/>
        <w:t>Comment from Ms. Kile.</w:t>
      </w:r>
      <w:r w:rsidRPr="00A33EE4">
        <w:rPr>
          <w:sz w:val="28"/>
          <w:szCs w:val="28"/>
        </w:rPr>
        <w:t xml:space="preserve"> </w:t>
      </w:r>
      <w:r w:rsidR="00382558" w:rsidRPr="00A33EE4">
        <w:rPr>
          <w:sz w:val="28"/>
          <w:szCs w:val="28"/>
        </w:rPr>
        <w:t xml:space="preserve"> </w:t>
      </w:r>
      <w:r w:rsidRPr="00E82CAE">
        <w:rPr>
          <w:sz w:val="28"/>
          <w:szCs w:val="28"/>
        </w:rPr>
        <w:t>Ms. Kile’s comment concerned Form 10 (“proof of restricted account from financial institution”)</w:t>
      </w:r>
      <w:r>
        <w:rPr>
          <w:sz w:val="28"/>
          <w:szCs w:val="28"/>
        </w:rPr>
        <w:t>.</w:t>
      </w:r>
      <w:r w:rsidRPr="00E82CAE">
        <w:rPr>
          <w:sz w:val="28"/>
          <w:szCs w:val="28"/>
        </w:rPr>
        <w:t xml:space="preserve">  </w:t>
      </w:r>
      <w:r>
        <w:rPr>
          <w:sz w:val="28"/>
          <w:szCs w:val="28"/>
        </w:rPr>
        <w:t>M</w:t>
      </w:r>
      <w:r w:rsidRPr="00E82CAE">
        <w:rPr>
          <w:sz w:val="28"/>
          <w:szCs w:val="28"/>
        </w:rPr>
        <w:t xml:space="preserve">embers </w:t>
      </w:r>
      <w:r w:rsidR="00E62B21">
        <w:rPr>
          <w:sz w:val="28"/>
          <w:szCs w:val="28"/>
        </w:rPr>
        <w:t>consolidated</w:t>
      </w:r>
      <w:r w:rsidR="00874C81">
        <w:rPr>
          <w:sz w:val="28"/>
          <w:szCs w:val="28"/>
        </w:rPr>
        <w:t xml:space="preserve"> </w:t>
      </w:r>
      <w:r w:rsidR="008D3BAE">
        <w:rPr>
          <w:sz w:val="28"/>
          <w:szCs w:val="28"/>
        </w:rPr>
        <w:t>the</w:t>
      </w:r>
      <w:r w:rsidR="00E62B21">
        <w:rPr>
          <w:sz w:val="28"/>
          <w:szCs w:val="28"/>
        </w:rPr>
        <w:t xml:space="preserve"> discussion of Ms. Kile’s</w:t>
      </w:r>
      <w:r w:rsidRPr="00E62B21">
        <w:rPr>
          <w:sz w:val="28"/>
          <w:szCs w:val="28"/>
        </w:rPr>
        <w:t xml:space="preserve"> comment</w:t>
      </w:r>
      <w:r w:rsidR="00874C81" w:rsidRPr="00E62B21">
        <w:rPr>
          <w:sz w:val="28"/>
          <w:szCs w:val="28"/>
        </w:rPr>
        <w:t xml:space="preserve"> </w:t>
      </w:r>
      <w:r w:rsidR="00E62B21" w:rsidRPr="00E62B21">
        <w:rPr>
          <w:sz w:val="28"/>
          <w:szCs w:val="28"/>
        </w:rPr>
        <w:t xml:space="preserve">with </w:t>
      </w:r>
      <w:r w:rsidR="00874C81" w:rsidRPr="00E62B21">
        <w:rPr>
          <w:sz w:val="28"/>
          <w:szCs w:val="28"/>
        </w:rPr>
        <w:t xml:space="preserve">a </w:t>
      </w:r>
      <w:r w:rsidRPr="00E62B21">
        <w:rPr>
          <w:sz w:val="28"/>
          <w:szCs w:val="28"/>
        </w:rPr>
        <w:t>related comment from Ms. Swartz</w:t>
      </w:r>
      <w:r w:rsidR="00E62B21" w:rsidRPr="00E62B21">
        <w:rPr>
          <w:sz w:val="28"/>
          <w:szCs w:val="28"/>
        </w:rPr>
        <w:t>, described</w:t>
      </w:r>
      <w:r w:rsidRPr="00E62B21">
        <w:rPr>
          <w:sz w:val="28"/>
          <w:szCs w:val="28"/>
        </w:rPr>
        <w:t xml:space="preserve"> below.</w:t>
      </w:r>
    </w:p>
    <w:p w14:paraId="7EBFC06E" w14:textId="37D9CF37" w:rsidR="004F2193" w:rsidRDefault="00E82CAE" w:rsidP="00E82CAE">
      <w:pPr>
        <w:pStyle w:val="ListParagraph"/>
        <w:spacing w:before="240" w:line="480" w:lineRule="auto"/>
        <w:ind w:left="0" w:firstLine="720"/>
        <w:jc w:val="both"/>
        <w:rPr>
          <w:sz w:val="28"/>
          <w:szCs w:val="28"/>
        </w:rPr>
      </w:pPr>
      <w:r w:rsidRPr="00E82CAE">
        <w:rPr>
          <w:b/>
          <w:i/>
          <w:sz w:val="28"/>
          <w:szCs w:val="28"/>
        </w:rPr>
        <w:t>Comment from Judge McDougall.</w:t>
      </w:r>
      <w:r w:rsidRPr="00E82CAE">
        <w:rPr>
          <w:sz w:val="28"/>
          <w:szCs w:val="28"/>
        </w:rPr>
        <w:t xml:space="preserve">  </w:t>
      </w:r>
      <w:r w:rsidR="000B4EBA">
        <w:rPr>
          <w:sz w:val="28"/>
          <w:szCs w:val="28"/>
        </w:rPr>
        <w:t xml:space="preserve">A comment from </w:t>
      </w:r>
      <w:r w:rsidR="007B42A0">
        <w:rPr>
          <w:sz w:val="28"/>
          <w:szCs w:val="28"/>
        </w:rPr>
        <w:t xml:space="preserve">Judge </w:t>
      </w:r>
      <w:r w:rsidR="00060D08">
        <w:rPr>
          <w:sz w:val="28"/>
          <w:szCs w:val="28"/>
        </w:rPr>
        <w:t xml:space="preserve">James </w:t>
      </w:r>
      <w:r w:rsidR="007B42A0">
        <w:rPr>
          <w:sz w:val="28"/>
          <w:szCs w:val="28"/>
        </w:rPr>
        <w:t xml:space="preserve">McDougall </w:t>
      </w:r>
      <w:r w:rsidR="00060D08">
        <w:rPr>
          <w:sz w:val="28"/>
          <w:szCs w:val="28"/>
        </w:rPr>
        <w:t xml:space="preserve">(ret.) </w:t>
      </w:r>
      <w:r w:rsidR="00EA08A0">
        <w:rPr>
          <w:sz w:val="28"/>
          <w:szCs w:val="28"/>
        </w:rPr>
        <w:t>concerned proposed Rule</w:t>
      </w:r>
      <w:r w:rsidR="00471CEA">
        <w:rPr>
          <w:sz w:val="28"/>
          <w:szCs w:val="28"/>
        </w:rPr>
        <w:t>s</w:t>
      </w:r>
      <w:r w:rsidR="00EA08A0">
        <w:rPr>
          <w:sz w:val="28"/>
          <w:szCs w:val="28"/>
        </w:rPr>
        <w:t xml:space="preserve"> 32</w:t>
      </w:r>
      <w:r w:rsidR="004F2193">
        <w:rPr>
          <w:sz w:val="28"/>
          <w:szCs w:val="28"/>
        </w:rPr>
        <w:t xml:space="preserve"> and 47, and </w:t>
      </w:r>
      <w:r w:rsidR="001B7CE7">
        <w:rPr>
          <w:sz w:val="28"/>
          <w:szCs w:val="28"/>
        </w:rPr>
        <w:t xml:space="preserve">proposed </w:t>
      </w:r>
      <w:r w:rsidR="004F2193">
        <w:rPr>
          <w:sz w:val="28"/>
          <w:szCs w:val="28"/>
        </w:rPr>
        <w:t>Form 2-S.</w:t>
      </w:r>
    </w:p>
    <w:p w14:paraId="1B539B0F" w14:textId="506D6266" w:rsidR="00E82CAE" w:rsidRPr="00E82CAE" w:rsidRDefault="004F2193" w:rsidP="00E82CAE">
      <w:pPr>
        <w:pStyle w:val="ListParagraph"/>
        <w:spacing w:before="240" w:line="480" w:lineRule="auto"/>
        <w:ind w:left="0" w:firstLine="720"/>
        <w:jc w:val="both"/>
        <w:rPr>
          <w:sz w:val="28"/>
          <w:szCs w:val="28"/>
        </w:rPr>
      </w:pPr>
      <w:r w:rsidRPr="004D6295">
        <w:rPr>
          <w:i/>
          <w:sz w:val="28"/>
          <w:szCs w:val="28"/>
        </w:rPr>
        <w:t>Rule 32:</w:t>
      </w:r>
      <w:r>
        <w:rPr>
          <w:sz w:val="28"/>
          <w:szCs w:val="28"/>
        </w:rPr>
        <w:t xml:space="preserve"> </w:t>
      </w:r>
      <w:r w:rsidR="003F4785">
        <w:rPr>
          <w:sz w:val="28"/>
          <w:szCs w:val="28"/>
        </w:rPr>
        <w:t xml:space="preserve">Judge McDougall believed </w:t>
      </w:r>
      <w:r w:rsidR="007B42A0">
        <w:rPr>
          <w:sz w:val="28"/>
          <w:szCs w:val="28"/>
        </w:rPr>
        <w:t>proposed</w:t>
      </w:r>
      <w:r w:rsidR="00E82CAE" w:rsidRPr="00E82CAE">
        <w:rPr>
          <w:sz w:val="28"/>
          <w:szCs w:val="28"/>
        </w:rPr>
        <w:t xml:space="preserve"> Rule 32 (“statutory representative (formerly known as guardian ad litem)”), which replace</w:t>
      </w:r>
      <w:r w:rsidR="00DC0C1E">
        <w:rPr>
          <w:sz w:val="28"/>
          <w:szCs w:val="28"/>
        </w:rPr>
        <w:t>s</w:t>
      </w:r>
      <w:r w:rsidR="00E82CAE" w:rsidRPr="00E82CAE">
        <w:rPr>
          <w:sz w:val="28"/>
          <w:szCs w:val="28"/>
        </w:rPr>
        <w:t xml:space="preserve"> current Rule 15.1 (“appointment of guardian ad litem”)</w:t>
      </w:r>
      <w:r w:rsidR="00C9441C">
        <w:rPr>
          <w:sz w:val="28"/>
          <w:szCs w:val="28"/>
        </w:rPr>
        <w:t>,</w:t>
      </w:r>
      <w:r w:rsidR="00933D9A">
        <w:rPr>
          <w:sz w:val="28"/>
          <w:szCs w:val="28"/>
        </w:rPr>
        <w:t xml:space="preserve"> </w:t>
      </w:r>
      <w:r w:rsidR="004D6295">
        <w:rPr>
          <w:sz w:val="28"/>
          <w:szCs w:val="28"/>
        </w:rPr>
        <w:t xml:space="preserve">improperly </w:t>
      </w:r>
      <w:r w:rsidR="00E82CAE" w:rsidRPr="00E82CAE">
        <w:rPr>
          <w:sz w:val="28"/>
          <w:szCs w:val="28"/>
        </w:rPr>
        <w:t>eliminate</w:t>
      </w:r>
      <w:r w:rsidR="004D6295">
        <w:rPr>
          <w:sz w:val="28"/>
          <w:szCs w:val="28"/>
        </w:rPr>
        <w:t>s</w:t>
      </w:r>
      <w:r w:rsidR="00E82CAE" w:rsidRPr="00E82CAE">
        <w:rPr>
          <w:sz w:val="28"/>
          <w:szCs w:val="28"/>
        </w:rPr>
        <w:t xml:space="preserve"> the court’s ability to appoint </w:t>
      </w:r>
      <w:r w:rsidR="007B42A0">
        <w:rPr>
          <w:sz w:val="28"/>
          <w:szCs w:val="28"/>
        </w:rPr>
        <w:t xml:space="preserve">a </w:t>
      </w:r>
      <w:r w:rsidR="00E82CAE" w:rsidRPr="00E82CAE">
        <w:rPr>
          <w:sz w:val="28"/>
          <w:szCs w:val="28"/>
        </w:rPr>
        <w:t xml:space="preserve">guardian ad litem (“GAL”) in a probate proceeding.  </w:t>
      </w:r>
      <w:r w:rsidR="0077377E">
        <w:rPr>
          <w:sz w:val="28"/>
          <w:szCs w:val="28"/>
        </w:rPr>
        <w:t>Judge McDougall</w:t>
      </w:r>
      <w:r w:rsidR="00E82CAE" w:rsidRPr="00E82CAE">
        <w:rPr>
          <w:sz w:val="28"/>
          <w:szCs w:val="28"/>
        </w:rPr>
        <w:t xml:space="preserve"> </w:t>
      </w:r>
      <w:r w:rsidR="000B4EBA" w:rsidRPr="00E82CAE">
        <w:rPr>
          <w:sz w:val="28"/>
          <w:szCs w:val="28"/>
        </w:rPr>
        <w:t>d</w:t>
      </w:r>
      <w:r w:rsidR="004D6295">
        <w:rPr>
          <w:sz w:val="28"/>
          <w:szCs w:val="28"/>
        </w:rPr>
        <w:t>oes</w:t>
      </w:r>
      <w:r w:rsidR="000B4EBA">
        <w:rPr>
          <w:sz w:val="28"/>
          <w:szCs w:val="28"/>
        </w:rPr>
        <w:t xml:space="preserve"> </w:t>
      </w:r>
      <w:r w:rsidR="00E82CAE" w:rsidRPr="00E82CAE">
        <w:rPr>
          <w:sz w:val="28"/>
          <w:szCs w:val="28"/>
        </w:rPr>
        <w:t xml:space="preserve">not believe that a statutory representative </w:t>
      </w:r>
      <w:r w:rsidR="004D6295">
        <w:rPr>
          <w:sz w:val="28"/>
          <w:szCs w:val="28"/>
        </w:rPr>
        <w:t xml:space="preserve">(SR) </w:t>
      </w:r>
      <w:r w:rsidR="000B4EBA">
        <w:rPr>
          <w:sz w:val="28"/>
          <w:szCs w:val="28"/>
        </w:rPr>
        <w:t>c</w:t>
      </w:r>
      <w:r w:rsidR="004D6295">
        <w:rPr>
          <w:sz w:val="28"/>
          <w:szCs w:val="28"/>
        </w:rPr>
        <w:t>an</w:t>
      </w:r>
      <w:r w:rsidR="000B4EBA" w:rsidRPr="00E82CAE">
        <w:rPr>
          <w:sz w:val="28"/>
          <w:szCs w:val="28"/>
        </w:rPr>
        <w:t xml:space="preserve"> </w:t>
      </w:r>
      <w:r w:rsidR="00E82CAE" w:rsidRPr="00E82CAE">
        <w:rPr>
          <w:sz w:val="28"/>
          <w:szCs w:val="28"/>
        </w:rPr>
        <w:t xml:space="preserve">function as a GAL </w:t>
      </w:r>
      <w:r w:rsidR="00DC0C1E">
        <w:rPr>
          <w:sz w:val="28"/>
          <w:szCs w:val="28"/>
        </w:rPr>
        <w:t xml:space="preserve">or that </w:t>
      </w:r>
      <w:r w:rsidR="004D6295">
        <w:rPr>
          <w:sz w:val="28"/>
          <w:szCs w:val="28"/>
        </w:rPr>
        <w:t>the SR position was meant to supplant</w:t>
      </w:r>
      <w:r w:rsidR="00E82CAE" w:rsidRPr="00E82CAE">
        <w:rPr>
          <w:sz w:val="28"/>
          <w:szCs w:val="28"/>
        </w:rPr>
        <w:t xml:space="preserve"> the role of a GAL.  He added that precluding the appointment of a GAL before a finding of incapacity defeat</w:t>
      </w:r>
      <w:r w:rsidR="00DC0C1E">
        <w:rPr>
          <w:sz w:val="28"/>
          <w:szCs w:val="28"/>
        </w:rPr>
        <w:t>s</w:t>
      </w:r>
      <w:r w:rsidR="00E82CAE" w:rsidRPr="00E82CAE">
        <w:rPr>
          <w:sz w:val="28"/>
          <w:szCs w:val="28"/>
        </w:rPr>
        <w:t xml:space="preserve"> </w:t>
      </w:r>
      <w:r w:rsidR="00466B8A" w:rsidRPr="00E82CAE">
        <w:rPr>
          <w:sz w:val="28"/>
          <w:szCs w:val="28"/>
        </w:rPr>
        <w:t xml:space="preserve">the </w:t>
      </w:r>
      <w:r w:rsidR="00466B8A">
        <w:rPr>
          <w:sz w:val="28"/>
          <w:szCs w:val="28"/>
        </w:rPr>
        <w:t>purpose</w:t>
      </w:r>
      <w:r w:rsidR="00E82CAE" w:rsidRPr="00E82CAE">
        <w:rPr>
          <w:sz w:val="28"/>
          <w:szCs w:val="28"/>
        </w:rPr>
        <w:t xml:space="preserve"> of having a GAL, which is to advise the court on whether the appointment of a fiduciary </w:t>
      </w:r>
      <w:r w:rsidR="00DC0C1E">
        <w:rPr>
          <w:sz w:val="28"/>
          <w:szCs w:val="28"/>
        </w:rPr>
        <w:t xml:space="preserve">is </w:t>
      </w:r>
      <w:r w:rsidR="00E82CAE" w:rsidRPr="00E82CAE">
        <w:rPr>
          <w:sz w:val="28"/>
          <w:szCs w:val="28"/>
        </w:rPr>
        <w:t xml:space="preserve">appropriate.  He </w:t>
      </w:r>
      <w:r w:rsidR="003F4785">
        <w:rPr>
          <w:sz w:val="28"/>
          <w:szCs w:val="28"/>
        </w:rPr>
        <w:t>also suggested t</w:t>
      </w:r>
      <w:r w:rsidR="000B4EBA">
        <w:rPr>
          <w:sz w:val="28"/>
          <w:szCs w:val="28"/>
        </w:rPr>
        <w:t>hat t</w:t>
      </w:r>
      <w:r w:rsidR="003F4785">
        <w:rPr>
          <w:sz w:val="28"/>
          <w:szCs w:val="28"/>
        </w:rPr>
        <w:t>he Task Force</w:t>
      </w:r>
      <w:r w:rsidR="00E82CAE" w:rsidRPr="00E82CAE">
        <w:rPr>
          <w:sz w:val="28"/>
          <w:szCs w:val="28"/>
        </w:rPr>
        <w:t xml:space="preserve"> delete a portion of proposed Rule 32</w:t>
      </w:r>
      <w:r w:rsidR="00E52A86">
        <w:rPr>
          <w:sz w:val="28"/>
          <w:szCs w:val="28"/>
        </w:rPr>
        <w:t>’s title</w:t>
      </w:r>
      <w:r w:rsidR="00E82CAE" w:rsidRPr="00E82CAE">
        <w:rPr>
          <w:sz w:val="28"/>
          <w:szCs w:val="28"/>
        </w:rPr>
        <w:t xml:space="preserve"> that says, “formerly known as guardian ad litem,” and adopt a new rule</w:t>
      </w:r>
      <w:r w:rsidR="007B42A0">
        <w:rPr>
          <w:sz w:val="28"/>
          <w:szCs w:val="28"/>
        </w:rPr>
        <w:t xml:space="preserve"> </w:t>
      </w:r>
      <w:r w:rsidR="00E82CAE" w:rsidRPr="00E82CAE">
        <w:rPr>
          <w:sz w:val="28"/>
          <w:szCs w:val="28"/>
        </w:rPr>
        <w:t>that would permit the court to appoint a GAL.</w:t>
      </w:r>
      <w:r w:rsidR="007B42A0" w:rsidRPr="007B42A0">
        <w:rPr>
          <w:sz w:val="28"/>
          <w:szCs w:val="28"/>
        </w:rPr>
        <w:t xml:space="preserve"> </w:t>
      </w:r>
      <w:r w:rsidR="001B7870">
        <w:rPr>
          <w:sz w:val="28"/>
          <w:szCs w:val="28"/>
        </w:rPr>
        <w:t xml:space="preserve"> </w:t>
      </w:r>
      <w:r w:rsidR="007B42A0" w:rsidRPr="00E82CAE">
        <w:rPr>
          <w:sz w:val="28"/>
          <w:szCs w:val="28"/>
        </w:rPr>
        <w:t xml:space="preserve">Judge McDougall </w:t>
      </w:r>
      <w:r w:rsidR="003F4785">
        <w:rPr>
          <w:sz w:val="28"/>
          <w:szCs w:val="28"/>
        </w:rPr>
        <w:t>further</w:t>
      </w:r>
      <w:r w:rsidR="007B42A0">
        <w:rPr>
          <w:sz w:val="28"/>
          <w:szCs w:val="28"/>
        </w:rPr>
        <w:t xml:space="preserve"> </w:t>
      </w:r>
      <w:r w:rsidR="00DC0C1E">
        <w:rPr>
          <w:sz w:val="28"/>
          <w:szCs w:val="28"/>
        </w:rPr>
        <w:t>suggested changing the term</w:t>
      </w:r>
      <w:r w:rsidR="007B42A0" w:rsidRPr="00E82CAE">
        <w:rPr>
          <w:sz w:val="28"/>
          <w:szCs w:val="28"/>
        </w:rPr>
        <w:t xml:space="preserve"> “guardian ad litem”</w:t>
      </w:r>
      <w:r w:rsidR="000B4EBA">
        <w:rPr>
          <w:sz w:val="28"/>
          <w:szCs w:val="28"/>
        </w:rPr>
        <w:t>—</w:t>
      </w:r>
      <w:r w:rsidR="007B42A0" w:rsidRPr="00E82CAE">
        <w:rPr>
          <w:sz w:val="28"/>
          <w:szCs w:val="28"/>
        </w:rPr>
        <w:t>because that person does not function as a guardian</w:t>
      </w:r>
      <w:r w:rsidR="000B4EBA">
        <w:rPr>
          <w:sz w:val="28"/>
          <w:szCs w:val="28"/>
        </w:rPr>
        <w:t>—</w:t>
      </w:r>
      <w:r w:rsidR="00471CEA">
        <w:rPr>
          <w:sz w:val="28"/>
          <w:szCs w:val="28"/>
        </w:rPr>
        <w:t xml:space="preserve">to </w:t>
      </w:r>
      <w:r w:rsidR="00471CEA" w:rsidRPr="00E82CAE">
        <w:rPr>
          <w:sz w:val="28"/>
          <w:szCs w:val="28"/>
        </w:rPr>
        <w:t>“</w:t>
      </w:r>
      <w:r w:rsidR="007B42A0" w:rsidRPr="00E82CAE">
        <w:rPr>
          <w:sz w:val="28"/>
          <w:szCs w:val="28"/>
        </w:rPr>
        <w:t>court advisor.”</w:t>
      </w:r>
    </w:p>
    <w:p w14:paraId="71704598" w14:textId="4B65FA38" w:rsidR="00E82CAE" w:rsidRPr="00E82CAE" w:rsidRDefault="00E82CAE" w:rsidP="00E82CAE">
      <w:pPr>
        <w:pStyle w:val="ListParagraph"/>
        <w:spacing w:before="240" w:line="480" w:lineRule="auto"/>
        <w:ind w:left="0" w:firstLine="720"/>
        <w:jc w:val="both"/>
        <w:rPr>
          <w:sz w:val="28"/>
          <w:szCs w:val="28"/>
        </w:rPr>
      </w:pPr>
      <w:r w:rsidRPr="00E82CAE">
        <w:rPr>
          <w:sz w:val="28"/>
          <w:szCs w:val="28"/>
        </w:rPr>
        <w:t xml:space="preserve">The </w:t>
      </w:r>
      <w:r w:rsidR="003F4785">
        <w:rPr>
          <w:sz w:val="28"/>
          <w:szCs w:val="28"/>
        </w:rPr>
        <w:t>Task Force</w:t>
      </w:r>
      <w:r w:rsidR="007B42A0">
        <w:rPr>
          <w:sz w:val="28"/>
          <w:szCs w:val="28"/>
        </w:rPr>
        <w:t xml:space="preserve"> </w:t>
      </w:r>
      <w:r w:rsidR="003F4785">
        <w:rPr>
          <w:sz w:val="28"/>
          <w:szCs w:val="28"/>
        </w:rPr>
        <w:t>discussed Judge McDougall’s comments</w:t>
      </w:r>
      <w:r w:rsidR="00E2209E" w:rsidRPr="00E2209E">
        <w:rPr>
          <w:sz w:val="28"/>
          <w:szCs w:val="28"/>
        </w:rPr>
        <w:t xml:space="preserve"> </w:t>
      </w:r>
      <w:r w:rsidR="00E2209E">
        <w:rPr>
          <w:sz w:val="28"/>
          <w:szCs w:val="28"/>
        </w:rPr>
        <w:t>at length.  As</w:t>
      </w:r>
      <w:r w:rsidR="00673D90">
        <w:rPr>
          <w:sz w:val="28"/>
          <w:szCs w:val="28"/>
        </w:rPr>
        <w:t xml:space="preserve"> part of that discussion, </w:t>
      </w:r>
      <w:r w:rsidR="00E2209E">
        <w:rPr>
          <w:sz w:val="28"/>
          <w:szCs w:val="28"/>
        </w:rPr>
        <w:t xml:space="preserve">members </w:t>
      </w:r>
      <w:r w:rsidR="00673D90">
        <w:rPr>
          <w:sz w:val="28"/>
          <w:szCs w:val="28"/>
        </w:rPr>
        <w:t xml:space="preserve">considered two recent Court of Appeals </w:t>
      </w:r>
      <w:r w:rsidR="0050679B">
        <w:rPr>
          <w:sz w:val="28"/>
          <w:szCs w:val="28"/>
        </w:rPr>
        <w:t>decisions</w:t>
      </w:r>
      <w:r w:rsidR="00673D90">
        <w:rPr>
          <w:sz w:val="28"/>
          <w:szCs w:val="28"/>
        </w:rPr>
        <w:t xml:space="preserve"> </w:t>
      </w:r>
      <w:r w:rsidR="000B4EBA">
        <w:rPr>
          <w:sz w:val="28"/>
          <w:szCs w:val="28"/>
        </w:rPr>
        <w:lastRenderedPageBreak/>
        <w:t>involving</w:t>
      </w:r>
      <w:r w:rsidR="00673D90">
        <w:rPr>
          <w:sz w:val="28"/>
          <w:szCs w:val="28"/>
        </w:rPr>
        <w:t xml:space="preserve"> the </w:t>
      </w:r>
      <w:r w:rsidR="00167D8C">
        <w:rPr>
          <w:sz w:val="28"/>
          <w:szCs w:val="28"/>
        </w:rPr>
        <w:t>appointment</w:t>
      </w:r>
      <w:r w:rsidR="00673D90">
        <w:rPr>
          <w:sz w:val="28"/>
          <w:szCs w:val="28"/>
        </w:rPr>
        <w:t xml:space="preserve"> and role of GALs:</w:t>
      </w:r>
      <w:r w:rsidRPr="00E82CAE">
        <w:rPr>
          <w:sz w:val="28"/>
          <w:szCs w:val="28"/>
        </w:rPr>
        <w:t xml:space="preserve"> </w:t>
      </w:r>
      <w:r w:rsidRPr="00E82CAE">
        <w:rPr>
          <w:i/>
          <w:sz w:val="28"/>
          <w:szCs w:val="28"/>
        </w:rPr>
        <w:t xml:space="preserve">Kennedy v. </w:t>
      </w:r>
      <w:proofErr w:type="spellStart"/>
      <w:r w:rsidRPr="00E82CAE">
        <w:rPr>
          <w:i/>
          <w:sz w:val="28"/>
          <w:szCs w:val="28"/>
        </w:rPr>
        <w:t>Wybanga</w:t>
      </w:r>
      <w:proofErr w:type="spellEnd"/>
      <w:r w:rsidRPr="00E82CAE">
        <w:rPr>
          <w:sz w:val="28"/>
          <w:szCs w:val="28"/>
        </w:rPr>
        <w:t>, 1-CA-CV 17-0559 FC (</w:t>
      </w:r>
      <w:r w:rsidR="00673D90">
        <w:rPr>
          <w:sz w:val="28"/>
          <w:szCs w:val="28"/>
        </w:rPr>
        <w:t>Ariz. Ct. App. Sept.</w:t>
      </w:r>
      <w:r w:rsidRPr="00E82CAE">
        <w:rPr>
          <w:sz w:val="28"/>
          <w:szCs w:val="28"/>
        </w:rPr>
        <w:t>11</w:t>
      </w:r>
      <w:r w:rsidR="00673D90">
        <w:rPr>
          <w:sz w:val="28"/>
          <w:szCs w:val="28"/>
        </w:rPr>
        <w:t xml:space="preserve">, </w:t>
      </w:r>
      <w:r w:rsidRPr="00E82CAE">
        <w:rPr>
          <w:sz w:val="28"/>
          <w:szCs w:val="28"/>
        </w:rPr>
        <w:t>2018</w:t>
      </w:r>
      <w:r w:rsidR="00E2209E">
        <w:rPr>
          <w:sz w:val="28"/>
          <w:szCs w:val="28"/>
        </w:rPr>
        <w:t xml:space="preserve"> </w:t>
      </w:r>
      <w:r w:rsidR="00673D90">
        <w:rPr>
          <w:sz w:val="28"/>
          <w:szCs w:val="28"/>
        </w:rPr>
        <w:t>(mem.)</w:t>
      </w:r>
      <w:r w:rsidRPr="00E82CAE">
        <w:rPr>
          <w:sz w:val="28"/>
          <w:szCs w:val="28"/>
        </w:rPr>
        <w:t xml:space="preserve">), and </w:t>
      </w:r>
      <w:r w:rsidRPr="00E82CAE">
        <w:rPr>
          <w:i/>
          <w:sz w:val="28"/>
          <w:szCs w:val="28"/>
        </w:rPr>
        <w:t xml:space="preserve">Gibson v. </w:t>
      </w:r>
      <w:proofErr w:type="spellStart"/>
      <w:r w:rsidRPr="00E82CAE">
        <w:rPr>
          <w:i/>
          <w:sz w:val="28"/>
          <w:szCs w:val="28"/>
        </w:rPr>
        <w:t>Theut</w:t>
      </w:r>
      <w:proofErr w:type="spellEnd"/>
      <w:r w:rsidRPr="00E82CAE">
        <w:rPr>
          <w:i/>
          <w:sz w:val="28"/>
          <w:szCs w:val="28"/>
        </w:rPr>
        <w:t>,</w:t>
      </w:r>
      <w:r w:rsidRPr="00E82CAE">
        <w:rPr>
          <w:sz w:val="28"/>
          <w:szCs w:val="28"/>
        </w:rPr>
        <w:t xml:space="preserve"> 1 CA-CV 17-0562 (</w:t>
      </w:r>
      <w:r w:rsidR="00167D8C">
        <w:rPr>
          <w:sz w:val="28"/>
          <w:szCs w:val="28"/>
        </w:rPr>
        <w:t xml:space="preserve">Ariz. Ct. App. March 3, </w:t>
      </w:r>
      <w:r w:rsidR="00E2209E">
        <w:rPr>
          <w:sz w:val="28"/>
          <w:szCs w:val="28"/>
        </w:rPr>
        <w:t>20</w:t>
      </w:r>
      <w:r w:rsidRPr="00E82CAE">
        <w:rPr>
          <w:sz w:val="28"/>
          <w:szCs w:val="28"/>
        </w:rPr>
        <w:t>19)</w:t>
      </w:r>
      <w:r w:rsidR="007B42A0">
        <w:rPr>
          <w:sz w:val="28"/>
          <w:szCs w:val="28"/>
        </w:rPr>
        <w:t xml:space="preserve"> </w:t>
      </w:r>
      <w:r w:rsidR="00DC0C1E">
        <w:rPr>
          <w:sz w:val="28"/>
          <w:szCs w:val="28"/>
        </w:rPr>
        <w:t>(</w:t>
      </w:r>
      <w:r w:rsidR="007B42A0">
        <w:rPr>
          <w:sz w:val="28"/>
          <w:szCs w:val="28"/>
        </w:rPr>
        <w:t>issued after R-18-0044 was filed</w:t>
      </w:r>
      <w:r w:rsidR="00DC0C1E">
        <w:rPr>
          <w:sz w:val="28"/>
          <w:szCs w:val="28"/>
        </w:rPr>
        <w:t>)</w:t>
      </w:r>
      <w:r w:rsidRPr="00E82CAE">
        <w:rPr>
          <w:sz w:val="28"/>
          <w:szCs w:val="28"/>
        </w:rPr>
        <w:t xml:space="preserve">.  </w:t>
      </w:r>
      <w:r w:rsidR="00B6256F">
        <w:rPr>
          <w:sz w:val="28"/>
          <w:szCs w:val="28"/>
        </w:rPr>
        <w:t>Members noted that b</w:t>
      </w:r>
      <w:r w:rsidR="00DC0C1E">
        <w:rPr>
          <w:sz w:val="28"/>
          <w:szCs w:val="28"/>
        </w:rPr>
        <w:t>efore</w:t>
      </w:r>
      <w:r w:rsidR="00060D08" w:rsidRPr="00E82CAE">
        <w:rPr>
          <w:sz w:val="28"/>
          <w:szCs w:val="28"/>
        </w:rPr>
        <w:t xml:space="preserve"> a </w:t>
      </w:r>
      <w:r w:rsidR="00060D08">
        <w:rPr>
          <w:sz w:val="28"/>
          <w:szCs w:val="28"/>
        </w:rPr>
        <w:t xml:space="preserve">guardianship </w:t>
      </w:r>
      <w:r w:rsidR="00060D08" w:rsidRPr="00E82CAE">
        <w:rPr>
          <w:sz w:val="28"/>
          <w:szCs w:val="28"/>
        </w:rPr>
        <w:t>hearing</w:t>
      </w:r>
      <w:r w:rsidR="000375F7">
        <w:rPr>
          <w:sz w:val="28"/>
          <w:szCs w:val="28"/>
        </w:rPr>
        <w:t>, a probate judge</w:t>
      </w:r>
      <w:r w:rsidR="00060D08" w:rsidRPr="00E82CAE">
        <w:rPr>
          <w:sz w:val="28"/>
          <w:szCs w:val="28"/>
        </w:rPr>
        <w:t xml:space="preserve"> </w:t>
      </w:r>
      <w:r w:rsidRPr="00E82CAE">
        <w:rPr>
          <w:sz w:val="28"/>
          <w:szCs w:val="28"/>
        </w:rPr>
        <w:t xml:space="preserve">appoints a court investigator </w:t>
      </w:r>
      <w:r w:rsidR="0077377E">
        <w:rPr>
          <w:sz w:val="28"/>
          <w:szCs w:val="28"/>
        </w:rPr>
        <w:t>and a physician</w:t>
      </w:r>
      <w:r w:rsidR="001B7CE7">
        <w:rPr>
          <w:sz w:val="28"/>
          <w:szCs w:val="28"/>
        </w:rPr>
        <w:t>, both of whom</w:t>
      </w:r>
      <w:r w:rsidR="000375F7">
        <w:rPr>
          <w:sz w:val="28"/>
          <w:szCs w:val="28"/>
        </w:rPr>
        <w:t xml:space="preserve"> who </w:t>
      </w:r>
      <w:r w:rsidRPr="00E82CAE">
        <w:rPr>
          <w:sz w:val="28"/>
          <w:szCs w:val="28"/>
        </w:rPr>
        <w:t xml:space="preserve">report to the court on </w:t>
      </w:r>
      <w:r w:rsidR="001B7CE7">
        <w:rPr>
          <w:sz w:val="28"/>
          <w:szCs w:val="28"/>
        </w:rPr>
        <w:t xml:space="preserve">whether </w:t>
      </w:r>
      <w:r w:rsidRPr="00E82CAE">
        <w:rPr>
          <w:sz w:val="28"/>
          <w:szCs w:val="28"/>
        </w:rPr>
        <w:t>the subject person</w:t>
      </w:r>
      <w:r w:rsidR="001B7CE7">
        <w:rPr>
          <w:sz w:val="28"/>
          <w:szCs w:val="28"/>
        </w:rPr>
        <w:t xml:space="preserve"> is incapacitated</w:t>
      </w:r>
      <w:r w:rsidRPr="00E82CAE">
        <w:rPr>
          <w:sz w:val="28"/>
          <w:szCs w:val="28"/>
        </w:rPr>
        <w:t xml:space="preserve">.  In addition, the subject person has a court-appointed attorney whose </w:t>
      </w:r>
      <w:r w:rsidR="00FF0CF7" w:rsidRPr="00E82CAE">
        <w:rPr>
          <w:sz w:val="28"/>
          <w:szCs w:val="28"/>
        </w:rPr>
        <w:t xml:space="preserve">role </w:t>
      </w:r>
      <w:r w:rsidR="00FF0CF7">
        <w:rPr>
          <w:sz w:val="28"/>
          <w:szCs w:val="28"/>
        </w:rPr>
        <w:t>generally</w:t>
      </w:r>
      <w:r w:rsidR="001B7CE7">
        <w:rPr>
          <w:sz w:val="28"/>
          <w:szCs w:val="28"/>
        </w:rPr>
        <w:t xml:space="preserve"> is to advocate for the subject person’s wishes</w:t>
      </w:r>
      <w:r w:rsidRPr="00E82CAE">
        <w:rPr>
          <w:sz w:val="28"/>
          <w:szCs w:val="28"/>
        </w:rPr>
        <w:t>.</w:t>
      </w:r>
      <w:r w:rsidR="00931C45">
        <w:rPr>
          <w:sz w:val="28"/>
          <w:szCs w:val="28"/>
        </w:rPr>
        <w:t xml:space="preserve">  </w:t>
      </w:r>
      <w:r w:rsidR="0077377E">
        <w:rPr>
          <w:sz w:val="28"/>
          <w:szCs w:val="28"/>
        </w:rPr>
        <w:t xml:space="preserve">Members </w:t>
      </w:r>
      <w:r w:rsidR="00DC0C1E">
        <w:rPr>
          <w:sz w:val="28"/>
          <w:szCs w:val="28"/>
        </w:rPr>
        <w:t>questioned</w:t>
      </w:r>
      <w:r w:rsidR="0077377E">
        <w:rPr>
          <w:sz w:val="28"/>
          <w:szCs w:val="28"/>
        </w:rPr>
        <w:t xml:space="preserve"> w</w:t>
      </w:r>
      <w:r w:rsidRPr="00E82CAE">
        <w:rPr>
          <w:sz w:val="28"/>
          <w:szCs w:val="28"/>
        </w:rPr>
        <w:t xml:space="preserve">hy the court </w:t>
      </w:r>
      <w:r w:rsidR="0050679B">
        <w:rPr>
          <w:sz w:val="28"/>
          <w:szCs w:val="28"/>
        </w:rPr>
        <w:t>w</w:t>
      </w:r>
      <w:r w:rsidR="00DC0C1E">
        <w:rPr>
          <w:sz w:val="28"/>
          <w:szCs w:val="28"/>
        </w:rPr>
        <w:t xml:space="preserve">ould </w:t>
      </w:r>
      <w:r w:rsidRPr="00E82CAE">
        <w:rPr>
          <w:sz w:val="28"/>
          <w:szCs w:val="28"/>
        </w:rPr>
        <w:t>need to appoint anyone else</w:t>
      </w:r>
      <w:r w:rsidR="00DC0C1E">
        <w:rPr>
          <w:sz w:val="28"/>
          <w:szCs w:val="28"/>
        </w:rPr>
        <w:t>.</w:t>
      </w:r>
      <w:r w:rsidRPr="00E82CAE">
        <w:rPr>
          <w:sz w:val="28"/>
          <w:szCs w:val="28"/>
        </w:rPr>
        <w:t xml:space="preserve">  </w:t>
      </w:r>
      <w:r w:rsidR="00DC0C1E">
        <w:rPr>
          <w:sz w:val="28"/>
          <w:szCs w:val="28"/>
        </w:rPr>
        <w:t>I</w:t>
      </w:r>
      <w:r w:rsidR="00DC0C1E" w:rsidRPr="00E82CAE">
        <w:rPr>
          <w:sz w:val="28"/>
          <w:szCs w:val="28"/>
        </w:rPr>
        <w:t xml:space="preserve">f </w:t>
      </w:r>
      <w:r w:rsidR="00DC0C1E">
        <w:rPr>
          <w:sz w:val="28"/>
          <w:szCs w:val="28"/>
        </w:rPr>
        <w:t xml:space="preserve">the </w:t>
      </w:r>
      <w:r w:rsidR="00DC0C1E" w:rsidRPr="00E82CAE">
        <w:rPr>
          <w:sz w:val="28"/>
          <w:szCs w:val="28"/>
        </w:rPr>
        <w:t>investigator d</w:t>
      </w:r>
      <w:r w:rsidR="00DC0C1E">
        <w:rPr>
          <w:sz w:val="28"/>
          <w:szCs w:val="28"/>
        </w:rPr>
        <w:t>oes</w:t>
      </w:r>
      <w:r w:rsidR="00DC0C1E" w:rsidRPr="00E82CAE">
        <w:rPr>
          <w:sz w:val="28"/>
          <w:szCs w:val="28"/>
        </w:rPr>
        <w:t xml:space="preserve"> a satisfactory job, the court </w:t>
      </w:r>
      <w:r w:rsidR="00DC0C1E">
        <w:rPr>
          <w:sz w:val="28"/>
          <w:szCs w:val="28"/>
        </w:rPr>
        <w:t>should</w:t>
      </w:r>
      <w:r w:rsidR="00DC0C1E" w:rsidRPr="00E82CAE">
        <w:rPr>
          <w:sz w:val="28"/>
          <w:szCs w:val="28"/>
        </w:rPr>
        <w:t xml:space="preserve"> not need to appoint a GAL</w:t>
      </w:r>
      <w:r w:rsidR="00DC0C1E">
        <w:rPr>
          <w:sz w:val="28"/>
          <w:szCs w:val="28"/>
        </w:rPr>
        <w:t xml:space="preserve">.  </w:t>
      </w:r>
      <w:r w:rsidR="00167D8C">
        <w:rPr>
          <w:sz w:val="28"/>
          <w:szCs w:val="28"/>
        </w:rPr>
        <w:t xml:space="preserve">And if, after the investigation, the court has additional questions or concerns regarding the </w:t>
      </w:r>
      <w:r w:rsidR="003B5B49">
        <w:rPr>
          <w:sz w:val="28"/>
          <w:szCs w:val="28"/>
        </w:rPr>
        <w:t xml:space="preserve">subject person’s </w:t>
      </w:r>
      <w:r w:rsidR="00167D8C">
        <w:rPr>
          <w:sz w:val="28"/>
          <w:szCs w:val="28"/>
        </w:rPr>
        <w:t>alleged incapacity</w:t>
      </w:r>
      <w:r w:rsidR="003B5B49">
        <w:rPr>
          <w:sz w:val="28"/>
          <w:szCs w:val="28"/>
        </w:rPr>
        <w:t xml:space="preserve">, it </w:t>
      </w:r>
      <w:r w:rsidR="00DA0C7B">
        <w:rPr>
          <w:sz w:val="28"/>
          <w:szCs w:val="28"/>
        </w:rPr>
        <w:t>may order additi</w:t>
      </w:r>
      <w:r w:rsidR="003B5B49">
        <w:rPr>
          <w:sz w:val="28"/>
          <w:szCs w:val="28"/>
        </w:rPr>
        <w:t xml:space="preserve">onal investigatory efforts </w:t>
      </w:r>
      <w:r w:rsidR="00DA0C7B">
        <w:rPr>
          <w:sz w:val="28"/>
          <w:szCs w:val="28"/>
        </w:rPr>
        <w:t>or request</w:t>
      </w:r>
      <w:r w:rsidR="003B5B49">
        <w:rPr>
          <w:sz w:val="28"/>
          <w:szCs w:val="28"/>
        </w:rPr>
        <w:t xml:space="preserve"> the parties to submit additional information.</w:t>
      </w:r>
      <w:r w:rsidR="00167D8C">
        <w:rPr>
          <w:sz w:val="28"/>
          <w:szCs w:val="28"/>
        </w:rPr>
        <w:t xml:space="preserve"> </w:t>
      </w:r>
      <w:r w:rsidRPr="00E82CAE">
        <w:rPr>
          <w:sz w:val="28"/>
          <w:szCs w:val="28"/>
        </w:rPr>
        <w:t xml:space="preserve"> </w:t>
      </w:r>
      <w:r w:rsidR="00F75A5F" w:rsidRPr="00F75A5F">
        <w:rPr>
          <w:sz w:val="28"/>
          <w:szCs w:val="28"/>
        </w:rPr>
        <w:t xml:space="preserve">Moreover, the </w:t>
      </w:r>
      <w:r w:rsidR="00F75A5F">
        <w:rPr>
          <w:sz w:val="28"/>
          <w:szCs w:val="28"/>
        </w:rPr>
        <w:t>statutory representative</w:t>
      </w:r>
      <w:r w:rsidR="00F75A5F" w:rsidRPr="00F75A5F">
        <w:rPr>
          <w:sz w:val="28"/>
          <w:szCs w:val="28"/>
        </w:rPr>
        <w:t xml:space="preserve"> is a statutorily created position </w:t>
      </w:r>
      <w:r w:rsidR="00FF0CF7">
        <w:rPr>
          <w:sz w:val="28"/>
          <w:szCs w:val="28"/>
        </w:rPr>
        <w:t xml:space="preserve">that </w:t>
      </w:r>
      <w:r w:rsidR="00FF0CF7" w:rsidRPr="00F75A5F">
        <w:rPr>
          <w:sz w:val="28"/>
          <w:szCs w:val="28"/>
        </w:rPr>
        <w:t>replaced</w:t>
      </w:r>
      <w:r w:rsidR="00F75A5F" w:rsidRPr="00F75A5F">
        <w:rPr>
          <w:sz w:val="28"/>
          <w:szCs w:val="28"/>
        </w:rPr>
        <w:t xml:space="preserve"> the position of GAL.  See A.R.S. § 14-1408(A). </w:t>
      </w:r>
      <w:r w:rsidR="00F842ED">
        <w:rPr>
          <w:sz w:val="28"/>
          <w:szCs w:val="28"/>
        </w:rPr>
        <w:t xml:space="preserve"> </w:t>
      </w:r>
      <w:r w:rsidR="00F75A5F" w:rsidRPr="00F75A5F">
        <w:rPr>
          <w:sz w:val="28"/>
          <w:szCs w:val="28"/>
        </w:rPr>
        <w:t xml:space="preserve">Any change </w:t>
      </w:r>
      <w:r w:rsidR="00471CEA">
        <w:rPr>
          <w:sz w:val="28"/>
          <w:szCs w:val="28"/>
        </w:rPr>
        <w:t>that would</w:t>
      </w:r>
      <w:r w:rsidR="00F75A5F" w:rsidRPr="00F75A5F">
        <w:rPr>
          <w:sz w:val="28"/>
          <w:szCs w:val="28"/>
        </w:rPr>
        <w:t xml:space="preserve"> retain the use of GALs in probate proceedings should come from the </w:t>
      </w:r>
      <w:r w:rsidR="00A70AED">
        <w:rPr>
          <w:sz w:val="28"/>
          <w:szCs w:val="28"/>
        </w:rPr>
        <w:t>L</w:t>
      </w:r>
      <w:r w:rsidR="00F75A5F" w:rsidRPr="00F75A5F">
        <w:rPr>
          <w:sz w:val="28"/>
          <w:szCs w:val="28"/>
        </w:rPr>
        <w:t>egislature.</w:t>
      </w:r>
    </w:p>
    <w:p w14:paraId="2D519FEE" w14:textId="7D7E51E4" w:rsidR="00010462" w:rsidRDefault="00E2209E" w:rsidP="00E82CAE">
      <w:pPr>
        <w:pStyle w:val="ListParagraph"/>
        <w:spacing w:before="240" w:line="480" w:lineRule="auto"/>
        <w:ind w:left="0" w:firstLine="720"/>
        <w:jc w:val="both"/>
        <w:rPr>
          <w:sz w:val="28"/>
          <w:szCs w:val="28"/>
        </w:rPr>
      </w:pPr>
      <w:r>
        <w:rPr>
          <w:sz w:val="28"/>
          <w:szCs w:val="28"/>
        </w:rPr>
        <w:t>A</w:t>
      </w:r>
      <w:r w:rsidR="003B5B49">
        <w:rPr>
          <w:sz w:val="28"/>
          <w:szCs w:val="28"/>
        </w:rPr>
        <w:t xml:space="preserve"> </w:t>
      </w:r>
      <w:r w:rsidR="008056ED">
        <w:rPr>
          <w:sz w:val="28"/>
          <w:szCs w:val="28"/>
        </w:rPr>
        <w:t xml:space="preserve">Task Force </w:t>
      </w:r>
      <w:r w:rsidR="007B42A0">
        <w:rPr>
          <w:sz w:val="28"/>
          <w:szCs w:val="28"/>
        </w:rPr>
        <w:t>w</w:t>
      </w:r>
      <w:r w:rsidR="00E82CAE" w:rsidRPr="00E82CAE">
        <w:rPr>
          <w:sz w:val="28"/>
          <w:szCs w:val="28"/>
        </w:rPr>
        <w:t xml:space="preserve">orkgroup and the full Task Force </w:t>
      </w:r>
      <w:r>
        <w:rPr>
          <w:sz w:val="28"/>
          <w:szCs w:val="28"/>
        </w:rPr>
        <w:t>extensiv</w:t>
      </w:r>
      <w:r w:rsidR="00917158">
        <w:rPr>
          <w:sz w:val="28"/>
          <w:szCs w:val="28"/>
        </w:rPr>
        <w:t>ely</w:t>
      </w:r>
      <w:r w:rsidRPr="00E82CAE">
        <w:rPr>
          <w:sz w:val="28"/>
          <w:szCs w:val="28"/>
        </w:rPr>
        <w:t xml:space="preserve"> </w:t>
      </w:r>
      <w:r w:rsidR="00E82CAE" w:rsidRPr="00E82CAE">
        <w:rPr>
          <w:sz w:val="28"/>
          <w:szCs w:val="28"/>
        </w:rPr>
        <w:t>discuss</w:t>
      </w:r>
      <w:r w:rsidR="00917158">
        <w:rPr>
          <w:sz w:val="28"/>
          <w:szCs w:val="28"/>
        </w:rPr>
        <w:t>ed</w:t>
      </w:r>
      <w:r w:rsidR="00E82CAE" w:rsidRPr="00E82CAE">
        <w:rPr>
          <w:sz w:val="28"/>
          <w:szCs w:val="28"/>
        </w:rPr>
        <w:t xml:space="preserve"> Rule 32 before filing </w:t>
      </w:r>
      <w:r w:rsidR="00917158">
        <w:rPr>
          <w:sz w:val="28"/>
          <w:szCs w:val="28"/>
        </w:rPr>
        <w:t>the</w:t>
      </w:r>
      <w:r w:rsidR="00E52A86">
        <w:rPr>
          <w:sz w:val="28"/>
          <w:szCs w:val="28"/>
        </w:rPr>
        <w:t xml:space="preserve"> rule petition</w:t>
      </w:r>
      <w:r w:rsidR="008131E0">
        <w:rPr>
          <w:sz w:val="28"/>
          <w:szCs w:val="28"/>
        </w:rPr>
        <w:t>.  Despite</w:t>
      </w:r>
      <w:r w:rsidR="007B42A0">
        <w:rPr>
          <w:sz w:val="28"/>
          <w:szCs w:val="28"/>
        </w:rPr>
        <w:t xml:space="preserve"> </w:t>
      </w:r>
      <w:r w:rsidR="00E82CAE" w:rsidRPr="00E82CAE">
        <w:rPr>
          <w:sz w:val="28"/>
          <w:szCs w:val="28"/>
        </w:rPr>
        <w:t>Judge McDougall’s</w:t>
      </w:r>
      <w:r w:rsidR="007B42A0">
        <w:rPr>
          <w:sz w:val="28"/>
          <w:szCs w:val="28"/>
        </w:rPr>
        <w:t xml:space="preserve"> thoughtful </w:t>
      </w:r>
      <w:r w:rsidR="00E82CAE" w:rsidRPr="00E82CAE">
        <w:rPr>
          <w:sz w:val="28"/>
          <w:szCs w:val="28"/>
        </w:rPr>
        <w:t>comments</w:t>
      </w:r>
      <w:r w:rsidR="008131E0">
        <w:rPr>
          <w:sz w:val="28"/>
          <w:szCs w:val="28"/>
        </w:rPr>
        <w:t>,</w:t>
      </w:r>
      <w:r w:rsidR="008131E0" w:rsidRPr="008131E0">
        <w:rPr>
          <w:sz w:val="28"/>
          <w:szCs w:val="28"/>
        </w:rPr>
        <w:t xml:space="preserve"> </w:t>
      </w:r>
      <w:r w:rsidR="008131E0">
        <w:rPr>
          <w:sz w:val="28"/>
          <w:szCs w:val="28"/>
        </w:rPr>
        <w:t>the Task Force d</w:t>
      </w:r>
      <w:r w:rsidR="00DA0C7B">
        <w:rPr>
          <w:sz w:val="28"/>
          <w:szCs w:val="28"/>
        </w:rPr>
        <w:t>id</w:t>
      </w:r>
      <w:r w:rsidR="008131E0">
        <w:rPr>
          <w:sz w:val="28"/>
          <w:szCs w:val="28"/>
        </w:rPr>
        <w:t xml:space="preserve"> not </w:t>
      </w:r>
      <w:r w:rsidR="00DA0C7B">
        <w:rPr>
          <w:sz w:val="28"/>
          <w:szCs w:val="28"/>
        </w:rPr>
        <w:t xml:space="preserve">modify </w:t>
      </w:r>
      <w:r w:rsidR="008131E0" w:rsidRPr="00E82CAE">
        <w:rPr>
          <w:sz w:val="28"/>
          <w:szCs w:val="28"/>
        </w:rPr>
        <w:t>Rule 32</w:t>
      </w:r>
      <w:r w:rsidR="008131E0">
        <w:rPr>
          <w:sz w:val="28"/>
          <w:szCs w:val="28"/>
        </w:rPr>
        <w:t xml:space="preserve"> as </w:t>
      </w:r>
      <w:r w:rsidR="005C7E22">
        <w:rPr>
          <w:sz w:val="28"/>
          <w:szCs w:val="28"/>
        </w:rPr>
        <w:t>Judge McDougall</w:t>
      </w:r>
      <w:r w:rsidR="00E52A86">
        <w:rPr>
          <w:sz w:val="28"/>
          <w:szCs w:val="28"/>
        </w:rPr>
        <w:t xml:space="preserve"> proposed,</w:t>
      </w:r>
      <w:r w:rsidR="005C7E22">
        <w:rPr>
          <w:sz w:val="28"/>
          <w:szCs w:val="28"/>
        </w:rPr>
        <w:t xml:space="preserve"> with one exception: </w:t>
      </w:r>
      <w:r w:rsidR="00F75A5F">
        <w:rPr>
          <w:sz w:val="28"/>
          <w:szCs w:val="28"/>
        </w:rPr>
        <w:t xml:space="preserve">it </w:t>
      </w:r>
      <w:r w:rsidR="005C7E22">
        <w:rPr>
          <w:sz w:val="28"/>
          <w:szCs w:val="28"/>
        </w:rPr>
        <w:t xml:space="preserve">modified the heading </w:t>
      </w:r>
      <w:r w:rsidR="00E52A86">
        <w:rPr>
          <w:sz w:val="28"/>
          <w:szCs w:val="28"/>
        </w:rPr>
        <w:t>of</w:t>
      </w:r>
      <w:r w:rsidR="005C7E22">
        <w:rPr>
          <w:sz w:val="28"/>
          <w:szCs w:val="28"/>
        </w:rPr>
        <w:t xml:space="preserve"> Rule 32 to delete “formally known as guardian ad litem” </w:t>
      </w:r>
      <w:r w:rsidR="00E52A86">
        <w:rPr>
          <w:sz w:val="28"/>
          <w:szCs w:val="28"/>
        </w:rPr>
        <w:t>because</w:t>
      </w:r>
      <w:r w:rsidR="005C7E22">
        <w:rPr>
          <w:sz w:val="28"/>
          <w:szCs w:val="28"/>
        </w:rPr>
        <w:t xml:space="preserve"> the text of the rule makes that point.</w:t>
      </w:r>
    </w:p>
    <w:p w14:paraId="5F3310D7" w14:textId="28B81EEA" w:rsidR="00F92AF4" w:rsidRDefault="00010462" w:rsidP="00E82CAE">
      <w:pPr>
        <w:pStyle w:val="ListParagraph"/>
        <w:spacing w:before="240" w:line="480" w:lineRule="auto"/>
        <w:ind w:left="0" w:firstLine="720"/>
        <w:jc w:val="both"/>
        <w:rPr>
          <w:sz w:val="28"/>
          <w:szCs w:val="28"/>
        </w:rPr>
      </w:pPr>
      <w:r w:rsidRPr="00B66D54">
        <w:rPr>
          <w:i/>
          <w:sz w:val="28"/>
          <w:szCs w:val="28"/>
        </w:rPr>
        <w:lastRenderedPageBreak/>
        <w:t>Rule 47:</w:t>
      </w:r>
      <w:r>
        <w:rPr>
          <w:sz w:val="28"/>
          <w:szCs w:val="28"/>
        </w:rPr>
        <w:t xml:space="preserve"> Judge McDougall </w:t>
      </w:r>
      <w:r w:rsidR="00931C45">
        <w:rPr>
          <w:sz w:val="28"/>
          <w:szCs w:val="28"/>
        </w:rPr>
        <w:t>found</w:t>
      </w:r>
      <w:r w:rsidR="0074700C">
        <w:rPr>
          <w:sz w:val="28"/>
          <w:szCs w:val="28"/>
        </w:rPr>
        <w:t xml:space="preserve"> Rule 47(a)(4) confusing</w:t>
      </w:r>
      <w:r w:rsidR="00354C5E">
        <w:rPr>
          <w:sz w:val="28"/>
          <w:szCs w:val="28"/>
        </w:rPr>
        <w:t>.  The proposed rule</w:t>
      </w:r>
      <w:r w:rsidR="0074700C">
        <w:rPr>
          <w:sz w:val="28"/>
          <w:szCs w:val="28"/>
        </w:rPr>
        <w:t xml:space="preserve"> requires the court and the requesting party to “meet all the conditions of A.R.S § 14-5310</w:t>
      </w:r>
      <w:r w:rsidR="00AE4EBC">
        <w:rPr>
          <w:sz w:val="28"/>
          <w:szCs w:val="28"/>
        </w:rPr>
        <w:t>(B)”</w:t>
      </w:r>
      <w:r w:rsidR="0074700C" w:rsidRPr="001B7870">
        <w:rPr>
          <w:bCs/>
          <w:sz w:val="28"/>
          <w:szCs w:val="28"/>
        </w:rPr>
        <w:t xml:space="preserve"> </w:t>
      </w:r>
      <w:r w:rsidR="0074700C">
        <w:rPr>
          <w:sz w:val="28"/>
          <w:szCs w:val="28"/>
        </w:rPr>
        <w:t xml:space="preserve">if </w:t>
      </w:r>
      <w:r w:rsidR="00931C45">
        <w:rPr>
          <w:sz w:val="28"/>
          <w:szCs w:val="28"/>
        </w:rPr>
        <w:t>a</w:t>
      </w:r>
      <w:r w:rsidR="00A2624A">
        <w:rPr>
          <w:sz w:val="28"/>
          <w:szCs w:val="28"/>
        </w:rPr>
        <w:t xml:space="preserve"> party request</w:t>
      </w:r>
      <w:r w:rsidR="00931C45">
        <w:rPr>
          <w:sz w:val="28"/>
          <w:szCs w:val="28"/>
        </w:rPr>
        <w:t>s</w:t>
      </w:r>
      <w:r w:rsidR="00A2624A">
        <w:rPr>
          <w:sz w:val="28"/>
          <w:szCs w:val="28"/>
        </w:rPr>
        <w:t xml:space="preserve"> an order granting a guardian inpatient </w:t>
      </w:r>
      <w:r w:rsidR="00AE4EBC">
        <w:rPr>
          <w:sz w:val="28"/>
          <w:szCs w:val="28"/>
        </w:rPr>
        <w:t xml:space="preserve">psychiatric </w:t>
      </w:r>
      <w:r w:rsidR="00A2624A">
        <w:rPr>
          <w:sz w:val="28"/>
          <w:szCs w:val="28"/>
        </w:rPr>
        <w:t xml:space="preserve">treatment authority on an ex parte basis, </w:t>
      </w:r>
      <w:r w:rsidR="00354C5E">
        <w:rPr>
          <w:sz w:val="28"/>
          <w:szCs w:val="28"/>
        </w:rPr>
        <w:t xml:space="preserve">and </w:t>
      </w:r>
      <w:r w:rsidR="00A2624A">
        <w:rPr>
          <w:sz w:val="28"/>
          <w:szCs w:val="28"/>
        </w:rPr>
        <w:t xml:space="preserve">also specifies that the court and requesting party must “follow </w:t>
      </w:r>
      <w:r w:rsidR="0050679B">
        <w:rPr>
          <w:sz w:val="28"/>
          <w:szCs w:val="28"/>
        </w:rPr>
        <w:t>procedures</w:t>
      </w:r>
      <w:r w:rsidR="00A2624A">
        <w:rPr>
          <w:sz w:val="28"/>
          <w:szCs w:val="28"/>
        </w:rPr>
        <w:t xml:space="preserve"> </w:t>
      </w:r>
      <w:r w:rsidR="00AE4EBC">
        <w:rPr>
          <w:sz w:val="28"/>
          <w:szCs w:val="28"/>
        </w:rPr>
        <w:t>substantially</w:t>
      </w:r>
      <w:r w:rsidR="00A2624A">
        <w:rPr>
          <w:sz w:val="28"/>
          <w:szCs w:val="28"/>
        </w:rPr>
        <w:t xml:space="preserve"> similar to those set forth in A.R.S. § </w:t>
      </w:r>
      <w:r w:rsidR="007944FF">
        <w:rPr>
          <w:sz w:val="28"/>
          <w:szCs w:val="28"/>
        </w:rPr>
        <w:t>14-5310(B).</w:t>
      </w:r>
      <w:r w:rsidR="00F92AF4">
        <w:rPr>
          <w:sz w:val="28"/>
          <w:szCs w:val="28"/>
        </w:rPr>
        <w:t>”</w:t>
      </w:r>
      <w:r w:rsidR="00A2624A">
        <w:rPr>
          <w:sz w:val="28"/>
          <w:szCs w:val="28"/>
        </w:rPr>
        <w:t xml:space="preserve"> </w:t>
      </w:r>
      <w:r w:rsidR="00F92AF4">
        <w:rPr>
          <w:sz w:val="28"/>
          <w:szCs w:val="28"/>
        </w:rPr>
        <w:t xml:space="preserve"> The Task Force generally agreed with Judge McDougall</w:t>
      </w:r>
      <w:r w:rsidR="0050679B">
        <w:rPr>
          <w:sz w:val="28"/>
          <w:szCs w:val="28"/>
        </w:rPr>
        <w:t>’</w:t>
      </w:r>
      <w:r w:rsidR="00F92AF4">
        <w:rPr>
          <w:sz w:val="28"/>
          <w:szCs w:val="28"/>
        </w:rPr>
        <w:t>s comment and authorized the Editorial Group to clarify this provision</w:t>
      </w:r>
      <w:r w:rsidR="00931C45">
        <w:rPr>
          <w:sz w:val="28"/>
          <w:szCs w:val="28"/>
        </w:rPr>
        <w:t>, which it did</w:t>
      </w:r>
      <w:r w:rsidR="009F6496">
        <w:rPr>
          <w:sz w:val="28"/>
          <w:szCs w:val="28"/>
        </w:rPr>
        <w:t xml:space="preserve"> </w:t>
      </w:r>
      <w:r w:rsidR="00F92AF4">
        <w:rPr>
          <w:sz w:val="28"/>
          <w:szCs w:val="28"/>
        </w:rPr>
        <w:t xml:space="preserve">by deleting the reference to section B </w:t>
      </w:r>
      <w:r w:rsidR="00310221">
        <w:rPr>
          <w:sz w:val="28"/>
          <w:szCs w:val="28"/>
        </w:rPr>
        <w:t>in the citation to that statute</w:t>
      </w:r>
      <w:r w:rsidR="00F92AF4">
        <w:rPr>
          <w:sz w:val="28"/>
          <w:szCs w:val="28"/>
        </w:rPr>
        <w:t xml:space="preserve"> </w:t>
      </w:r>
      <w:r w:rsidR="009F6496">
        <w:rPr>
          <w:sz w:val="28"/>
          <w:szCs w:val="28"/>
        </w:rPr>
        <w:t>because</w:t>
      </w:r>
      <w:r w:rsidR="00F92AF4">
        <w:rPr>
          <w:sz w:val="28"/>
          <w:szCs w:val="28"/>
        </w:rPr>
        <w:t xml:space="preserve"> other provisions in A.R.S. </w:t>
      </w:r>
      <w:r w:rsidR="00AE4EBC">
        <w:rPr>
          <w:sz w:val="28"/>
          <w:szCs w:val="28"/>
        </w:rPr>
        <w:t xml:space="preserve">§ </w:t>
      </w:r>
      <w:r w:rsidR="00F92AF4">
        <w:rPr>
          <w:sz w:val="28"/>
          <w:szCs w:val="28"/>
        </w:rPr>
        <w:t>14-5310 concern procedures that must be followed in requesting relief.</w:t>
      </w:r>
    </w:p>
    <w:p w14:paraId="7B2ACC6E" w14:textId="0FB60B58" w:rsidR="00E82CAE" w:rsidRPr="00E82CAE" w:rsidRDefault="00E82CAE" w:rsidP="00E82CAE">
      <w:pPr>
        <w:pStyle w:val="ListParagraph"/>
        <w:spacing w:before="240" w:line="480" w:lineRule="auto"/>
        <w:ind w:left="0" w:firstLine="720"/>
        <w:jc w:val="both"/>
        <w:rPr>
          <w:sz w:val="28"/>
          <w:szCs w:val="28"/>
        </w:rPr>
      </w:pPr>
      <w:r w:rsidRPr="009F6496">
        <w:rPr>
          <w:i/>
          <w:sz w:val="28"/>
          <w:szCs w:val="28"/>
        </w:rPr>
        <w:t>Form 2-S</w:t>
      </w:r>
      <w:r w:rsidR="00AE4EBC" w:rsidRPr="009F6496">
        <w:rPr>
          <w:i/>
          <w:sz w:val="28"/>
          <w:szCs w:val="28"/>
        </w:rPr>
        <w:t>:</w:t>
      </w:r>
      <w:r w:rsidR="00AE4EBC">
        <w:rPr>
          <w:sz w:val="28"/>
          <w:szCs w:val="28"/>
        </w:rPr>
        <w:t xml:space="preserve"> </w:t>
      </w:r>
      <w:r w:rsidR="00347816">
        <w:rPr>
          <w:sz w:val="28"/>
          <w:szCs w:val="28"/>
        </w:rPr>
        <w:t xml:space="preserve">Judge McDougall pointed out a grammatical error in Form 2-S, </w:t>
      </w:r>
      <w:r w:rsidR="00A76878">
        <w:rPr>
          <w:sz w:val="28"/>
          <w:szCs w:val="28"/>
        </w:rPr>
        <w:t xml:space="preserve">subpart </w:t>
      </w:r>
      <w:r w:rsidR="00347816">
        <w:rPr>
          <w:sz w:val="28"/>
          <w:szCs w:val="28"/>
        </w:rPr>
        <w:t>E.</w:t>
      </w:r>
      <w:r w:rsidR="001B7870">
        <w:rPr>
          <w:sz w:val="28"/>
          <w:szCs w:val="28"/>
        </w:rPr>
        <w:t xml:space="preserve"> </w:t>
      </w:r>
      <w:r w:rsidR="00347816">
        <w:rPr>
          <w:sz w:val="28"/>
          <w:szCs w:val="28"/>
        </w:rPr>
        <w:t xml:space="preserve"> </w:t>
      </w:r>
      <w:r w:rsidR="00AE4EBC">
        <w:rPr>
          <w:sz w:val="28"/>
          <w:szCs w:val="28"/>
        </w:rPr>
        <w:t>T</w:t>
      </w:r>
      <w:r w:rsidR="00347816">
        <w:rPr>
          <w:sz w:val="28"/>
          <w:szCs w:val="28"/>
        </w:rPr>
        <w:t xml:space="preserve">he Editorial Group corrected that </w:t>
      </w:r>
      <w:r w:rsidR="00F75A5F">
        <w:rPr>
          <w:sz w:val="28"/>
          <w:szCs w:val="28"/>
        </w:rPr>
        <w:t>error.</w:t>
      </w:r>
    </w:p>
    <w:p w14:paraId="33F18DAD" w14:textId="55DDE30B" w:rsidR="00E82CAE" w:rsidRPr="00E82CAE" w:rsidRDefault="00E82CAE" w:rsidP="00E82CAE">
      <w:pPr>
        <w:pStyle w:val="ListParagraph"/>
        <w:spacing w:before="240" w:line="480" w:lineRule="auto"/>
        <w:ind w:left="0" w:firstLine="720"/>
        <w:jc w:val="both"/>
        <w:rPr>
          <w:sz w:val="28"/>
          <w:szCs w:val="28"/>
        </w:rPr>
      </w:pPr>
      <w:r w:rsidRPr="00E82CAE">
        <w:rPr>
          <w:b/>
          <w:i/>
          <w:sz w:val="28"/>
          <w:szCs w:val="28"/>
        </w:rPr>
        <w:t>Comment from Mr. Beckett</w:t>
      </w:r>
      <w:r w:rsidR="00917158">
        <w:rPr>
          <w:b/>
          <w:i/>
          <w:sz w:val="28"/>
          <w:szCs w:val="28"/>
        </w:rPr>
        <w:t xml:space="preserve"> and Ms. Swartz</w:t>
      </w:r>
      <w:r w:rsidRPr="001B7870">
        <w:rPr>
          <w:b/>
          <w:i/>
          <w:sz w:val="28"/>
          <w:szCs w:val="28"/>
        </w:rPr>
        <w:t>.</w:t>
      </w:r>
      <w:r w:rsidRPr="001B7870">
        <w:rPr>
          <w:sz w:val="28"/>
          <w:szCs w:val="28"/>
        </w:rPr>
        <w:t xml:space="preserve">  </w:t>
      </w:r>
      <w:r w:rsidRPr="00E82CAE">
        <w:rPr>
          <w:sz w:val="28"/>
          <w:szCs w:val="28"/>
        </w:rPr>
        <w:t xml:space="preserve">Proposed Rule 45 (“conservator’s inventory, budget, and account”) </w:t>
      </w:r>
      <w:r w:rsidR="00354C5E" w:rsidRPr="00E82CAE">
        <w:rPr>
          <w:sz w:val="28"/>
          <w:szCs w:val="28"/>
        </w:rPr>
        <w:t>require</w:t>
      </w:r>
      <w:r w:rsidR="00354C5E">
        <w:rPr>
          <w:sz w:val="28"/>
          <w:szCs w:val="28"/>
        </w:rPr>
        <w:t>d</w:t>
      </w:r>
      <w:r w:rsidR="00354C5E" w:rsidRPr="00E82CAE">
        <w:rPr>
          <w:sz w:val="28"/>
          <w:szCs w:val="28"/>
        </w:rPr>
        <w:t xml:space="preserve"> </w:t>
      </w:r>
      <w:r w:rsidRPr="00E82CAE">
        <w:rPr>
          <w:sz w:val="28"/>
          <w:szCs w:val="28"/>
        </w:rPr>
        <w:t xml:space="preserve">the filing of an account within 60 days after the anniversary date of the issuance of the conservator’s letters.  </w:t>
      </w:r>
      <w:r w:rsidR="00DA59E0">
        <w:rPr>
          <w:sz w:val="28"/>
          <w:szCs w:val="28"/>
        </w:rPr>
        <w:t>These comments</w:t>
      </w:r>
      <w:r w:rsidRPr="00E82CAE">
        <w:rPr>
          <w:sz w:val="28"/>
          <w:szCs w:val="28"/>
        </w:rPr>
        <w:t xml:space="preserve"> contended that for logistical reasons, including the</w:t>
      </w:r>
      <w:r w:rsidR="00874C81">
        <w:rPr>
          <w:sz w:val="28"/>
          <w:szCs w:val="28"/>
        </w:rPr>
        <w:t xml:space="preserve"> </w:t>
      </w:r>
      <w:r w:rsidRPr="00E82CAE">
        <w:rPr>
          <w:sz w:val="28"/>
          <w:szCs w:val="28"/>
        </w:rPr>
        <w:t>unavailability of statements</w:t>
      </w:r>
      <w:r w:rsidR="00EE4CFD">
        <w:rPr>
          <w:sz w:val="28"/>
          <w:szCs w:val="28"/>
        </w:rPr>
        <w:t xml:space="preserve"> from financial institutions</w:t>
      </w:r>
      <w:r w:rsidRPr="00E82CAE">
        <w:rPr>
          <w:sz w:val="28"/>
          <w:szCs w:val="28"/>
        </w:rPr>
        <w:t xml:space="preserve">, this period </w:t>
      </w:r>
      <w:r w:rsidR="00873540">
        <w:rPr>
          <w:sz w:val="28"/>
          <w:szCs w:val="28"/>
        </w:rPr>
        <w:t>was</w:t>
      </w:r>
      <w:r w:rsidRPr="00E82CAE">
        <w:rPr>
          <w:sz w:val="28"/>
          <w:szCs w:val="28"/>
        </w:rPr>
        <w:t xml:space="preserve"> too short</w:t>
      </w:r>
      <w:r w:rsidR="00873540">
        <w:rPr>
          <w:sz w:val="28"/>
          <w:szCs w:val="28"/>
        </w:rPr>
        <w:t>.</w:t>
      </w:r>
      <w:r w:rsidRPr="00E82CAE">
        <w:rPr>
          <w:sz w:val="28"/>
          <w:szCs w:val="28"/>
        </w:rPr>
        <w:t xml:space="preserve">  </w:t>
      </w:r>
      <w:r w:rsidR="00DA59E0">
        <w:rPr>
          <w:sz w:val="28"/>
          <w:szCs w:val="28"/>
        </w:rPr>
        <w:t>They</w:t>
      </w:r>
      <w:r w:rsidR="00DA59E0" w:rsidRPr="00E82CAE">
        <w:rPr>
          <w:sz w:val="28"/>
          <w:szCs w:val="28"/>
        </w:rPr>
        <w:t xml:space="preserve"> </w:t>
      </w:r>
      <w:r w:rsidRPr="00E82CAE">
        <w:rPr>
          <w:sz w:val="28"/>
          <w:szCs w:val="28"/>
        </w:rPr>
        <w:t xml:space="preserve">requested changing 60 days in Rule 45 to </w:t>
      </w:r>
      <w:r w:rsidR="00873540">
        <w:rPr>
          <w:sz w:val="28"/>
          <w:szCs w:val="28"/>
        </w:rPr>
        <w:t xml:space="preserve">the current </w:t>
      </w:r>
      <w:r w:rsidRPr="00E82CAE">
        <w:rPr>
          <w:sz w:val="28"/>
          <w:szCs w:val="28"/>
        </w:rPr>
        <w:t xml:space="preserve">90 days.  </w:t>
      </w:r>
      <w:r w:rsidR="00EE4CFD">
        <w:rPr>
          <w:sz w:val="28"/>
          <w:szCs w:val="28"/>
        </w:rPr>
        <w:t>A</w:t>
      </w:r>
      <w:r w:rsidR="009643A3">
        <w:rPr>
          <w:sz w:val="28"/>
          <w:szCs w:val="28"/>
        </w:rPr>
        <w:t>fter</w:t>
      </w:r>
      <w:r w:rsidR="00874C81">
        <w:rPr>
          <w:sz w:val="28"/>
          <w:szCs w:val="28"/>
        </w:rPr>
        <w:t xml:space="preserve"> discussion, </w:t>
      </w:r>
      <w:r w:rsidR="00803A2A">
        <w:rPr>
          <w:sz w:val="28"/>
          <w:szCs w:val="28"/>
        </w:rPr>
        <w:t xml:space="preserve">the Task Force </w:t>
      </w:r>
      <w:r w:rsidR="00DA59E0">
        <w:rPr>
          <w:sz w:val="28"/>
          <w:szCs w:val="28"/>
        </w:rPr>
        <w:t>agreed,</w:t>
      </w:r>
      <w:r w:rsidR="009643A3">
        <w:rPr>
          <w:sz w:val="28"/>
          <w:szCs w:val="28"/>
        </w:rPr>
        <w:t xml:space="preserve"> </w:t>
      </w:r>
      <w:r w:rsidR="00803A2A">
        <w:rPr>
          <w:sz w:val="28"/>
          <w:szCs w:val="28"/>
        </w:rPr>
        <w:t>and revised the rule accordingly</w:t>
      </w:r>
      <w:r w:rsidR="008056ED">
        <w:rPr>
          <w:sz w:val="28"/>
          <w:szCs w:val="28"/>
        </w:rPr>
        <w:t>.</w:t>
      </w:r>
    </w:p>
    <w:p w14:paraId="280B8C5B" w14:textId="3E1B96E8" w:rsidR="00391FD6" w:rsidRDefault="00917158" w:rsidP="00E82CAE">
      <w:pPr>
        <w:pStyle w:val="ListParagraph"/>
        <w:spacing w:before="240" w:line="480" w:lineRule="auto"/>
        <w:ind w:left="0" w:firstLine="720"/>
        <w:jc w:val="both"/>
        <w:rPr>
          <w:sz w:val="28"/>
          <w:szCs w:val="28"/>
        </w:rPr>
      </w:pPr>
      <w:r>
        <w:rPr>
          <w:b/>
          <w:i/>
          <w:sz w:val="28"/>
          <w:szCs w:val="28"/>
        </w:rPr>
        <w:lastRenderedPageBreak/>
        <w:t xml:space="preserve">Additional </w:t>
      </w:r>
      <w:r w:rsidR="00E82CAE" w:rsidRPr="00E82CAE">
        <w:rPr>
          <w:b/>
          <w:i/>
          <w:sz w:val="28"/>
          <w:szCs w:val="28"/>
        </w:rPr>
        <w:t>Comment from Ms. Swartz.</w:t>
      </w:r>
      <w:r w:rsidR="00E82CAE" w:rsidRPr="00E82CAE">
        <w:rPr>
          <w:sz w:val="28"/>
          <w:szCs w:val="28"/>
        </w:rPr>
        <w:t xml:space="preserve">  </w:t>
      </w:r>
      <w:r w:rsidR="00DA59E0" w:rsidRPr="00E82CAE">
        <w:rPr>
          <w:sz w:val="28"/>
          <w:szCs w:val="28"/>
        </w:rPr>
        <w:t xml:space="preserve">Ms. Swartz </w:t>
      </w:r>
      <w:r w:rsidR="00DA59E0">
        <w:rPr>
          <w:sz w:val="28"/>
          <w:szCs w:val="28"/>
        </w:rPr>
        <w:t xml:space="preserve">suggested </w:t>
      </w:r>
      <w:r w:rsidR="00DA59E0" w:rsidRPr="00E82CAE">
        <w:rPr>
          <w:sz w:val="28"/>
          <w:szCs w:val="28"/>
        </w:rPr>
        <w:t xml:space="preserve">that </w:t>
      </w:r>
      <w:r w:rsidR="00DA59E0">
        <w:rPr>
          <w:sz w:val="28"/>
          <w:szCs w:val="28"/>
        </w:rPr>
        <w:t xml:space="preserve">proposed </w:t>
      </w:r>
      <w:r w:rsidR="00DA59E0" w:rsidRPr="00E82CAE">
        <w:rPr>
          <w:sz w:val="28"/>
          <w:szCs w:val="28"/>
        </w:rPr>
        <w:t xml:space="preserve">Rule 36(b) (“restrictions on authority”), which </w:t>
      </w:r>
      <w:r w:rsidR="00DA59E0">
        <w:rPr>
          <w:sz w:val="28"/>
          <w:szCs w:val="28"/>
        </w:rPr>
        <w:t>mandates</w:t>
      </w:r>
      <w:r w:rsidR="00DA59E0" w:rsidRPr="00E82CAE">
        <w:rPr>
          <w:sz w:val="28"/>
          <w:szCs w:val="28"/>
        </w:rPr>
        <w:t xml:space="preserve"> the use of Form 10, be changed </w:t>
      </w:r>
      <w:r w:rsidR="00DA59E0">
        <w:rPr>
          <w:sz w:val="28"/>
          <w:szCs w:val="28"/>
        </w:rPr>
        <w:t xml:space="preserve">to </w:t>
      </w:r>
      <w:r w:rsidR="00DA59E0" w:rsidRPr="00E82CAE">
        <w:rPr>
          <w:sz w:val="28"/>
          <w:szCs w:val="28"/>
        </w:rPr>
        <w:t>recommend</w:t>
      </w:r>
      <w:r w:rsidR="00DA59E0">
        <w:rPr>
          <w:sz w:val="28"/>
          <w:szCs w:val="28"/>
        </w:rPr>
        <w:t xml:space="preserve"> rather than to require use of that form</w:t>
      </w:r>
      <w:r w:rsidR="00DA59E0" w:rsidRPr="00E82CAE">
        <w:rPr>
          <w:sz w:val="28"/>
          <w:szCs w:val="28"/>
        </w:rPr>
        <w:t xml:space="preserve">.  </w:t>
      </w:r>
      <w:r w:rsidR="001E39D3">
        <w:rPr>
          <w:sz w:val="28"/>
          <w:szCs w:val="28"/>
        </w:rPr>
        <w:t>A</w:t>
      </w:r>
      <w:r w:rsidR="00DA59E0">
        <w:rPr>
          <w:sz w:val="28"/>
          <w:szCs w:val="28"/>
        </w:rPr>
        <w:t xml:space="preserve">lthough </w:t>
      </w:r>
      <w:r w:rsidR="00E923E6">
        <w:rPr>
          <w:sz w:val="28"/>
          <w:szCs w:val="28"/>
        </w:rPr>
        <w:t>banks formerly were</w:t>
      </w:r>
      <w:r w:rsidR="00E923E6" w:rsidRPr="00E82CAE">
        <w:rPr>
          <w:sz w:val="28"/>
          <w:szCs w:val="28"/>
        </w:rPr>
        <w:t xml:space="preserve"> the only custodians used for conservatorship accounts, restricted funds </w:t>
      </w:r>
      <w:r w:rsidR="00DA59E0">
        <w:rPr>
          <w:sz w:val="28"/>
          <w:szCs w:val="28"/>
        </w:rPr>
        <w:t xml:space="preserve">are now regularly placed </w:t>
      </w:r>
      <w:r w:rsidR="00E923E6" w:rsidRPr="00E82CAE">
        <w:rPr>
          <w:sz w:val="28"/>
          <w:szCs w:val="28"/>
        </w:rPr>
        <w:t xml:space="preserve">in brokerage </w:t>
      </w:r>
      <w:r w:rsidR="009F6496">
        <w:rPr>
          <w:sz w:val="28"/>
          <w:szCs w:val="28"/>
        </w:rPr>
        <w:t>accounts</w:t>
      </w:r>
      <w:r w:rsidR="009F6496" w:rsidRPr="00E82CAE">
        <w:rPr>
          <w:sz w:val="28"/>
          <w:szCs w:val="28"/>
        </w:rPr>
        <w:t xml:space="preserve"> </w:t>
      </w:r>
      <w:r w:rsidR="00E923E6" w:rsidRPr="00E82CAE">
        <w:rPr>
          <w:sz w:val="28"/>
          <w:szCs w:val="28"/>
        </w:rPr>
        <w:t xml:space="preserve">rather than </w:t>
      </w:r>
      <w:r w:rsidR="009F6496">
        <w:rPr>
          <w:sz w:val="28"/>
          <w:szCs w:val="28"/>
        </w:rPr>
        <w:t xml:space="preserve">low or no-interest </w:t>
      </w:r>
      <w:r w:rsidR="00E923E6" w:rsidRPr="00E82CAE">
        <w:rPr>
          <w:sz w:val="28"/>
          <w:szCs w:val="28"/>
        </w:rPr>
        <w:t>bank</w:t>
      </w:r>
      <w:r w:rsidR="009F6496">
        <w:rPr>
          <w:sz w:val="28"/>
          <w:szCs w:val="28"/>
        </w:rPr>
        <w:t xml:space="preserve"> account</w:t>
      </w:r>
      <w:r w:rsidR="00E923E6" w:rsidRPr="00E82CAE">
        <w:rPr>
          <w:sz w:val="28"/>
          <w:szCs w:val="28"/>
        </w:rPr>
        <w:t xml:space="preserve">s. </w:t>
      </w:r>
      <w:r w:rsidR="00E923E6">
        <w:rPr>
          <w:sz w:val="28"/>
          <w:szCs w:val="28"/>
        </w:rPr>
        <w:t xml:space="preserve"> </w:t>
      </w:r>
      <w:r w:rsidR="001E39D3">
        <w:rPr>
          <w:sz w:val="28"/>
          <w:szCs w:val="28"/>
        </w:rPr>
        <w:t>Ms. Swartz</w:t>
      </w:r>
      <w:r w:rsidR="00E82CAE" w:rsidRPr="00E82CAE">
        <w:rPr>
          <w:sz w:val="28"/>
          <w:szCs w:val="28"/>
        </w:rPr>
        <w:t xml:space="preserve"> noted that some brokerage institutions prefer to use their own proofs of restricted </w:t>
      </w:r>
      <w:r w:rsidR="00B66D54" w:rsidRPr="00E82CAE">
        <w:rPr>
          <w:sz w:val="28"/>
          <w:szCs w:val="28"/>
        </w:rPr>
        <w:t>account</w:t>
      </w:r>
      <w:r w:rsidR="00B66D54">
        <w:rPr>
          <w:sz w:val="28"/>
          <w:szCs w:val="28"/>
        </w:rPr>
        <w:t xml:space="preserve"> </w:t>
      </w:r>
      <w:r w:rsidR="00DA59E0">
        <w:rPr>
          <w:sz w:val="28"/>
          <w:szCs w:val="28"/>
        </w:rPr>
        <w:t xml:space="preserve">forms </w:t>
      </w:r>
      <w:r w:rsidR="00B66D54">
        <w:rPr>
          <w:sz w:val="28"/>
          <w:szCs w:val="28"/>
        </w:rPr>
        <w:t>or</w:t>
      </w:r>
      <w:r w:rsidR="000375F7">
        <w:rPr>
          <w:sz w:val="28"/>
          <w:szCs w:val="28"/>
        </w:rPr>
        <w:t xml:space="preserve"> </w:t>
      </w:r>
      <w:r w:rsidR="00E82CAE" w:rsidRPr="00E82CAE">
        <w:rPr>
          <w:sz w:val="28"/>
          <w:szCs w:val="28"/>
        </w:rPr>
        <w:t>insert</w:t>
      </w:r>
      <w:r w:rsidR="00AE4EBC">
        <w:rPr>
          <w:sz w:val="28"/>
          <w:szCs w:val="28"/>
        </w:rPr>
        <w:t xml:space="preserve"> </w:t>
      </w:r>
      <w:r w:rsidR="007405B2" w:rsidRPr="00E82CAE">
        <w:rPr>
          <w:sz w:val="28"/>
          <w:szCs w:val="28"/>
        </w:rPr>
        <w:t>into Form 10</w:t>
      </w:r>
      <w:r w:rsidR="007405B2">
        <w:rPr>
          <w:sz w:val="28"/>
          <w:szCs w:val="28"/>
        </w:rPr>
        <w:t xml:space="preserve"> some</w:t>
      </w:r>
      <w:r w:rsidR="00E82CAE" w:rsidRPr="00E82CAE">
        <w:rPr>
          <w:sz w:val="28"/>
          <w:szCs w:val="28"/>
        </w:rPr>
        <w:t xml:space="preserve"> of their own provisions</w:t>
      </w:r>
      <w:r w:rsidR="00E923E6">
        <w:rPr>
          <w:sz w:val="28"/>
          <w:szCs w:val="28"/>
        </w:rPr>
        <w:t xml:space="preserve"> concerning account management and fees</w:t>
      </w:r>
      <w:r w:rsidR="00AE4EBC">
        <w:rPr>
          <w:sz w:val="28"/>
          <w:szCs w:val="28"/>
        </w:rPr>
        <w:t>, so the form is often modified</w:t>
      </w:r>
      <w:r w:rsidR="00E923E6">
        <w:rPr>
          <w:sz w:val="28"/>
          <w:szCs w:val="28"/>
        </w:rPr>
        <w:t xml:space="preserve">.  </w:t>
      </w:r>
      <w:r w:rsidR="005F543F">
        <w:rPr>
          <w:sz w:val="28"/>
          <w:szCs w:val="28"/>
        </w:rPr>
        <w:t>Me</w:t>
      </w:r>
      <w:r w:rsidR="00E923E6">
        <w:rPr>
          <w:sz w:val="28"/>
          <w:szCs w:val="28"/>
        </w:rPr>
        <w:t>mbers were</w:t>
      </w:r>
      <w:r w:rsidR="00E82CAE" w:rsidRPr="00E82CAE">
        <w:rPr>
          <w:sz w:val="28"/>
          <w:szCs w:val="28"/>
        </w:rPr>
        <w:t xml:space="preserve"> concerned that a brokerage-generated form</w:t>
      </w:r>
      <w:r w:rsidR="007405B2">
        <w:rPr>
          <w:sz w:val="28"/>
          <w:szCs w:val="28"/>
        </w:rPr>
        <w:t xml:space="preserve">, or </w:t>
      </w:r>
      <w:r w:rsidR="00DA59E0">
        <w:rPr>
          <w:sz w:val="28"/>
          <w:szCs w:val="28"/>
        </w:rPr>
        <w:t xml:space="preserve">individual </w:t>
      </w:r>
      <w:r w:rsidR="007405B2">
        <w:rPr>
          <w:sz w:val="28"/>
          <w:szCs w:val="28"/>
        </w:rPr>
        <w:t>modification</w:t>
      </w:r>
      <w:r w:rsidR="00DA59E0">
        <w:rPr>
          <w:sz w:val="28"/>
          <w:szCs w:val="28"/>
        </w:rPr>
        <w:t>s</w:t>
      </w:r>
      <w:r w:rsidR="007405B2">
        <w:rPr>
          <w:sz w:val="28"/>
          <w:szCs w:val="28"/>
        </w:rPr>
        <w:t xml:space="preserve"> of Form 10</w:t>
      </w:r>
      <w:r w:rsidR="000375F7">
        <w:rPr>
          <w:sz w:val="28"/>
          <w:szCs w:val="28"/>
        </w:rPr>
        <w:t>’s</w:t>
      </w:r>
      <w:r w:rsidR="007405B2">
        <w:rPr>
          <w:sz w:val="28"/>
          <w:szCs w:val="28"/>
        </w:rPr>
        <w:t xml:space="preserve"> provision</w:t>
      </w:r>
      <w:r w:rsidR="000375F7">
        <w:rPr>
          <w:sz w:val="28"/>
          <w:szCs w:val="28"/>
        </w:rPr>
        <w:t>s</w:t>
      </w:r>
      <w:r w:rsidR="007405B2">
        <w:rPr>
          <w:sz w:val="28"/>
          <w:szCs w:val="28"/>
        </w:rPr>
        <w:t>,</w:t>
      </w:r>
      <w:r w:rsidR="00E82CAE" w:rsidRPr="00E82CAE">
        <w:rPr>
          <w:sz w:val="28"/>
          <w:szCs w:val="28"/>
        </w:rPr>
        <w:t xml:space="preserve"> might not</w:t>
      </w:r>
      <w:r w:rsidR="00AE4EBC">
        <w:rPr>
          <w:sz w:val="28"/>
          <w:szCs w:val="28"/>
        </w:rPr>
        <w:t xml:space="preserve"> </w:t>
      </w:r>
      <w:r w:rsidR="00E82CAE" w:rsidRPr="00E82CAE">
        <w:rPr>
          <w:sz w:val="28"/>
          <w:szCs w:val="28"/>
        </w:rPr>
        <w:t xml:space="preserve">adequately restrict </w:t>
      </w:r>
      <w:r w:rsidR="000375F7">
        <w:rPr>
          <w:sz w:val="28"/>
          <w:szCs w:val="28"/>
        </w:rPr>
        <w:t>an</w:t>
      </w:r>
      <w:r w:rsidR="00E82CAE" w:rsidRPr="00E82CAE">
        <w:rPr>
          <w:sz w:val="28"/>
          <w:szCs w:val="28"/>
        </w:rPr>
        <w:t xml:space="preserve"> account.  </w:t>
      </w:r>
      <w:r w:rsidR="00211539">
        <w:rPr>
          <w:sz w:val="28"/>
          <w:szCs w:val="28"/>
        </w:rPr>
        <w:t xml:space="preserve">The Task Force </w:t>
      </w:r>
      <w:r w:rsidR="00310221">
        <w:rPr>
          <w:sz w:val="28"/>
          <w:szCs w:val="28"/>
        </w:rPr>
        <w:t>directed</w:t>
      </w:r>
      <w:r w:rsidR="002D4CC8">
        <w:rPr>
          <w:sz w:val="28"/>
          <w:szCs w:val="28"/>
        </w:rPr>
        <w:t xml:space="preserve"> the Editorial Group to </w:t>
      </w:r>
      <w:r w:rsidR="009F6496">
        <w:rPr>
          <w:sz w:val="28"/>
          <w:szCs w:val="28"/>
        </w:rPr>
        <w:t>modify</w:t>
      </w:r>
      <w:r w:rsidR="002D4CC8">
        <w:rPr>
          <w:sz w:val="28"/>
          <w:szCs w:val="28"/>
        </w:rPr>
        <w:t xml:space="preserve"> </w:t>
      </w:r>
      <w:r w:rsidR="00E82CAE" w:rsidRPr="00E82CAE">
        <w:rPr>
          <w:sz w:val="28"/>
          <w:szCs w:val="28"/>
        </w:rPr>
        <w:t>Rule 36(b)</w:t>
      </w:r>
      <w:r w:rsidR="00C12280">
        <w:rPr>
          <w:sz w:val="28"/>
          <w:szCs w:val="28"/>
        </w:rPr>
        <w:t>(2)</w:t>
      </w:r>
      <w:r w:rsidR="00E82CAE" w:rsidRPr="00E82CAE">
        <w:rPr>
          <w:sz w:val="28"/>
          <w:szCs w:val="28"/>
        </w:rPr>
        <w:t xml:space="preserve"> </w:t>
      </w:r>
      <w:r w:rsidR="009F6496">
        <w:rPr>
          <w:sz w:val="28"/>
          <w:szCs w:val="28"/>
        </w:rPr>
        <w:t>to</w:t>
      </w:r>
      <w:r w:rsidR="002D4CC8">
        <w:rPr>
          <w:sz w:val="28"/>
          <w:szCs w:val="28"/>
        </w:rPr>
        <w:t xml:space="preserve"> </w:t>
      </w:r>
      <w:r w:rsidR="00DD7A88">
        <w:rPr>
          <w:sz w:val="28"/>
          <w:szCs w:val="28"/>
        </w:rPr>
        <w:t>allow</w:t>
      </w:r>
      <w:r w:rsidR="00C87D9C">
        <w:rPr>
          <w:sz w:val="28"/>
          <w:szCs w:val="28"/>
        </w:rPr>
        <w:t xml:space="preserve"> a fiduciary</w:t>
      </w:r>
      <w:r w:rsidR="00DD7A88">
        <w:rPr>
          <w:sz w:val="28"/>
          <w:szCs w:val="28"/>
        </w:rPr>
        <w:t xml:space="preserve"> to</w:t>
      </w:r>
      <w:r w:rsidR="00C87D9C">
        <w:rPr>
          <w:sz w:val="28"/>
          <w:szCs w:val="28"/>
        </w:rPr>
        <w:t xml:space="preserve"> use </w:t>
      </w:r>
      <w:r w:rsidR="009F6496">
        <w:rPr>
          <w:sz w:val="28"/>
          <w:szCs w:val="28"/>
        </w:rPr>
        <w:t xml:space="preserve">a form </w:t>
      </w:r>
      <w:r>
        <w:rPr>
          <w:sz w:val="28"/>
          <w:szCs w:val="28"/>
        </w:rPr>
        <w:t xml:space="preserve">other than Form 10 </w:t>
      </w:r>
      <w:r w:rsidR="001E39D3">
        <w:rPr>
          <w:sz w:val="28"/>
          <w:szCs w:val="28"/>
        </w:rPr>
        <w:t>if authorized to do so by the court and if that form</w:t>
      </w:r>
      <w:r>
        <w:rPr>
          <w:sz w:val="28"/>
          <w:szCs w:val="28"/>
        </w:rPr>
        <w:t xml:space="preserve"> </w:t>
      </w:r>
      <w:r w:rsidR="009F6496">
        <w:rPr>
          <w:sz w:val="28"/>
          <w:szCs w:val="28"/>
        </w:rPr>
        <w:t>was substantially similar to Form 10</w:t>
      </w:r>
      <w:r w:rsidR="002D4CC8">
        <w:rPr>
          <w:sz w:val="28"/>
          <w:szCs w:val="28"/>
        </w:rPr>
        <w:t>.</w:t>
      </w:r>
    </w:p>
    <w:p w14:paraId="06B2FF08" w14:textId="5548345B" w:rsidR="00E82CAE" w:rsidRPr="00E82CAE" w:rsidRDefault="00354C5E" w:rsidP="00E82CAE">
      <w:pPr>
        <w:pStyle w:val="ListParagraph"/>
        <w:spacing w:before="240" w:line="480" w:lineRule="auto"/>
        <w:ind w:left="0" w:firstLine="720"/>
        <w:jc w:val="both"/>
        <w:rPr>
          <w:sz w:val="28"/>
          <w:szCs w:val="28"/>
        </w:rPr>
      </w:pPr>
      <w:r>
        <w:rPr>
          <w:sz w:val="28"/>
          <w:szCs w:val="28"/>
        </w:rPr>
        <w:t>T</w:t>
      </w:r>
      <w:r w:rsidR="00EC25C9">
        <w:rPr>
          <w:sz w:val="28"/>
          <w:szCs w:val="28"/>
        </w:rPr>
        <w:t>he Editorial Group</w:t>
      </w:r>
      <w:r w:rsidR="00211539">
        <w:rPr>
          <w:sz w:val="28"/>
          <w:szCs w:val="28"/>
        </w:rPr>
        <w:t xml:space="preserve"> concluded </w:t>
      </w:r>
      <w:r>
        <w:rPr>
          <w:sz w:val="28"/>
          <w:szCs w:val="28"/>
        </w:rPr>
        <w:t xml:space="preserve">that </w:t>
      </w:r>
      <w:r w:rsidR="00BA3B98">
        <w:rPr>
          <w:sz w:val="28"/>
          <w:szCs w:val="28"/>
        </w:rPr>
        <w:t xml:space="preserve">the Task Force’s decision to </w:t>
      </w:r>
      <w:r w:rsidR="009F6496">
        <w:rPr>
          <w:sz w:val="28"/>
          <w:szCs w:val="28"/>
        </w:rPr>
        <w:t xml:space="preserve">basically require Form 10, yet </w:t>
      </w:r>
      <w:r w:rsidR="00BA3B98">
        <w:rPr>
          <w:sz w:val="28"/>
          <w:szCs w:val="28"/>
        </w:rPr>
        <w:t xml:space="preserve">allow some </w:t>
      </w:r>
      <w:r w:rsidR="007D716F">
        <w:rPr>
          <w:sz w:val="28"/>
          <w:szCs w:val="28"/>
        </w:rPr>
        <w:t xml:space="preserve">flexibility </w:t>
      </w:r>
      <w:r>
        <w:rPr>
          <w:sz w:val="28"/>
          <w:szCs w:val="28"/>
        </w:rPr>
        <w:t>concerning proof of restricted account</w:t>
      </w:r>
      <w:r w:rsidR="00917158">
        <w:rPr>
          <w:sz w:val="28"/>
          <w:szCs w:val="28"/>
        </w:rPr>
        <w:t>,</w:t>
      </w:r>
      <w:r w:rsidR="00EC25C9">
        <w:rPr>
          <w:sz w:val="28"/>
          <w:szCs w:val="28"/>
        </w:rPr>
        <w:t xml:space="preserve"> could</w:t>
      </w:r>
      <w:r w:rsidR="009F6496">
        <w:rPr>
          <w:sz w:val="28"/>
          <w:szCs w:val="28"/>
        </w:rPr>
        <w:t xml:space="preserve"> best</w:t>
      </w:r>
      <w:r w:rsidR="00EC25C9">
        <w:rPr>
          <w:sz w:val="28"/>
          <w:szCs w:val="28"/>
        </w:rPr>
        <w:t xml:space="preserve"> </w:t>
      </w:r>
      <w:r>
        <w:rPr>
          <w:sz w:val="28"/>
          <w:szCs w:val="28"/>
        </w:rPr>
        <w:t>be</w:t>
      </w:r>
      <w:r w:rsidR="00EC25C9">
        <w:rPr>
          <w:sz w:val="28"/>
          <w:szCs w:val="28"/>
        </w:rPr>
        <w:t xml:space="preserve"> achieved by modifying Form 10</w:t>
      </w:r>
      <w:r>
        <w:rPr>
          <w:sz w:val="28"/>
          <w:szCs w:val="28"/>
        </w:rPr>
        <w:t xml:space="preserve">. </w:t>
      </w:r>
      <w:r w:rsidR="001B7870">
        <w:rPr>
          <w:sz w:val="28"/>
          <w:szCs w:val="28"/>
        </w:rPr>
        <w:t xml:space="preserve"> </w:t>
      </w:r>
      <w:r w:rsidR="009F6496">
        <w:rPr>
          <w:sz w:val="28"/>
          <w:szCs w:val="28"/>
        </w:rPr>
        <w:t>The</w:t>
      </w:r>
      <w:r>
        <w:rPr>
          <w:sz w:val="28"/>
          <w:szCs w:val="28"/>
        </w:rPr>
        <w:t xml:space="preserve"> modified form</w:t>
      </w:r>
      <w:r w:rsidR="003F572A">
        <w:rPr>
          <w:sz w:val="28"/>
          <w:szCs w:val="28"/>
        </w:rPr>
        <w:t>, which is contained in Appendix C</w:t>
      </w:r>
      <w:r w:rsidR="00114A98">
        <w:rPr>
          <w:sz w:val="28"/>
          <w:szCs w:val="28"/>
        </w:rPr>
        <w:t>-R</w:t>
      </w:r>
      <w:r w:rsidR="003F572A">
        <w:rPr>
          <w:sz w:val="28"/>
          <w:szCs w:val="28"/>
        </w:rPr>
        <w:t>,</w:t>
      </w:r>
      <w:r w:rsidR="00D73DCB">
        <w:rPr>
          <w:sz w:val="28"/>
          <w:szCs w:val="28"/>
        </w:rPr>
        <w:t xml:space="preserve"> </w:t>
      </w:r>
      <w:r w:rsidR="00D64FAF">
        <w:rPr>
          <w:sz w:val="28"/>
          <w:szCs w:val="28"/>
        </w:rPr>
        <w:t xml:space="preserve">now </w:t>
      </w:r>
      <w:r w:rsidR="007F1077">
        <w:rPr>
          <w:sz w:val="28"/>
          <w:szCs w:val="28"/>
        </w:rPr>
        <w:t>allow</w:t>
      </w:r>
      <w:r>
        <w:rPr>
          <w:sz w:val="28"/>
          <w:szCs w:val="28"/>
        </w:rPr>
        <w:t>s</w:t>
      </w:r>
      <w:r w:rsidR="007F1077">
        <w:rPr>
          <w:sz w:val="28"/>
          <w:szCs w:val="28"/>
        </w:rPr>
        <w:t xml:space="preserve"> the custodian of a restricted account holding stocks, bonds, or mutual funds to </w:t>
      </w:r>
      <w:r w:rsidR="007F1077" w:rsidRPr="007F1077">
        <w:rPr>
          <w:sz w:val="28"/>
          <w:szCs w:val="28"/>
        </w:rPr>
        <w:t>“i</w:t>
      </w:r>
      <w:r w:rsidR="007F1077" w:rsidRPr="009F6496">
        <w:rPr>
          <w:sz w:val="28"/>
          <w:szCs w:val="28"/>
        </w:rPr>
        <w:t>nvest and reinvest dividends, capital gains, and interest, and withdraw reasonable and customary account management fees, without a court order.”</w:t>
      </w:r>
      <w:r w:rsidR="00A345B8">
        <w:rPr>
          <w:sz w:val="28"/>
          <w:szCs w:val="28"/>
        </w:rPr>
        <w:t xml:space="preserve"> </w:t>
      </w:r>
      <w:r w:rsidR="001B7870">
        <w:rPr>
          <w:sz w:val="28"/>
          <w:szCs w:val="28"/>
        </w:rPr>
        <w:t xml:space="preserve"> </w:t>
      </w:r>
      <w:r w:rsidR="007D716F">
        <w:rPr>
          <w:sz w:val="28"/>
          <w:szCs w:val="28"/>
        </w:rPr>
        <w:t xml:space="preserve">The Editorial Group also modified </w:t>
      </w:r>
      <w:r w:rsidR="008A6506">
        <w:rPr>
          <w:sz w:val="28"/>
          <w:szCs w:val="28"/>
        </w:rPr>
        <w:t>Rule 36(B)</w:t>
      </w:r>
      <w:r w:rsidR="00C12280">
        <w:rPr>
          <w:sz w:val="28"/>
          <w:szCs w:val="28"/>
        </w:rPr>
        <w:t>(2)</w:t>
      </w:r>
      <w:r w:rsidR="008A6506">
        <w:rPr>
          <w:sz w:val="28"/>
          <w:szCs w:val="28"/>
        </w:rPr>
        <w:t xml:space="preserve"> to </w:t>
      </w:r>
      <w:r w:rsidR="007F1077">
        <w:rPr>
          <w:sz w:val="28"/>
          <w:szCs w:val="28"/>
        </w:rPr>
        <w:t>say,</w:t>
      </w:r>
      <w:r w:rsidR="008A6506">
        <w:rPr>
          <w:sz w:val="28"/>
          <w:szCs w:val="28"/>
        </w:rPr>
        <w:t xml:space="preserve"> “</w:t>
      </w:r>
      <w:r w:rsidR="00C12280">
        <w:rPr>
          <w:sz w:val="28"/>
          <w:szCs w:val="28"/>
        </w:rPr>
        <w:t xml:space="preserve">Unless the </w:t>
      </w:r>
      <w:r w:rsidR="00C12280">
        <w:rPr>
          <w:sz w:val="28"/>
          <w:szCs w:val="28"/>
        </w:rPr>
        <w:lastRenderedPageBreak/>
        <w:t>court orders otherwise, the fiduciary is responsible for ensuring that Form 10, proof of restricted account</w:t>
      </w:r>
      <w:r w:rsidR="001B7870">
        <w:rPr>
          <w:sz w:val="28"/>
          <w:szCs w:val="28"/>
        </w:rPr>
        <w:t>,</w:t>
      </w:r>
      <w:r w:rsidR="00C12280">
        <w:rPr>
          <w:sz w:val="28"/>
          <w:szCs w:val="28"/>
        </w:rPr>
        <w:t xml:space="preserve"> is filed not later than 30 days after the Court enters an order restricting the account.”</w:t>
      </w:r>
      <w:r w:rsidR="00D73DCB">
        <w:rPr>
          <w:sz w:val="28"/>
          <w:szCs w:val="28"/>
        </w:rPr>
        <w:t xml:space="preserve"> </w:t>
      </w:r>
      <w:r>
        <w:rPr>
          <w:sz w:val="28"/>
          <w:szCs w:val="28"/>
        </w:rPr>
        <w:t xml:space="preserve"> The Editorial Group believes these changes address Ms. Swartz’ comment and follow the directions of the Task Force.</w:t>
      </w:r>
    </w:p>
    <w:p w14:paraId="1BEE91ED" w14:textId="307AD182" w:rsidR="00E82CAE" w:rsidRPr="00E82CAE" w:rsidRDefault="00E82CAE" w:rsidP="00E82CAE">
      <w:pPr>
        <w:pStyle w:val="ListParagraph"/>
        <w:spacing w:before="240" w:line="480" w:lineRule="auto"/>
        <w:ind w:left="0" w:firstLine="720"/>
        <w:jc w:val="both"/>
        <w:rPr>
          <w:sz w:val="28"/>
          <w:szCs w:val="28"/>
        </w:rPr>
      </w:pPr>
      <w:r w:rsidRPr="00E82CAE">
        <w:rPr>
          <w:b/>
          <w:i/>
          <w:sz w:val="28"/>
          <w:szCs w:val="28"/>
        </w:rPr>
        <w:t>Comment from Ms. Wyant.</w:t>
      </w:r>
      <w:r w:rsidRPr="00E82CAE">
        <w:rPr>
          <w:sz w:val="28"/>
          <w:szCs w:val="28"/>
        </w:rPr>
        <w:t xml:space="preserve">  Ms. Wya</w:t>
      </w:r>
      <w:r w:rsidR="00A34952">
        <w:rPr>
          <w:sz w:val="28"/>
          <w:szCs w:val="28"/>
        </w:rPr>
        <w:t>n</w:t>
      </w:r>
      <w:r w:rsidRPr="00E82CAE">
        <w:rPr>
          <w:sz w:val="28"/>
          <w:szCs w:val="28"/>
        </w:rPr>
        <w:t>t filed a comment on behalf of the Arizona Association of Superior Court Clerks</w:t>
      </w:r>
      <w:r w:rsidR="00874C81">
        <w:rPr>
          <w:sz w:val="28"/>
          <w:szCs w:val="28"/>
        </w:rPr>
        <w:t xml:space="preserve"> that</w:t>
      </w:r>
      <w:r w:rsidRPr="00E82CAE">
        <w:rPr>
          <w:sz w:val="28"/>
          <w:szCs w:val="28"/>
        </w:rPr>
        <w:t xml:space="preserve"> concerned multiple rules</w:t>
      </w:r>
      <w:r w:rsidR="008056ED">
        <w:rPr>
          <w:sz w:val="28"/>
          <w:szCs w:val="28"/>
        </w:rPr>
        <w:t>.</w:t>
      </w:r>
    </w:p>
    <w:p w14:paraId="2A60F788" w14:textId="4CBD5DB8"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6(c) (“definition of party”):</w:t>
      </w:r>
      <w:r w:rsidRPr="00E82CAE">
        <w:rPr>
          <w:sz w:val="28"/>
          <w:szCs w:val="28"/>
        </w:rPr>
        <w:t xml:space="preserve">  The comment suggested that the </w:t>
      </w:r>
      <w:r w:rsidR="00CB4FBA">
        <w:rPr>
          <w:sz w:val="28"/>
          <w:szCs w:val="28"/>
        </w:rPr>
        <w:t>definition</w:t>
      </w:r>
      <w:r w:rsidRPr="00E82CAE">
        <w:rPr>
          <w:sz w:val="28"/>
          <w:szCs w:val="28"/>
        </w:rPr>
        <w:t xml:space="preserve"> of a “party” should include an interven</w:t>
      </w:r>
      <w:r w:rsidR="00310221">
        <w:rPr>
          <w:sz w:val="28"/>
          <w:szCs w:val="28"/>
        </w:rPr>
        <w:t>o</w:t>
      </w:r>
      <w:r w:rsidRPr="00E82CAE">
        <w:rPr>
          <w:sz w:val="28"/>
          <w:szCs w:val="28"/>
        </w:rPr>
        <w:t>r</w:t>
      </w:r>
      <w:r w:rsidR="00DD49F3">
        <w:rPr>
          <w:sz w:val="28"/>
          <w:szCs w:val="28"/>
        </w:rPr>
        <w:t xml:space="preserve">. </w:t>
      </w:r>
      <w:r w:rsidR="00737719">
        <w:rPr>
          <w:sz w:val="28"/>
          <w:szCs w:val="28"/>
        </w:rPr>
        <w:t xml:space="preserve"> </w:t>
      </w:r>
      <w:r w:rsidR="00DD49F3">
        <w:rPr>
          <w:sz w:val="28"/>
          <w:szCs w:val="28"/>
        </w:rPr>
        <w:t>The</w:t>
      </w:r>
      <w:r w:rsidR="00803A2A">
        <w:rPr>
          <w:sz w:val="28"/>
          <w:szCs w:val="28"/>
        </w:rPr>
        <w:t xml:space="preserve"> </w:t>
      </w:r>
      <w:r w:rsidR="00874C81">
        <w:rPr>
          <w:sz w:val="28"/>
          <w:szCs w:val="28"/>
        </w:rPr>
        <w:t>Task Force</w:t>
      </w:r>
      <w:r w:rsidRPr="00E82CAE">
        <w:rPr>
          <w:sz w:val="28"/>
          <w:szCs w:val="28"/>
        </w:rPr>
        <w:t xml:space="preserve"> </w:t>
      </w:r>
      <w:r w:rsidR="007F1077">
        <w:rPr>
          <w:sz w:val="28"/>
          <w:szCs w:val="28"/>
        </w:rPr>
        <w:t>agreed and</w:t>
      </w:r>
      <w:r w:rsidR="005F543F">
        <w:rPr>
          <w:sz w:val="28"/>
          <w:szCs w:val="28"/>
        </w:rPr>
        <w:t xml:space="preserve"> modified the rule accordingly</w:t>
      </w:r>
      <w:r w:rsidR="00803A2A">
        <w:rPr>
          <w:sz w:val="28"/>
          <w:szCs w:val="28"/>
        </w:rPr>
        <w:t>.</w:t>
      </w:r>
    </w:p>
    <w:p w14:paraId="6504EC5A" w14:textId="0DF7E7F3"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7(c) (“continuation of a conservatorship or other protective order</w:t>
      </w:r>
      <w:r w:rsidR="00CA48D5">
        <w:rPr>
          <w:i/>
          <w:sz w:val="28"/>
          <w:szCs w:val="28"/>
        </w:rPr>
        <w:t>,</w:t>
      </w:r>
      <w:r w:rsidRPr="00E82CAE">
        <w:rPr>
          <w:i/>
          <w:sz w:val="28"/>
          <w:szCs w:val="28"/>
        </w:rPr>
        <w:t>”</w:t>
      </w:r>
      <w:r w:rsidR="00CA48D5">
        <w:rPr>
          <w:i/>
          <w:sz w:val="28"/>
          <w:szCs w:val="28"/>
        </w:rPr>
        <w:t xml:space="preserve"> now renumbered as Rule 7(d)</w:t>
      </w:r>
      <w:r w:rsidRPr="00E82CAE">
        <w:rPr>
          <w:i/>
          <w:sz w:val="28"/>
          <w:szCs w:val="28"/>
        </w:rPr>
        <w:t>):</w:t>
      </w:r>
      <w:r w:rsidRPr="00E82CAE">
        <w:rPr>
          <w:sz w:val="28"/>
          <w:szCs w:val="28"/>
        </w:rPr>
        <w:t xml:space="preserve"> The comment opposed the proposed rule’s requirement </w:t>
      </w:r>
      <w:r w:rsidR="0050332D">
        <w:rPr>
          <w:sz w:val="28"/>
          <w:szCs w:val="28"/>
        </w:rPr>
        <w:t>to</w:t>
      </w:r>
      <w:r w:rsidR="007405B2">
        <w:rPr>
          <w:sz w:val="28"/>
          <w:szCs w:val="28"/>
        </w:rPr>
        <w:t xml:space="preserve"> chang</w:t>
      </w:r>
      <w:r w:rsidR="0050332D">
        <w:rPr>
          <w:sz w:val="28"/>
          <w:szCs w:val="28"/>
        </w:rPr>
        <w:t>e</w:t>
      </w:r>
      <w:r w:rsidRPr="00E82CAE">
        <w:rPr>
          <w:sz w:val="28"/>
          <w:szCs w:val="28"/>
        </w:rPr>
        <w:t xml:space="preserve"> the </w:t>
      </w:r>
      <w:r w:rsidR="0050332D">
        <w:rPr>
          <w:sz w:val="28"/>
          <w:szCs w:val="28"/>
        </w:rPr>
        <w:t xml:space="preserve">case </w:t>
      </w:r>
      <w:r w:rsidRPr="00E82CAE">
        <w:rPr>
          <w:sz w:val="28"/>
          <w:szCs w:val="28"/>
        </w:rPr>
        <w:t xml:space="preserve">caption when a minor guardianship or minor conservatorship </w:t>
      </w:r>
      <w:r w:rsidR="0050332D">
        <w:rPr>
          <w:sz w:val="28"/>
          <w:szCs w:val="28"/>
        </w:rPr>
        <w:t>becomes</w:t>
      </w:r>
      <w:r w:rsidRPr="00E82CAE">
        <w:rPr>
          <w:sz w:val="28"/>
          <w:szCs w:val="28"/>
        </w:rPr>
        <w:t xml:space="preserve"> an adult guardianship or conservatorship </w:t>
      </w:r>
      <w:r w:rsidR="00CB4FBA">
        <w:rPr>
          <w:sz w:val="28"/>
          <w:szCs w:val="28"/>
        </w:rPr>
        <w:t>once</w:t>
      </w:r>
      <w:r w:rsidRPr="00E82CAE">
        <w:rPr>
          <w:sz w:val="28"/>
          <w:szCs w:val="28"/>
        </w:rPr>
        <w:t xml:space="preserve"> the subject person reaches the age of majority.  The comment </w:t>
      </w:r>
      <w:r w:rsidR="00F35B86">
        <w:rPr>
          <w:sz w:val="28"/>
          <w:szCs w:val="28"/>
        </w:rPr>
        <w:t xml:space="preserve">explained </w:t>
      </w:r>
      <w:r w:rsidRPr="00E82CAE">
        <w:rPr>
          <w:sz w:val="28"/>
          <w:szCs w:val="28"/>
        </w:rPr>
        <w:t xml:space="preserve">that Maricopa County’s case management system </w:t>
      </w:r>
      <w:r w:rsidR="00D64FAF" w:rsidRPr="009C2ED5">
        <w:rPr>
          <w:sz w:val="28"/>
          <w:szCs w:val="28"/>
        </w:rPr>
        <w:t>cannot</w:t>
      </w:r>
      <w:r w:rsidR="00D64FAF">
        <w:rPr>
          <w:sz w:val="28"/>
          <w:szCs w:val="28"/>
        </w:rPr>
        <w:t xml:space="preserve"> </w:t>
      </w:r>
      <w:r w:rsidRPr="00E82CAE">
        <w:rPr>
          <w:sz w:val="28"/>
          <w:szCs w:val="28"/>
        </w:rPr>
        <w:t>make such changes.</w:t>
      </w:r>
      <w:r w:rsidR="00737719">
        <w:rPr>
          <w:sz w:val="28"/>
          <w:szCs w:val="28"/>
        </w:rPr>
        <w:t xml:space="preserve"> </w:t>
      </w:r>
      <w:r w:rsidRPr="00E82CAE">
        <w:rPr>
          <w:sz w:val="28"/>
          <w:szCs w:val="28"/>
        </w:rPr>
        <w:t xml:space="preserve"> </w:t>
      </w:r>
      <w:r w:rsidR="009643A3">
        <w:rPr>
          <w:sz w:val="28"/>
          <w:szCs w:val="28"/>
        </w:rPr>
        <w:t>But</w:t>
      </w:r>
      <w:r w:rsidRPr="00E82CAE">
        <w:rPr>
          <w:sz w:val="28"/>
          <w:szCs w:val="28"/>
        </w:rPr>
        <w:t xml:space="preserve"> this </w:t>
      </w:r>
      <w:r w:rsidR="007F1077">
        <w:rPr>
          <w:sz w:val="28"/>
          <w:szCs w:val="28"/>
        </w:rPr>
        <w:t xml:space="preserve">rule </w:t>
      </w:r>
      <w:r w:rsidRPr="00E82CAE">
        <w:rPr>
          <w:sz w:val="28"/>
          <w:szCs w:val="28"/>
        </w:rPr>
        <w:t>requirement is</w:t>
      </w:r>
      <w:r w:rsidR="009643A3">
        <w:rPr>
          <w:sz w:val="28"/>
          <w:szCs w:val="28"/>
        </w:rPr>
        <w:t xml:space="preserve"> not new</w:t>
      </w:r>
      <w:r w:rsidR="007F1077">
        <w:rPr>
          <w:sz w:val="28"/>
          <w:szCs w:val="28"/>
        </w:rPr>
        <w:t>—</w:t>
      </w:r>
      <w:r w:rsidR="009643A3">
        <w:rPr>
          <w:sz w:val="28"/>
          <w:szCs w:val="28"/>
        </w:rPr>
        <w:t>it is</w:t>
      </w:r>
      <w:r w:rsidRPr="00E82CAE">
        <w:rPr>
          <w:sz w:val="28"/>
          <w:szCs w:val="28"/>
        </w:rPr>
        <w:t xml:space="preserve"> in the current rule</w:t>
      </w:r>
      <w:r w:rsidR="007F1077">
        <w:rPr>
          <w:sz w:val="28"/>
          <w:szCs w:val="28"/>
        </w:rPr>
        <w:t xml:space="preserve">.  Nonetheless, to assist the Clerks and allow them to </w:t>
      </w:r>
      <w:r w:rsidR="009643A3">
        <w:rPr>
          <w:sz w:val="28"/>
          <w:szCs w:val="28"/>
        </w:rPr>
        <w:t>rely on</w:t>
      </w:r>
      <w:r w:rsidRPr="00E82CAE">
        <w:rPr>
          <w:sz w:val="28"/>
          <w:szCs w:val="28"/>
        </w:rPr>
        <w:t xml:space="preserve"> a</w:t>
      </w:r>
      <w:r w:rsidR="009643A3">
        <w:rPr>
          <w:sz w:val="28"/>
          <w:szCs w:val="28"/>
        </w:rPr>
        <w:t xml:space="preserve"> judicial</w:t>
      </w:r>
      <w:r w:rsidRPr="00E82CAE">
        <w:rPr>
          <w:sz w:val="28"/>
          <w:szCs w:val="28"/>
        </w:rPr>
        <w:t xml:space="preserve"> order</w:t>
      </w:r>
      <w:r w:rsidR="00CB4FBA">
        <w:rPr>
          <w:sz w:val="28"/>
          <w:szCs w:val="28"/>
        </w:rPr>
        <w:t xml:space="preserve"> to change </w:t>
      </w:r>
      <w:r w:rsidR="00CB4FBA" w:rsidRPr="007F1077">
        <w:rPr>
          <w:sz w:val="28"/>
          <w:szCs w:val="28"/>
        </w:rPr>
        <w:t>the caption</w:t>
      </w:r>
      <w:r w:rsidR="007F1077" w:rsidRPr="007F1077">
        <w:rPr>
          <w:sz w:val="28"/>
          <w:szCs w:val="28"/>
        </w:rPr>
        <w:t xml:space="preserve">, the </w:t>
      </w:r>
      <w:r w:rsidR="00DA59E0">
        <w:rPr>
          <w:sz w:val="28"/>
          <w:szCs w:val="28"/>
        </w:rPr>
        <w:t>Task Force</w:t>
      </w:r>
      <w:r w:rsidR="007F1077" w:rsidRPr="007F1077">
        <w:rPr>
          <w:sz w:val="28"/>
          <w:szCs w:val="28"/>
        </w:rPr>
        <w:t xml:space="preserve"> added to this rule that “</w:t>
      </w:r>
      <w:r w:rsidR="007F1077" w:rsidRPr="00D64FAF">
        <w:rPr>
          <w:sz w:val="28"/>
          <w:szCs w:val="28"/>
        </w:rPr>
        <w:t>the court may order the Clerk to amend the caption to reflect that the conservatorship or protective order is for an adult.</w:t>
      </w:r>
      <w:r w:rsidR="007F1077" w:rsidRPr="007F1077">
        <w:rPr>
          <w:sz w:val="28"/>
          <w:szCs w:val="28"/>
        </w:rPr>
        <w:t>”</w:t>
      </w:r>
    </w:p>
    <w:p w14:paraId="08EC31A2" w14:textId="2BF621CD"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lastRenderedPageBreak/>
        <w:t>Rule 8(c) (“filing paper confidential documents”):</w:t>
      </w:r>
      <w:r w:rsidRPr="00E82CAE">
        <w:rPr>
          <w:sz w:val="28"/>
          <w:szCs w:val="28"/>
        </w:rPr>
        <w:t xml:space="preserve"> The comment concerned the filing of a confidential document as an exhibit to a pleading or motion.  </w:t>
      </w:r>
      <w:bookmarkStart w:id="1" w:name="_Hlk10725022"/>
      <w:r w:rsidR="00DD49F3">
        <w:rPr>
          <w:sz w:val="28"/>
          <w:szCs w:val="28"/>
        </w:rPr>
        <w:t>Although m</w:t>
      </w:r>
      <w:r w:rsidRPr="00E82CAE">
        <w:rPr>
          <w:sz w:val="28"/>
          <w:szCs w:val="28"/>
        </w:rPr>
        <w:t xml:space="preserve">embers </w:t>
      </w:r>
      <w:r w:rsidR="00673EFF">
        <w:rPr>
          <w:sz w:val="28"/>
          <w:szCs w:val="28"/>
        </w:rPr>
        <w:t>believe</w:t>
      </w:r>
      <w:r w:rsidR="00DD49F3">
        <w:rPr>
          <w:sz w:val="28"/>
          <w:szCs w:val="28"/>
        </w:rPr>
        <w:t>d</w:t>
      </w:r>
      <w:r w:rsidRPr="00E82CAE">
        <w:rPr>
          <w:sz w:val="28"/>
          <w:szCs w:val="28"/>
        </w:rPr>
        <w:t xml:space="preserve"> the proposed rule adequately </w:t>
      </w:r>
      <w:r w:rsidR="005466BC">
        <w:rPr>
          <w:sz w:val="28"/>
          <w:szCs w:val="28"/>
        </w:rPr>
        <w:t>addresse</w:t>
      </w:r>
      <w:r w:rsidR="00CC0183">
        <w:rPr>
          <w:sz w:val="28"/>
          <w:szCs w:val="28"/>
        </w:rPr>
        <w:t>d</w:t>
      </w:r>
      <w:r w:rsidRPr="00E82CAE">
        <w:rPr>
          <w:sz w:val="28"/>
          <w:szCs w:val="28"/>
        </w:rPr>
        <w:t xml:space="preserve"> th</w:t>
      </w:r>
      <w:r w:rsidR="00CC0183">
        <w:rPr>
          <w:sz w:val="28"/>
          <w:szCs w:val="28"/>
        </w:rPr>
        <w:t>e</w:t>
      </w:r>
      <w:r w:rsidR="00ED34DC">
        <w:rPr>
          <w:sz w:val="28"/>
          <w:szCs w:val="28"/>
        </w:rPr>
        <w:t xml:space="preserve"> comment’s</w:t>
      </w:r>
      <w:r w:rsidRPr="00E82CAE">
        <w:rPr>
          <w:sz w:val="28"/>
          <w:szCs w:val="28"/>
        </w:rPr>
        <w:t xml:space="preserve"> concern</w:t>
      </w:r>
      <w:r w:rsidR="004B1870">
        <w:rPr>
          <w:sz w:val="28"/>
          <w:szCs w:val="28"/>
        </w:rPr>
        <w:t>s</w:t>
      </w:r>
      <w:r w:rsidR="00DD49F3">
        <w:rPr>
          <w:sz w:val="28"/>
          <w:szCs w:val="28"/>
        </w:rPr>
        <w:t>, for additional clarity, the Task Force replace</w:t>
      </w:r>
      <w:r w:rsidR="000B76FD">
        <w:rPr>
          <w:sz w:val="28"/>
          <w:szCs w:val="28"/>
        </w:rPr>
        <w:t>d</w:t>
      </w:r>
      <w:r w:rsidR="00DD49F3">
        <w:rPr>
          <w:sz w:val="28"/>
          <w:szCs w:val="28"/>
        </w:rPr>
        <w:t xml:space="preserve"> the word “filed” with the word “</w:t>
      </w:r>
      <w:r w:rsidR="00A76878">
        <w:rPr>
          <w:sz w:val="28"/>
          <w:szCs w:val="28"/>
        </w:rPr>
        <w:t xml:space="preserve">referenced” </w:t>
      </w:r>
      <w:r w:rsidR="00A76878" w:rsidRPr="00E82CAE">
        <w:rPr>
          <w:sz w:val="28"/>
          <w:szCs w:val="28"/>
        </w:rPr>
        <w:t>in</w:t>
      </w:r>
      <w:r w:rsidRPr="00E82CAE">
        <w:rPr>
          <w:sz w:val="28"/>
          <w:szCs w:val="28"/>
        </w:rPr>
        <w:t xml:space="preserve"> the sentence</w:t>
      </w:r>
      <w:r w:rsidR="004B1870">
        <w:rPr>
          <w:sz w:val="28"/>
          <w:szCs w:val="28"/>
        </w:rPr>
        <w:t>,</w:t>
      </w:r>
      <w:r w:rsidRPr="00E82CAE">
        <w:rPr>
          <w:sz w:val="28"/>
          <w:szCs w:val="28"/>
        </w:rPr>
        <w:t xml:space="preserve"> “a confidential document </w:t>
      </w:r>
      <w:r w:rsidRPr="004A2C20">
        <w:rPr>
          <w:strike/>
          <w:sz w:val="28"/>
          <w:szCs w:val="28"/>
        </w:rPr>
        <w:t>filed</w:t>
      </w:r>
      <w:r w:rsidR="000B76FD">
        <w:rPr>
          <w:sz w:val="28"/>
          <w:szCs w:val="28"/>
        </w:rPr>
        <w:t xml:space="preserve"> </w:t>
      </w:r>
      <w:r w:rsidR="000B76FD" w:rsidRPr="004A2C20">
        <w:rPr>
          <w:sz w:val="28"/>
          <w:szCs w:val="28"/>
          <w:u w:val="single"/>
        </w:rPr>
        <w:t>referenced</w:t>
      </w:r>
      <w:r w:rsidRPr="00E82CAE">
        <w:rPr>
          <w:sz w:val="28"/>
          <w:szCs w:val="28"/>
        </w:rPr>
        <w:t xml:space="preserve"> as an exhibit to a pleading or motion must state on the envelop</w:t>
      </w:r>
      <w:r w:rsidR="00FD3F88">
        <w:rPr>
          <w:sz w:val="28"/>
          <w:szCs w:val="28"/>
        </w:rPr>
        <w:t>e</w:t>
      </w:r>
      <w:r w:rsidRPr="00E82CAE">
        <w:rPr>
          <w:sz w:val="28"/>
          <w:szCs w:val="28"/>
        </w:rPr>
        <w:t xml:space="preserve"> the title of that pleading or motion and identify the e</w:t>
      </w:r>
      <w:r w:rsidRPr="0029126F">
        <w:rPr>
          <w:sz w:val="28"/>
          <w:szCs w:val="28"/>
        </w:rPr>
        <w:t>xhibit number</w:t>
      </w:r>
      <w:r w:rsidR="00FD3F88">
        <w:rPr>
          <w:sz w:val="28"/>
          <w:szCs w:val="28"/>
        </w:rPr>
        <w:t>…</w:t>
      </w:r>
      <w:r w:rsidRPr="0029126F">
        <w:rPr>
          <w:sz w:val="28"/>
          <w:szCs w:val="28"/>
        </w:rPr>
        <w:t>”</w:t>
      </w:r>
      <w:r w:rsidR="00FD3F88">
        <w:rPr>
          <w:sz w:val="28"/>
          <w:szCs w:val="28"/>
        </w:rPr>
        <w:t>.</w:t>
      </w:r>
    </w:p>
    <w:bookmarkEnd w:id="1"/>
    <w:p w14:paraId="6838CDC5" w14:textId="0A370581"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8(e) (“motions concerning confidential documents and information”):</w:t>
      </w:r>
      <w:r w:rsidR="00737719">
        <w:rPr>
          <w:sz w:val="28"/>
          <w:szCs w:val="28"/>
        </w:rPr>
        <w:t xml:space="preserve"> </w:t>
      </w:r>
      <w:r w:rsidRPr="00E82CAE">
        <w:rPr>
          <w:sz w:val="28"/>
          <w:szCs w:val="28"/>
        </w:rPr>
        <w:t xml:space="preserve">Subpart (1)(D) of this proposed rule allows the court to enter an order that “a filed document be replaced with an identical document with confidential information redacted or removed.” </w:t>
      </w:r>
      <w:r w:rsidR="0029126F">
        <w:rPr>
          <w:sz w:val="28"/>
          <w:szCs w:val="28"/>
        </w:rPr>
        <w:t xml:space="preserve"> </w:t>
      </w:r>
      <w:r w:rsidRPr="00E82CAE">
        <w:rPr>
          <w:sz w:val="28"/>
          <w:szCs w:val="28"/>
        </w:rPr>
        <w:t>The comment request</w:t>
      </w:r>
      <w:r w:rsidR="00673EFF">
        <w:rPr>
          <w:sz w:val="28"/>
          <w:szCs w:val="28"/>
        </w:rPr>
        <w:t>ed</w:t>
      </w:r>
      <w:r w:rsidRPr="00E82CAE">
        <w:rPr>
          <w:sz w:val="28"/>
          <w:szCs w:val="28"/>
        </w:rPr>
        <w:t xml:space="preserve"> that in these instances, the rule require the </w:t>
      </w:r>
      <w:r w:rsidR="009643A3">
        <w:rPr>
          <w:sz w:val="28"/>
          <w:szCs w:val="28"/>
        </w:rPr>
        <w:t>C</w:t>
      </w:r>
      <w:r w:rsidRPr="00E82CAE">
        <w:rPr>
          <w:sz w:val="28"/>
          <w:szCs w:val="28"/>
        </w:rPr>
        <w:t xml:space="preserve">lerk to seal the </w:t>
      </w:r>
      <w:r w:rsidR="00354C5E">
        <w:rPr>
          <w:sz w:val="28"/>
          <w:szCs w:val="28"/>
        </w:rPr>
        <w:t>original</w:t>
      </w:r>
      <w:r w:rsidR="00803A2A">
        <w:rPr>
          <w:sz w:val="28"/>
          <w:szCs w:val="28"/>
        </w:rPr>
        <w:t xml:space="preserve"> </w:t>
      </w:r>
      <w:r w:rsidRPr="00E82CAE">
        <w:rPr>
          <w:sz w:val="28"/>
          <w:szCs w:val="28"/>
        </w:rPr>
        <w:t>document</w:t>
      </w:r>
      <w:r w:rsidR="00803A2A">
        <w:rPr>
          <w:sz w:val="28"/>
          <w:szCs w:val="28"/>
        </w:rPr>
        <w:t>.</w:t>
      </w:r>
      <w:r w:rsidRPr="00E82CAE">
        <w:rPr>
          <w:sz w:val="28"/>
          <w:szCs w:val="28"/>
        </w:rPr>
        <w:t xml:space="preserve">  </w:t>
      </w:r>
      <w:r w:rsidR="00673EFF">
        <w:rPr>
          <w:sz w:val="28"/>
          <w:szCs w:val="28"/>
        </w:rPr>
        <w:t>T</w:t>
      </w:r>
      <w:r w:rsidR="00CB3511">
        <w:rPr>
          <w:sz w:val="28"/>
          <w:szCs w:val="28"/>
        </w:rPr>
        <w:t>o avoid the need to seal these documents and to provide</w:t>
      </w:r>
      <w:r w:rsidR="003A57C4">
        <w:rPr>
          <w:sz w:val="28"/>
          <w:szCs w:val="28"/>
        </w:rPr>
        <w:t xml:space="preserve"> the</w:t>
      </w:r>
      <w:r w:rsidR="00CB3511">
        <w:rPr>
          <w:sz w:val="28"/>
          <w:szCs w:val="28"/>
        </w:rPr>
        <w:t xml:space="preserve"> Clerk</w:t>
      </w:r>
      <w:r w:rsidR="000121CE">
        <w:rPr>
          <w:sz w:val="28"/>
          <w:szCs w:val="28"/>
        </w:rPr>
        <w:t>s</w:t>
      </w:r>
      <w:r w:rsidR="00CB3511">
        <w:rPr>
          <w:sz w:val="28"/>
          <w:szCs w:val="28"/>
        </w:rPr>
        <w:t xml:space="preserve"> with alternatives, t</w:t>
      </w:r>
      <w:r w:rsidR="00673EFF">
        <w:rPr>
          <w:sz w:val="28"/>
          <w:szCs w:val="28"/>
        </w:rPr>
        <w:t>he Task Force</w:t>
      </w:r>
      <w:r w:rsidRPr="00E82CAE">
        <w:rPr>
          <w:sz w:val="28"/>
          <w:szCs w:val="28"/>
        </w:rPr>
        <w:t xml:space="preserve"> </w:t>
      </w:r>
      <w:r w:rsidR="006C09DC">
        <w:rPr>
          <w:sz w:val="28"/>
          <w:szCs w:val="28"/>
        </w:rPr>
        <w:t xml:space="preserve">instead </w:t>
      </w:r>
      <w:r w:rsidR="000B76FD">
        <w:rPr>
          <w:sz w:val="28"/>
          <w:szCs w:val="28"/>
        </w:rPr>
        <w:t>approved</w:t>
      </w:r>
      <w:r w:rsidR="001E5E8F">
        <w:rPr>
          <w:sz w:val="28"/>
          <w:szCs w:val="28"/>
        </w:rPr>
        <w:t xml:space="preserve"> language that </w:t>
      </w:r>
      <w:r w:rsidR="000B76FD">
        <w:rPr>
          <w:sz w:val="28"/>
          <w:szCs w:val="28"/>
        </w:rPr>
        <w:t xml:space="preserve">would </w:t>
      </w:r>
      <w:r w:rsidR="001E5E8F">
        <w:rPr>
          <w:sz w:val="28"/>
          <w:szCs w:val="28"/>
        </w:rPr>
        <w:t xml:space="preserve">allow the </w:t>
      </w:r>
      <w:r w:rsidR="006C09DC">
        <w:rPr>
          <w:sz w:val="28"/>
          <w:szCs w:val="28"/>
        </w:rPr>
        <w:t xml:space="preserve">Clerk to return the </w:t>
      </w:r>
      <w:r w:rsidR="001E5E8F">
        <w:rPr>
          <w:sz w:val="28"/>
          <w:szCs w:val="28"/>
        </w:rPr>
        <w:t>original document to the f</w:t>
      </w:r>
      <w:r w:rsidR="000B76FD">
        <w:rPr>
          <w:sz w:val="28"/>
          <w:szCs w:val="28"/>
        </w:rPr>
        <w:t>il</w:t>
      </w:r>
      <w:r w:rsidR="001E5E8F">
        <w:rPr>
          <w:sz w:val="28"/>
          <w:szCs w:val="28"/>
        </w:rPr>
        <w:t>er</w:t>
      </w:r>
      <w:r w:rsidR="00354C5E">
        <w:rPr>
          <w:sz w:val="28"/>
          <w:szCs w:val="28"/>
        </w:rPr>
        <w:t>,</w:t>
      </w:r>
      <w:r w:rsidR="000B76FD">
        <w:rPr>
          <w:sz w:val="28"/>
          <w:szCs w:val="28"/>
        </w:rPr>
        <w:t xml:space="preserve"> or </w:t>
      </w:r>
      <w:r w:rsidR="00A76878">
        <w:rPr>
          <w:sz w:val="28"/>
          <w:szCs w:val="28"/>
        </w:rPr>
        <w:t xml:space="preserve">to </w:t>
      </w:r>
      <w:r w:rsidR="000B76FD">
        <w:rPr>
          <w:sz w:val="28"/>
          <w:szCs w:val="28"/>
        </w:rPr>
        <w:t>destroy</w:t>
      </w:r>
      <w:r w:rsidR="006C09DC">
        <w:rPr>
          <w:sz w:val="28"/>
          <w:szCs w:val="28"/>
        </w:rPr>
        <w:t xml:space="preserve"> the original</w:t>
      </w:r>
      <w:r w:rsidR="00354C5E">
        <w:rPr>
          <w:sz w:val="28"/>
          <w:szCs w:val="28"/>
        </w:rPr>
        <w:t>,</w:t>
      </w:r>
      <w:r w:rsidR="006C09DC">
        <w:rPr>
          <w:sz w:val="28"/>
          <w:szCs w:val="28"/>
        </w:rPr>
        <w:t xml:space="preserve"> when the original is</w:t>
      </w:r>
      <w:r w:rsidR="000A7810">
        <w:rPr>
          <w:sz w:val="28"/>
          <w:szCs w:val="28"/>
        </w:rPr>
        <w:t xml:space="preserve"> replaced with an identical version </w:t>
      </w:r>
      <w:r w:rsidR="006C09DC">
        <w:rPr>
          <w:sz w:val="28"/>
          <w:szCs w:val="28"/>
        </w:rPr>
        <w:t>that has</w:t>
      </w:r>
      <w:r w:rsidR="000A7810">
        <w:rPr>
          <w:sz w:val="28"/>
          <w:szCs w:val="28"/>
        </w:rPr>
        <w:t xml:space="preserve"> confidential information redacted or removed.</w:t>
      </w:r>
    </w:p>
    <w:p w14:paraId="663AE810" w14:textId="660193B3"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13(b) (“probate information form”):</w:t>
      </w:r>
      <w:r w:rsidRPr="00E82CAE">
        <w:rPr>
          <w:sz w:val="28"/>
          <w:szCs w:val="28"/>
        </w:rPr>
        <w:t xml:space="preserve"> The comment contend</w:t>
      </w:r>
      <w:r w:rsidR="004B1870">
        <w:rPr>
          <w:sz w:val="28"/>
          <w:szCs w:val="28"/>
        </w:rPr>
        <w:t>ed</w:t>
      </w:r>
      <w:r w:rsidRPr="00E82CAE">
        <w:rPr>
          <w:sz w:val="28"/>
          <w:szCs w:val="28"/>
        </w:rPr>
        <w:t xml:space="preserve"> that Forms 11 (</w:t>
      </w:r>
      <w:r w:rsidR="00C0595B">
        <w:rPr>
          <w:sz w:val="28"/>
          <w:szCs w:val="28"/>
        </w:rPr>
        <w:t>“</w:t>
      </w:r>
      <w:r w:rsidRPr="00E82CAE">
        <w:rPr>
          <w:sz w:val="28"/>
          <w:szCs w:val="28"/>
        </w:rPr>
        <w:t>probate information form for decedent’s estate</w:t>
      </w:r>
      <w:r w:rsidR="00C0595B">
        <w:rPr>
          <w:sz w:val="28"/>
          <w:szCs w:val="28"/>
        </w:rPr>
        <w:t>”</w:t>
      </w:r>
      <w:r w:rsidRPr="00E82CAE">
        <w:rPr>
          <w:sz w:val="28"/>
          <w:szCs w:val="28"/>
        </w:rPr>
        <w:t>) and 12 (</w:t>
      </w:r>
      <w:r w:rsidR="00C0595B">
        <w:rPr>
          <w:sz w:val="28"/>
          <w:szCs w:val="28"/>
        </w:rPr>
        <w:t>“</w:t>
      </w:r>
      <w:r w:rsidRPr="00E82CAE">
        <w:rPr>
          <w:sz w:val="28"/>
          <w:szCs w:val="28"/>
        </w:rPr>
        <w:t>probate information form for guardianship/conservatorship</w:t>
      </w:r>
      <w:r w:rsidR="00C0595B">
        <w:rPr>
          <w:sz w:val="28"/>
          <w:szCs w:val="28"/>
        </w:rPr>
        <w:t>”</w:t>
      </w:r>
      <w:r w:rsidRPr="00E82CAE">
        <w:rPr>
          <w:sz w:val="28"/>
          <w:szCs w:val="28"/>
        </w:rPr>
        <w:t xml:space="preserve">) are missing two fields, one concerning the nature of the action and the other regarding the need for an </w:t>
      </w:r>
      <w:r w:rsidRPr="00E82CAE">
        <w:rPr>
          <w:sz w:val="28"/>
          <w:szCs w:val="28"/>
        </w:rPr>
        <w:lastRenderedPageBreak/>
        <w:t xml:space="preserve">interpreter.  The Task Force </w:t>
      </w:r>
      <w:r w:rsidR="000A7810">
        <w:rPr>
          <w:sz w:val="28"/>
          <w:szCs w:val="28"/>
        </w:rPr>
        <w:t>decided not</w:t>
      </w:r>
      <w:r w:rsidRPr="00E82CAE">
        <w:rPr>
          <w:sz w:val="28"/>
          <w:szCs w:val="28"/>
        </w:rPr>
        <w:t xml:space="preserve"> to add these fields because Forms 11 and 12 are intended solely to assist the court in locating individuals. </w:t>
      </w:r>
      <w:r w:rsidR="0029126F">
        <w:rPr>
          <w:sz w:val="28"/>
          <w:szCs w:val="28"/>
        </w:rPr>
        <w:t xml:space="preserve"> </w:t>
      </w:r>
      <w:r w:rsidRPr="00E82CAE">
        <w:rPr>
          <w:sz w:val="28"/>
          <w:szCs w:val="28"/>
        </w:rPr>
        <w:t xml:space="preserve">The two fields </w:t>
      </w:r>
      <w:r w:rsidR="004B1870">
        <w:rPr>
          <w:sz w:val="28"/>
          <w:szCs w:val="28"/>
        </w:rPr>
        <w:t xml:space="preserve">noted by the Clerks </w:t>
      </w:r>
      <w:r w:rsidRPr="00E82CAE">
        <w:rPr>
          <w:sz w:val="28"/>
          <w:szCs w:val="28"/>
        </w:rPr>
        <w:t>are more appropriate for</w:t>
      </w:r>
      <w:r w:rsidR="000121CE">
        <w:rPr>
          <w:sz w:val="28"/>
          <w:szCs w:val="28"/>
        </w:rPr>
        <w:t>, and are included in,</w:t>
      </w:r>
      <w:r w:rsidRPr="00E82CAE">
        <w:rPr>
          <w:sz w:val="28"/>
          <w:szCs w:val="28"/>
        </w:rPr>
        <w:t xml:space="preserve"> the probate cover sheet.  The comment also suggested that there should be only one probate information form rather than two, but </w:t>
      </w:r>
      <w:r w:rsidR="000A7810">
        <w:rPr>
          <w:sz w:val="28"/>
          <w:szCs w:val="28"/>
        </w:rPr>
        <w:t xml:space="preserve">the Task Force </w:t>
      </w:r>
      <w:r w:rsidR="00CB3511">
        <w:rPr>
          <w:sz w:val="28"/>
          <w:szCs w:val="28"/>
        </w:rPr>
        <w:t>believed</w:t>
      </w:r>
      <w:r w:rsidR="00CB3511" w:rsidRPr="00E82CAE">
        <w:rPr>
          <w:sz w:val="28"/>
          <w:szCs w:val="28"/>
        </w:rPr>
        <w:t xml:space="preserve"> </w:t>
      </w:r>
      <w:r w:rsidRPr="00E82CAE">
        <w:rPr>
          <w:sz w:val="28"/>
          <w:szCs w:val="28"/>
        </w:rPr>
        <w:t xml:space="preserve">that separate forms, which differ based on the nature of the action, </w:t>
      </w:r>
      <w:r w:rsidR="00CB3511">
        <w:rPr>
          <w:sz w:val="28"/>
          <w:szCs w:val="28"/>
        </w:rPr>
        <w:t>are</w:t>
      </w:r>
      <w:r w:rsidRPr="00E82CAE">
        <w:rPr>
          <w:sz w:val="28"/>
          <w:szCs w:val="28"/>
        </w:rPr>
        <w:t xml:space="preserve"> easier for self-represented litigants.</w:t>
      </w:r>
    </w:p>
    <w:p w14:paraId="7CE5A46C" w14:textId="5C827919"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13(c) (“notice of change of contact information”):</w:t>
      </w:r>
      <w:r w:rsidRPr="00E82CAE">
        <w:rPr>
          <w:sz w:val="28"/>
          <w:szCs w:val="28"/>
        </w:rPr>
        <w:t xml:space="preserve"> The comment </w:t>
      </w:r>
      <w:r w:rsidR="005F543F">
        <w:rPr>
          <w:sz w:val="28"/>
          <w:szCs w:val="28"/>
        </w:rPr>
        <w:t>suggests</w:t>
      </w:r>
      <w:r w:rsidR="00CB3511">
        <w:rPr>
          <w:sz w:val="28"/>
          <w:szCs w:val="28"/>
        </w:rPr>
        <w:t xml:space="preserve"> having</w:t>
      </w:r>
      <w:r w:rsidRPr="00E82CAE">
        <w:rPr>
          <w:sz w:val="28"/>
          <w:szCs w:val="28"/>
        </w:rPr>
        <w:t xml:space="preserve"> a single change of address form rather than two forms. </w:t>
      </w:r>
      <w:r w:rsidR="0029126F">
        <w:rPr>
          <w:sz w:val="28"/>
          <w:szCs w:val="28"/>
        </w:rPr>
        <w:t xml:space="preserve"> </w:t>
      </w:r>
      <w:r w:rsidRPr="00E82CAE">
        <w:rPr>
          <w:sz w:val="28"/>
          <w:szCs w:val="28"/>
        </w:rPr>
        <w:t>But as with the probate information forms, the Task Force believes that having two forms allow</w:t>
      </w:r>
      <w:r w:rsidR="00CB3511">
        <w:rPr>
          <w:sz w:val="28"/>
          <w:szCs w:val="28"/>
        </w:rPr>
        <w:t>s</w:t>
      </w:r>
      <w:r w:rsidRPr="00E82CAE">
        <w:rPr>
          <w:sz w:val="28"/>
          <w:szCs w:val="28"/>
        </w:rPr>
        <w:t xml:space="preserve"> each to be more focused </w:t>
      </w:r>
      <w:r w:rsidRPr="006C09DC">
        <w:rPr>
          <w:sz w:val="28"/>
          <w:szCs w:val="28"/>
        </w:rPr>
        <w:t xml:space="preserve">and easier for self-represented individuals. </w:t>
      </w:r>
      <w:r w:rsidR="0029126F">
        <w:rPr>
          <w:sz w:val="28"/>
          <w:szCs w:val="28"/>
        </w:rPr>
        <w:t xml:space="preserve"> </w:t>
      </w:r>
      <w:r w:rsidR="006C09DC" w:rsidRPr="006D1B8F">
        <w:rPr>
          <w:sz w:val="28"/>
          <w:szCs w:val="28"/>
        </w:rPr>
        <w:t>T</w:t>
      </w:r>
      <w:r w:rsidRPr="006C09DC">
        <w:rPr>
          <w:sz w:val="28"/>
          <w:szCs w:val="28"/>
        </w:rPr>
        <w:t xml:space="preserve">he </w:t>
      </w:r>
      <w:r w:rsidR="006C09DC" w:rsidRPr="006D1B8F">
        <w:rPr>
          <w:sz w:val="28"/>
          <w:szCs w:val="28"/>
        </w:rPr>
        <w:t>Editorial Group</w:t>
      </w:r>
      <w:r w:rsidR="006C09DC" w:rsidRPr="006C09DC">
        <w:rPr>
          <w:sz w:val="28"/>
          <w:szCs w:val="28"/>
        </w:rPr>
        <w:t xml:space="preserve"> </w:t>
      </w:r>
      <w:r w:rsidRPr="006C09DC">
        <w:rPr>
          <w:sz w:val="28"/>
          <w:szCs w:val="28"/>
        </w:rPr>
        <w:t>review</w:t>
      </w:r>
      <w:r w:rsidR="006C09DC" w:rsidRPr="006D1B8F">
        <w:rPr>
          <w:sz w:val="28"/>
          <w:szCs w:val="28"/>
        </w:rPr>
        <w:t>ed</w:t>
      </w:r>
      <w:r w:rsidRPr="006C09DC">
        <w:rPr>
          <w:sz w:val="28"/>
          <w:szCs w:val="28"/>
        </w:rPr>
        <w:t xml:space="preserve"> the comment’s </w:t>
      </w:r>
      <w:r w:rsidR="00EE14AA">
        <w:rPr>
          <w:sz w:val="28"/>
          <w:szCs w:val="28"/>
        </w:rPr>
        <w:t>suggestions</w:t>
      </w:r>
      <w:r w:rsidRPr="006C09DC">
        <w:rPr>
          <w:sz w:val="28"/>
          <w:szCs w:val="28"/>
        </w:rPr>
        <w:t xml:space="preserve"> regarding the content of the </w:t>
      </w:r>
      <w:r w:rsidR="006C09DC" w:rsidRPr="006D1B8F">
        <w:rPr>
          <w:sz w:val="28"/>
          <w:szCs w:val="28"/>
        </w:rPr>
        <w:t xml:space="preserve">captions </w:t>
      </w:r>
      <w:r w:rsidR="00EE14AA">
        <w:rPr>
          <w:sz w:val="28"/>
          <w:szCs w:val="28"/>
        </w:rPr>
        <w:t xml:space="preserve">of these forms </w:t>
      </w:r>
      <w:r w:rsidR="006C09DC" w:rsidRPr="006D1B8F">
        <w:rPr>
          <w:sz w:val="28"/>
          <w:szCs w:val="28"/>
        </w:rPr>
        <w:t>and made appropriate changes</w:t>
      </w:r>
      <w:r w:rsidRPr="006C09DC">
        <w:rPr>
          <w:sz w:val="28"/>
          <w:szCs w:val="28"/>
        </w:rPr>
        <w:t>.</w:t>
      </w:r>
    </w:p>
    <w:p w14:paraId="10E1B1AF" w14:textId="52E50E15"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14(c) (“action upon application”):</w:t>
      </w:r>
      <w:r w:rsidRPr="00E82CAE">
        <w:rPr>
          <w:sz w:val="28"/>
          <w:szCs w:val="28"/>
        </w:rPr>
        <w:t xml:space="preserve"> The comment requested that the rule confirm the Clerk</w:t>
      </w:r>
      <w:r w:rsidR="006D1B8F">
        <w:rPr>
          <w:sz w:val="28"/>
          <w:szCs w:val="28"/>
        </w:rPr>
        <w:t>’s right to</w:t>
      </w:r>
      <w:r w:rsidRPr="00E82CAE">
        <w:rPr>
          <w:sz w:val="28"/>
          <w:szCs w:val="28"/>
        </w:rPr>
        <w:t xml:space="preserve"> assess a filing fee for subsequent applications and petitions filed under the same case number</w:t>
      </w:r>
      <w:r w:rsidR="006D1B8F">
        <w:rPr>
          <w:sz w:val="28"/>
          <w:szCs w:val="28"/>
        </w:rPr>
        <w:t>, but the Task Force declined to address this statutory</w:t>
      </w:r>
      <w:r w:rsidRPr="00E82CAE">
        <w:rPr>
          <w:sz w:val="28"/>
          <w:szCs w:val="28"/>
        </w:rPr>
        <w:t xml:space="preserve"> matter</w:t>
      </w:r>
      <w:r w:rsidR="005F543F">
        <w:rPr>
          <w:sz w:val="28"/>
          <w:szCs w:val="28"/>
        </w:rPr>
        <w:t>.</w:t>
      </w:r>
    </w:p>
    <w:p w14:paraId="3D6A3029" w14:textId="4FE8841C"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26(f) (“duty to provide copies and envelopes”):</w:t>
      </w:r>
      <w:r w:rsidRPr="00E82CAE">
        <w:rPr>
          <w:sz w:val="28"/>
          <w:szCs w:val="28"/>
        </w:rPr>
        <w:t xml:space="preserve"> The comment requested </w:t>
      </w:r>
      <w:r w:rsidR="00125F90">
        <w:rPr>
          <w:sz w:val="28"/>
          <w:szCs w:val="28"/>
        </w:rPr>
        <w:t>the addition of</w:t>
      </w:r>
      <w:r w:rsidRPr="00E82CAE">
        <w:rPr>
          <w:sz w:val="28"/>
          <w:szCs w:val="28"/>
        </w:rPr>
        <w:t xml:space="preserve"> </w:t>
      </w:r>
      <w:r w:rsidR="00DE24E9">
        <w:rPr>
          <w:sz w:val="28"/>
          <w:szCs w:val="28"/>
        </w:rPr>
        <w:t>language</w:t>
      </w:r>
      <w:r w:rsidRPr="00E82CAE">
        <w:rPr>
          <w:sz w:val="28"/>
          <w:szCs w:val="28"/>
        </w:rPr>
        <w:t xml:space="preserve"> </w:t>
      </w:r>
      <w:r w:rsidR="005F543F">
        <w:rPr>
          <w:sz w:val="28"/>
          <w:szCs w:val="28"/>
        </w:rPr>
        <w:t>that would apply to the</w:t>
      </w:r>
      <w:r w:rsidRPr="00E82CAE">
        <w:rPr>
          <w:sz w:val="28"/>
          <w:szCs w:val="28"/>
        </w:rPr>
        <w:t xml:space="preserve"> electronic distribution of orders</w:t>
      </w:r>
      <w:r w:rsidR="005F543F">
        <w:rPr>
          <w:sz w:val="28"/>
          <w:szCs w:val="28"/>
        </w:rPr>
        <w:t xml:space="preserve">. </w:t>
      </w:r>
      <w:r w:rsidRPr="00E82CAE">
        <w:rPr>
          <w:sz w:val="28"/>
          <w:szCs w:val="28"/>
        </w:rPr>
        <w:t xml:space="preserve"> </w:t>
      </w:r>
      <w:r w:rsidR="003A57C4">
        <w:rPr>
          <w:sz w:val="28"/>
          <w:szCs w:val="28"/>
        </w:rPr>
        <w:t>Because</w:t>
      </w:r>
      <w:r w:rsidR="00DE24E9">
        <w:rPr>
          <w:sz w:val="28"/>
          <w:szCs w:val="28"/>
        </w:rPr>
        <w:t xml:space="preserve"> </w:t>
      </w:r>
      <w:r w:rsidR="005F543F">
        <w:rPr>
          <w:sz w:val="28"/>
          <w:szCs w:val="28"/>
        </w:rPr>
        <w:t xml:space="preserve">electronic distribution of court orders and e-filing is not </w:t>
      </w:r>
      <w:r w:rsidR="00125F90">
        <w:rPr>
          <w:sz w:val="28"/>
          <w:szCs w:val="28"/>
        </w:rPr>
        <w:t xml:space="preserve">yet </w:t>
      </w:r>
      <w:r w:rsidR="005F543F">
        <w:rPr>
          <w:sz w:val="28"/>
          <w:szCs w:val="28"/>
        </w:rPr>
        <w:t xml:space="preserve">available </w:t>
      </w:r>
      <w:r w:rsidR="00A050DF">
        <w:rPr>
          <w:sz w:val="28"/>
          <w:szCs w:val="28"/>
        </w:rPr>
        <w:t xml:space="preserve">in </w:t>
      </w:r>
      <w:r w:rsidR="005F543F">
        <w:rPr>
          <w:sz w:val="28"/>
          <w:szCs w:val="28"/>
        </w:rPr>
        <w:t xml:space="preserve">probate </w:t>
      </w:r>
      <w:r w:rsidR="007453E9">
        <w:rPr>
          <w:sz w:val="28"/>
          <w:szCs w:val="28"/>
        </w:rPr>
        <w:t>cases,</w:t>
      </w:r>
      <w:r w:rsidR="007453E9" w:rsidRPr="00E82CAE">
        <w:rPr>
          <w:sz w:val="28"/>
          <w:szCs w:val="28"/>
        </w:rPr>
        <w:t xml:space="preserve"> </w:t>
      </w:r>
      <w:r w:rsidR="007453E9">
        <w:rPr>
          <w:sz w:val="28"/>
          <w:szCs w:val="28"/>
        </w:rPr>
        <w:t>the</w:t>
      </w:r>
      <w:r w:rsidR="00A050DF">
        <w:rPr>
          <w:sz w:val="28"/>
          <w:szCs w:val="28"/>
        </w:rPr>
        <w:t xml:space="preserve"> Task Force drafted the proposed rules for the current </w:t>
      </w:r>
      <w:r w:rsidR="00EE14AA">
        <w:rPr>
          <w:sz w:val="28"/>
          <w:szCs w:val="28"/>
        </w:rPr>
        <w:t xml:space="preserve">paper </w:t>
      </w:r>
      <w:r w:rsidR="00A050DF">
        <w:rPr>
          <w:sz w:val="28"/>
          <w:szCs w:val="28"/>
        </w:rPr>
        <w:lastRenderedPageBreak/>
        <w:t xml:space="preserve">environment and </w:t>
      </w:r>
      <w:r w:rsidRPr="00E82CAE">
        <w:rPr>
          <w:sz w:val="28"/>
          <w:szCs w:val="28"/>
        </w:rPr>
        <w:t>proces</w:t>
      </w:r>
      <w:r w:rsidR="006C09DC">
        <w:rPr>
          <w:sz w:val="28"/>
          <w:szCs w:val="28"/>
        </w:rPr>
        <w:t>s</w:t>
      </w:r>
      <w:r w:rsidR="00125F90">
        <w:rPr>
          <w:sz w:val="28"/>
          <w:szCs w:val="28"/>
        </w:rPr>
        <w:t>es</w:t>
      </w:r>
      <w:r w:rsidR="00A050DF">
        <w:rPr>
          <w:sz w:val="28"/>
          <w:szCs w:val="28"/>
        </w:rPr>
        <w:t xml:space="preserve">. </w:t>
      </w:r>
      <w:r w:rsidR="0029126F">
        <w:rPr>
          <w:sz w:val="28"/>
          <w:szCs w:val="28"/>
        </w:rPr>
        <w:t xml:space="preserve"> </w:t>
      </w:r>
      <w:r w:rsidR="00A050DF">
        <w:rPr>
          <w:sz w:val="28"/>
          <w:szCs w:val="28"/>
        </w:rPr>
        <w:t>The</w:t>
      </w:r>
      <w:r w:rsidR="006C09DC">
        <w:rPr>
          <w:sz w:val="28"/>
          <w:szCs w:val="28"/>
        </w:rPr>
        <w:t xml:space="preserve">se </w:t>
      </w:r>
      <w:r w:rsidR="00803A2A">
        <w:rPr>
          <w:sz w:val="28"/>
          <w:szCs w:val="28"/>
        </w:rPr>
        <w:t xml:space="preserve">rules </w:t>
      </w:r>
      <w:r w:rsidR="006D1B8F">
        <w:rPr>
          <w:sz w:val="28"/>
          <w:szCs w:val="28"/>
        </w:rPr>
        <w:t>will</w:t>
      </w:r>
      <w:r w:rsidR="00803A2A">
        <w:rPr>
          <w:sz w:val="28"/>
          <w:szCs w:val="28"/>
        </w:rPr>
        <w:t xml:space="preserve"> need to be amended</w:t>
      </w:r>
      <w:r w:rsidRPr="00E82CAE">
        <w:rPr>
          <w:sz w:val="28"/>
          <w:szCs w:val="28"/>
        </w:rPr>
        <w:t xml:space="preserve"> when e</w:t>
      </w:r>
      <w:r w:rsidR="00A050DF">
        <w:rPr>
          <w:sz w:val="28"/>
          <w:szCs w:val="28"/>
        </w:rPr>
        <w:t>-filing i</w:t>
      </w:r>
      <w:r w:rsidRPr="00E82CAE">
        <w:rPr>
          <w:sz w:val="28"/>
          <w:szCs w:val="28"/>
        </w:rPr>
        <w:t>s implemented</w:t>
      </w:r>
      <w:r w:rsidR="00CB3511">
        <w:rPr>
          <w:sz w:val="28"/>
          <w:szCs w:val="28"/>
        </w:rPr>
        <w:t xml:space="preserve"> for probate cases</w:t>
      </w:r>
      <w:r w:rsidR="00DE24E9">
        <w:rPr>
          <w:sz w:val="28"/>
          <w:szCs w:val="28"/>
        </w:rPr>
        <w:t>.</w:t>
      </w:r>
    </w:p>
    <w:p w14:paraId="2DC66778" w14:textId="6D580386" w:rsidR="00E82CAE" w:rsidRPr="00E82CAE" w:rsidRDefault="00E82CAE" w:rsidP="00E82CAE">
      <w:pPr>
        <w:pStyle w:val="ListParagraph"/>
        <w:spacing w:before="240" w:line="480" w:lineRule="auto"/>
        <w:ind w:left="0" w:firstLine="720"/>
        <w:jc w:val="both"/>
        <w:rPr>
          <w:sz w:val="28"/>
          <w:szCs w:val="28"/>
        </w:rPr>
      </w:pPr>
      <w:r w:rsidRPr="00E82CAE">
        <w:rPr>
          <w:i/>
          <w:sz w:val="28"/>
          <w:szCs w:val="28"/>
        </w:rPr>
        <w:t>Rule 46(b) (“content”):</w:t>
      </w:r>
      <w:r w:rsidRPr="00E82CAE">
        <w:rPr>
          <w:sz w:val="28"/>
          <w:szCs w:val="28"/>
        </w:rPr>
        <w:t xml:space="preserve"> The comment </w:t>
      </w:r>
      <w:r w:rsidR="006C09DC">
        <w:rPr>
          <w:sz w:val="28"/>
          <w:szCs w:val="28"/>
        </w:rPr>
        <w:t>correct</w:t>
      </w:r>
      <w:r w:rsidR="00EE14AA">
        <w:rPr>
          <w:sz w:val="28"/>
          <w:szCs w:val="28"/>
        </w:rPr>
        <w:t>ly</w:t>
      </w:r>
      <w:r w:rsidR="006C09DC">
        <w:rPr>
          <w:sz w:val="28"/>
          <w:szCs w:val="28"/>
        </w:rPr>
        <w:t xml:space="preserve"> </w:t>
      </w:r>
      <w:r w:rsidR="00125F90">
        <w:rPr>
          <w:sz w:val="28"/>
          <w:szCs w:val="28"/>
        </w:rPr>
        <w:t>noted</w:t>
      </w:r>
      <w:r w:rsidR="00EE14AA">
        <w:rPr>
          <w:sz w:val="28"/>
          <w:szCs w:val="28"/>
        </w:rPr>
        <w:t xml:space="preserve"> that</w:t>
      </w:r>
      <w:r w:rsidR="00125F90">
        <w:rPr>
          <w:sz w:val="28"/>
          <w:szCs w:val="28"/>
        </w:rPr>
        <w:t xml:space="preserve"> </w:t>
      </w:r>
      <w:r w:rsidR="009A2E04">
        <w:rPr>
          <w:sz w:val="28"/>
          <w:szCs w:val="28"/>
        </w:rPr>
        <w:t xml:space="preserve">this rule </w:t>
      </w:r>
      <w:r w:rsidR="001E07B6">
        <w:rPr>
          <w:sz w:val="28"/>
          <w:szCs w:val="28"/>
        </w:rPr>
        <w:t xml:space="preserve">should have referred </w:t>
      </w:r>
      <w:r w:rsidR="006C09DC">
        <w:rPr>
          <w:sz w:val="28"/>
          <w:szCs w:val="28"/>
        </w:rPr>
        <w:t>to A.R.S.</w:t>
      </w:r>
      <w:r w:rsidR="009A2E04">
        <w:rPr>
          <w:sz w:val="28"/>
          <w:szCs w:val="28"/>
        </w:rPr>
        <w:t xml:space="preserve"> § 14-5315(</w:t>
      </w:r>
      <w:r w:rsidR="001E07B6">
        <w:rPr>
          <w:sz w:val="28"/>
          <w:szCs w:val="28"/>
        </w:rPr>
        <w:t>C</w:t>
      </w:r>
      <w:r w:rsidR="009A2E04">
        <w:rPr>
          <w:sz w:val="28"/>
          <w:szCs w:val="28"/>
        </w:rPr>
        <w:t xml:space="preserve">), </w:t>
      </w:r>
      <w:r w:rsidR="001E07B6">
        <w:rPr>
          <w:sz w:val="28"/>
          <w:szCs w:val="28"/>
        </w:rPr>
        <w:t>instead of</w:t>
      </w:r>
      <w:r w:rsidR="009A2E04">
        <w:rPr>
          <w:sz w:val="28"/>
          <w:szCs w:val="28"/>
        </w:rPr>
        <w:t xml:space="preserve"> A.R.S. § 14-5315(</w:t>
      </w:r>
      <w:r w:rsidR="00EE14AA">
        <w:rPr>
          <w:sz w:val="28"/>
          <w:szCs w:val="28"/>
        </w:rPr>
        <w:t>B</w:t>
      </w:r>
      <w:r w:rsidR="009A2E04">
        <w:rPr>
          <w:sz w:val="28"/>
          <w:szCs w:val="28"/>
        </w:rPr>
        <w:t>)</w:t>
      </w:r>
      <w:r w:rsidR="008D39F3">
        <w:rPr>
          <w:sz w:val="28"/>
          <w:szCs w:val="28"/>
        </w:rPr>
        <w:t xml:space="preserve">. </w:t>
      </w:r>
      <w:r w:rsidR="0029126F">
        <w:rPr>
          <w:sz w:val="28"/>
          <w:szCs w:val="28"/>
        </w:rPr>
        <w:t xml:space="preserve"> </w:t>
      </w:r>
      <w:r w:rsidR="008D39F3">
        <w:rPr>
          <w:sz w:val="28"/>
          <w:szCs w:val="28"/>
        </w:rPr>
        <w:t>T</w:t>
      </w:r>
      <w:r w:rsidR="009A2E04">
        <w:rPr>
          <w:sz w:val="28"/>
          <w:szCs w:val="28"/>
        </w:rPr>
        <w:t xml:space="preserve">he </w:t>
      </w:r>
      <w:r w:rsidR="00C0595B">
        <w:rPr>
          <w:sz w:val="28"/>
          <w:szCs w:val="28"/>
        </w:rPr>
        <w:t>Task Force</w:t>
      </w:r>
      <w:r w:rsidR="009A2E04">
        <w:rPr>
          <w:sz w:val="28"/>
          <w:szCs w:val="28"/>
        </w:rPr>
        <w:t xml:space="preserve"> corrected the statutory cit</w:t>
      </w:r>
      <w:r w:rsidR="001E07B6">
        <w:rPr>
          <w:sz w:val="28"/>
          <w:szCs w:val="28"/>
        </w:rPr>
        <w:t>ation.</w:t>
      </w:r>
    </w:p>
    <w:p w14:paraId="47F82B17" w14:textId="1D75CD4A" w:rsidR="00E82CAE" w:rsidRPr="00E82CAE" w:rsidRDefault="00E82CAE" w:rsidP="006C09DC">
      <w:pPr>
        <w:pStyle w:val="ListParagraph"/>
        <w:spacing w:before="240" w:line="480" w:lineRule="auto"/>
        <w:ind w:left="0" w:firstLine="720"/>
        <w:jc w:val="both"/>
        <w:rPr>
          <w:sz w:val="28"/>
          <w:szCs w:val="28"/>
        </w:rPr>
      </w:pPr>
      <w:r w:rsidRPr="00E82CAE">
        <w:rPr>
          <w:i/>
          <w:sz w:val="28"/>
          <w:szCs w:val="28"/>
        </w:rPr>
        <w:t>Rule 46(d) (“confidentiality”):</w:t>
      </w:r>
      <w:r w:rsidRPr="00E82CAE">
        <w:rPr>
          <w:sz w:val="28"/>
          <w:szCs w:val="28"/>
        </w:rPr>
        <w:t xml:space="preserve"> The comment raised a recurring issue that </w:t>
      </w:r>
      <w:r w:rsidR="000121CE">
        <w:rPr>
          <w:sz w:val="28"/>
          <w:szCs w:val="28"/>
        </w:rPr>
        <w:t>arises</w:t>
      </w:r>
      <w:r w:rsidRPr="00E82CAE">
        <w:rPr>
          <w:sz w:val="28"/>
          <w:szCs w:val="28"/>
        </w:rPr>
        <w:t xml:space="preserve"> when filers attach </w:t>
      </w:r>
      <w:r w:rsidR="00EE14AA">
        <w:rPr>
          <w:sz w:val="28"/>
          <w:szCs w:val="28"/>
        </w:rPr>
        <w:t xml:space="preserve">confidential </w:t>
      </w:r>
      <w:r w:rsidRPr="00E82CAE">
        <w:rPr>
          <w:sz w:val="28"/>
          <w:szCs w:val="28"/>
        </w:rPr>
        <w:t>medical records to annual guardianship reports</w:t>
      </w:r>
      <w:r w:rsidR="005E444D">
        <w:rPr>
          <w:sz w:val="28"/>
          <w:szCs w:val="28"/>
        </w:rPr>
        <w:t>, which are not confidential</w:t>
      </w:r>
      <w:r w:rsidR="00EE14AA">
        <w:rPr>
          <w:sz w:val="28"/>
          <w:szCs w:val="28"/>
        </w:rPr>
        <w:t>.</w:t>
      </w:r>
      <w:r w:rsidR="00EE14AA" w:rsidRPr="00E82CAE">
        <w:rPr>
          <w:sz w:val="28"/>
          <w:szCs w:val="28"/>
        </w:rPr>
        <w:t xml:space="preserve"> </w:t>
      </w:r>
      <w:r w:rsidR="0029126F">
        <w:rPr>
          <w:sz w:val="28"/>
          <w:szCs w:val="28"/>
        </w:rPr>
        <w:t xml:space="preserve"> </w:t>
      </w:r>
      <w:r w:rsidR="00EE14AA">
        <w:rPr>
          <w:sz w:val="28"/>
          <w:szCs w:val="28"/>
        </w:rPr>
        <w:t>T</w:t>
      </w:r>
      <w:r w:rsidRPr="00E82CAE">
        <w:rPr>
          <w:sz w:val="28"/>
          <w:szCs w:val="28"/>
        </w:rPr>
        <w:t xml:space="preserve">he comment </w:t>
      </w:r>
      <w:r w:rsidR="001E07B6">
        <w:rPr>
          <w:sz w:val="28"/>
          <w:szCs w:val="28"/>
        </w:rPr>
        <w:t>suggested that Rule 46(d) be modified to emphasize th</w:t>
      </w:r>
      <w:r w:rsidR="009462BB">
        <w:rPr>
          <w:sz w:val="28"/>
          <w:szCs w:val="28"/>
        </w:rPr>
        <w:t>a</w:t>
      </w:r>
      <w:r w:rsidR="001E07B6">
        <w:rPr>
          <w:sz w:val="28"/>
          <w:szCs w:val="28"/>
        </w:rPr>
        <w:t>t medical records are not to be attached to such reports, and to state</w:t>
      </w:r>
      <w:r w:rsidR="00E90386">
        <w:rPr>
          <w:sz w:val="28"/>
          <w:szCs w:val="28"/>
        </w:rPr>
        <w:t xml:space="preserve"> that the court will not maintain these reports as confidential unless the fling party complies with proposed Rule 8(c)’s filing requirements</w:t>
      </w:r>
      <w:r w:rsidR="005E444D">
        <w:rPr>
          <w:sz w:val="28"/>
          <w:szCs w:val="28"/>
        </w:rPr>
        <w:t xml:space="preserve"> </w:t>
      </w:r>
      <w:r w:rsidR="00A76878">
        <w:rPr>
          <w:sz w:val="28"/>
          <w:szCs w:val="28"/>
        </w:rPr>
        <w:t>by filing</w:t>
      </w:r>
      <w:r w:rsidR="005E444D">
        <w:rPr>
          <w:sz w:val="28"/>
          <w:szCs w:val="28"/>
        </w:rPr>
        <w:t xml:space="preserve"> the reports as confidential documents</w:t>
      </w:r>
      <w:r w:rsidR="00E90386">
        <w:rPr>
          <w:sz w:val="28"/>
          <w:szCs w:val="28"/>
        </w:rPr>
        <w:t>.</w:t>
      </w:r>
      <w:r w:rsidR="006C09DC">
        <w:rPr>
          <w:sz w:val="28"/>
          <w:szCs w:val="28"/>
        </w:rPr>
        <w:t xml:space="preserve">  </w:t>
      </w:r>
      <w:r w:rsidR="008D39F3">
        <w:rPr>
          <w:sz w:val="28"/>
          <w:szCs w:val="28"/>
        </w:rPr>
        <w:t>The Task Force</w:t>
      </w:r>
      <w:r w:rsidR="00673EFF">
        <w:rPr>
          <w:sz w:val="28"/>
          <w:szCs w:val="28"/>
        </w:rPr>
        <w:t xml:space="preserve"> </w:t>
      </w:r>
      <w:r w:rsidR="00A050DF">
        <w:rPr>
          <w:sz w:val="28"/>
          <w:szCs w:val="28"/>
        </w:rPr>
        <w:t xml:space="preserve">agreed that the filer </w:t>
      </w:r>
      <w:r w:rsidR="00CB3511">
        <w:rPr>
          <w:sz w:val="28"/>
          <w:szCs w:val="28"/>
        </w:rPr>
        <w:t xml:space="preserve">bears responsibility </w:t>
      </w:r>
      <w:r w:rsidR="00A050DF">
        <w:rPr>
          <w:sz w:val="28"/>
          <w:szCs w:val="28"/>
        </w:rPr>
        <w:t>for</w:t>
      </w:r>
      <w:r w:rsidRPr="00E82CAE">
        <w:rPr>
          <w:sz w:val="28"/>
          <w:szCs w:val="28"/>
        </w:rPr>
        <w:t xml:space="preserve"> </w:t>
      </w:r>
      <w:r w:rsidR="00720EFB">
        <w:rPr>
          <w:sz w:val="28"/>
          <w:szCs w:val="28"/>
        </w:rPr>
        <w:t>ensur</w:t>
      </w:r>
      <w:r w:rsidR="00A050DF">
        <w:rPr>
          <w:sz w:val="28"/>
          <w:szCs w:val="28"/>
        </w:rPr>
        <w:t>ing</w:t>
      </w:r>
      <w:r w:rsidRPr="00E82CAE">
        <w:rPr>
          <w:sz w:val="28"/>
          <w:szCs w:val="28"/>
        </w:rPr>
        <w:t xml:space="preserve"> that </w:t>
      </w:r>
      <w:r w:rsidR="00DE24E9">
        <w:rPr>
          <w:sz w:val="28"/>
          <w:szCs w:val="28"/>
        </w:rPr>
        <w:t xml:space="preserve">confidential </w:t>
      </w:r>
      <w:r w:rsidRPr="00E82CAE">
        <w:rPr>
          <w:sz w:val="28"/>
          <w:szCs w:val="28"/>
        </w:rPr>
        <w:t xml:space="preserve">matters in the guardianship report </w:t>
      </w:r>
      <w:r w:rsidR="00720EFB">
        <w:rPr>
          <w:sz w:val="28"/>
          <w:szCs w:val="28"/>
        </w:rPr>
        <w:t>are</w:t>
      </w:r>
      <w:r w:rsidRPr="00E82CAE">
        <w:rPr>
          <w:sz w:val="28"/>
          <w:szCs w:val="28"/>
        </w:rPr>
        <w:t xml:space="preserve"> filed as such</w:t>
      </w:r>
      <w:r w:rsidR="008F742B">
        <w:rPr>
          <w:sz w:val="28"/>
          <w:szCs w:val="28"/>
        </w:rPr>
        <w:t xml:space="preserve">, </w:t>
      </w:r>
      <w:r w:rsidR="008676DE">
        <w:rPr>
          <w:sz w:val="28"/>
          <w:szCs w:val="28"/>
        </w:rPr>
        <w:t>and Rule</w:t>
      </w:r>
      <w:r w:rsidR="008F742B">
        <w:rPr>
          <w:sz w:val="28"/>
          <w:szCs w:val="28"/>
        </w:rPr>
        <w:t xml:space="preserve"> 46(d) now reads: “The guardian must file the required medical professiona</w:t>
      </w:r>
      <w:r w:rsidR="00F06D86">
        <w:rPr>
          <w:sz w:val="28"/>
          <w:szCs w:val="28"/>
        </w:rPr>
        <w:t>l</w:t>
      </w:r>
      <w:r w:rsidR="008F742B">
        <w:rPr>
          <w:sz w:val="28"/>
          <w:szCs w:val="28"/>
        </w:rPr>
        <w:t>’s report or summary as a confidential document under Rule 8</w:t>
      </w:r>
      <w:r w:rsidRPr="00E82CAE">
        <w:rPr>
          <w:sz w:val="28"/>
          <w:szCs w:val="28"/>
        </w:rPr>
        <w:t>.</w:t>
      </w:r>
      <w:r w:rsidR="008F742B">
        <w:rPr>
          <w:sz w:val="28"/>
          <w:szCs w:val="28"/>
        </w:rPr>
        <w:t>”</w:t>
      </w:r>
    </w:p>
    <w:bookmarkEnd w:id="0"/>
    <w:p w14:paraId="1699E19B" w14:textId="65A5BA6D" w:rsidR="00E82CAE" w:rsidRPr="00D837E7" w:rsidRDefault="00E82CAE" w:rsidP="00673EFF">
      <w:pPr>
        <w:pStyle w:val="ListParagraph"/>
        <w:numPr>
          <w:ilvl w:val="0"/>
          <w:numId w:val="10"/>
        </w:numPr>
        <w:spacing w:after="200" w:line="480" w:lineRule="auto"/>
        <w:ind w:left="0" w:firstLine="720"/>
        <w:jc w:val="both"/>
        <w:rPr>
          <w:b/>
          <w:sz w:val="28"/>
          <w:szCs w:val="28"/>
          <w:u w:val="single"/>
        </w:rPr>
      </w:pPr>
      <w:r w:rsidRPr="00673EFF">
        <w:rPr>
          <w:b/>
          <w:sz w:val="28"/>
          <w:szCs w:val="28"/>
          <w:u w:val="single"/>
        </w:rPr>
        <w:t>Issues for discussion.</w:t>
      </w:r>
      <w:r w:rsidRPr="0029126F">
        <w:rPr>
          <w:sz w:val="28"/>
          <w:szCs w:val="28"/>
        </w:rPr>
        <w:t xml:space="preserve">  </w:t>
      </w:r>
      <w:r w:rsidRPr="00673EFF">
        <w:rPr>
          <w:sz w:val="28"/>
          <w:szCs w:val="28"/>
        </w:rPr>
        <w:t xml:space="preserve">Members </w:t>
      </w:r>
      <w:r w:rsidR="00673EFF">
        <w:rPr>
          <w:sz w:val="28"/>
          <w:szCs w:val="28"/>
        </w:rPr>
        <w:t>discussed</w:t>
      </w:r>
      <w:r w:rsidRPr="00673EFF">
        <w:rPr>
          <w:sz w:val="28"/>
          <w:szCs w:val="28"/>
        </w:rPr>
        <w:t xml:space="preserve"> </w:t>
      </w:r>
      <w:r w:rsidR="002A3C78">
        <w:rPr>
          <w:sz w:val="28"/>
          <w:szCs w:val="28"/>
        </w:rPr>
        <w:t>issues</w:t>
      </w:r>
      <w:r w:rsidRPr="00673EFF">
        <w:rPr>
          <w:sz w:val="28"/>
          <w:szCs w:val="28"/>
        </w:rPr>
        <w:t xml:space="preserve"> </w:t>
      </w:r>
      <w:r w:rsidR="00673EFF">
        <w:rPr>
          <w:sz w:val="28"/>
          <w:szCs w:val="28"/>
        </w:rPr>
        <w:t>that were raised other than by Rules Forum comment</w:t>
      </w:r>
      <w:r w:rsidR="00FF58D2">
        <w:rPr>
          <w:sz w:val="28"/>
          <w:szCs w:val="28"/>
        </w:rPr>
        <w:t>s</w:t>
      </w:r>
      <w:r w:rsidR="00673EFF">
        <w:rPr>
          <w:sz w:val="28"/>
          <w:szCs w:val="28"/>
        </w:rPr>
        <w:t>.</w:t>
      </w:r>
    </w:p>
    <w:p w14:paraId="2870BF64" w14:textId="3AFC6313" w:rsidR="00E82CAE" w:rsidRPr="00D837E7" w:rsidRDefault="00673EFF" w:rsidP="00D837E7">
      <w:pPr>
        <w:pStyle w:val="ListParagraph"/>
        <w:numPr>
          <w:ilvl w:val="0"/>
          <w:numId w:val="15"/>
        </w:numPr>
        <w:spacing w:line="480" w:lineRule="auto"/>
        <w:ind w:left="0" w:firstLine="720"/>
        <w:jc w:val="both"/>
        <w:rPr>
          <w:b/>
          <w:sz w:val="28"/>
          <w:szCs w:val="28"/>
          <w:u w:val="single"/>
        </w:rPr>
      </w:pPr>
      <w:r w:rsidRPr="00D837E7">
        <w:rPr>
          <w:b/>
          <w:i/>
          <w:sz w:val="28"/>
          <w:szCs w:val="28"/>
        </w:rPr>
        <w:t>An o</w:t>
      </w:r>
      <w:r w:rsidR="00E82CAE" w:rsidRPr="00D837E7">
        <w:rPr>
          <w:b/>
          <w:i/>
          <w:sz w:val="28"/>
          <w:szCs w:val="28"/>
        </w:rPr>
        <w:t>mitted provision about providing copies to the assigned judicial officer</w:t>
      </w:r>
      <w:r w:rsidR="00803A2A" w:rsidRPr="00D837E7">
        <w:rPr>
          <w:b/>
          <w:i/>
          <w:sz w:val="28"/>
          <w:szCs w:val="28"/>
        </w:rPr>
        <w:t>.</w:t>
      </w:r>
      <w:r w:rsidR="00803A2A" w:rsidRPr="00D837E7">
        <w:rPr>
          <w:sz w:val="28"/>
          <w:szCs w:val="28"/>
        </w:rPr>
        <w:t xml:space="preserve"> </w:t>
      </w:r>
      <w:r w:rsidR="00F72340">
        <w:rPr>
          <w:sz w:val="28"/>
          <w:szCs w:val="28"/>
        </w:rPr>
        <w:t xml:space="preserve"> </w:t>
      </w:r>
      <w:r w:rsidR="00803A2A" w:rsidRPr="00D837E7">
        <w:rPr>
          <w:sz w:val="28"/>
          <w:szCs w:val="28"/>
        </w:rPr>
        <w:t>Before e</w:t>
      </w:r>
      <w:r w:rsidR="00A050DF" w:rsidRPr="00D837E7">
        <w:rPr>
          <w:sz w:val="28"/>
          <w:szCs w:val="28"/>
        </w:rPr>
        <w:t>-</w:t>
      </w:r>
      <w:r w:rsidR="00803A2A" w:rsidRPr="00D837E7">
        <w:rPr>
          <w:sz w:val="28"/>
          <w:szCs w:val="28"/>
        </w:rPr>
        <w:t>filing</w:t>
      </w:r>
      <w:r w:rsidR="00EE14AA" w:rsidRPr="00D837E7">
        <w:rPr>
          <w:sz w:val="28"/>
          <w:szCs w:val="28"/>
        </w:rPr>
        <w:t xml:space="preserve"> was implemented</w:t>
      </w:r>
      <w:r w:rsidR="00803A2A" w:rsidRPr="00D837E7">
        <w:rPr>
          <w:sz w:val="28"/>
          <w:szCs w:val="28"/>
        </w:rPr>
        <w:t>, c</w:t>
      </w:r>
      <w:r w:rsidR="00E82CAE" w:rsidRPr="00D837E7">
        <w:rPr>
          <w:sz w:val="28"/>
          <w:szCs w:val="28"/>
        </w:rPr>
        <w:t>ivil and local rules requir</w:t>
      </w:r>
      <w:r w:rsidR="003958C0" w:rsidRPr="00D837E7">
        <w:rPr>
          <w:sz w:val="28"/>
          <w:szCs w:val="28"/>
        </w:rPr>
        <w:t>ed</w:t>
      </w:r>
      <w:r w:rsidR="00E82CAE" w:rsidRPr="00D837E7">
        <w:rPr>
          <w:sz w:val="28"/>
          <w:szCs w:val="28"/>
        </w:rPr>
        <w:t xml:space="preserve"> </w:t>
      </w:r>
      <w:r w:rsidR="00E82624" w:rsidRPr="00D837E7">
        <w:rPr>
          <w:sz w:val="28"/>
          <w:szCs w:val="28"/>
        </w:rPr>
        <w:t>parties</w:t>
      </w:r>
      <w:r w:rsidR="00E82CAE" w:rsidRPr="00D837E7">
        <w:rPr>
          <w:sz w:val="28"/>
          <w:szCs w:val="28"/>
        </w:rPr>
        <w:t xml:space="preserve"> to provide </w:t>
      </w:r>
      <w:r w:rsidR="00EE14AA" w:rsidRPr="00D837E7">
        <w:rPr>
          <w:sz w:val="28"/>
          <w:szCs w:val="28"/>
        </w:rPr>
        <w:t xml:space="preserve">paper </w:t>
      </w:r>
      <w:r w:rsidR="00E82CAE" w:rsidRPr="00D837E7">
        <w:rPr>
          <w:sz w:val="28"/>
          <w:szCs w:val="28"/>
        </w:rPr>
        <w:t xml:space="preserve">copies of </w:t>
      </w:r>
      <w:r w:rsidR="00EE14AA" w:rsidRPr="00D837E7">
        <w:rPr>
          <w:sz w:val="28"/>
          <w:szCs w:val="28"/>
        </w:rPr>
        <w:t>certain filed documents</w:t>
      </w:r>
      <w:r w:rsidR="00E82CAE" w:rsidRPr="00D837E7">
        <w:rPr>
          <w:sz w:val="28"/>
          <w:szCs w:val="28"/>
        </w:rPr>
        <w:t xml:space="preserve"> to the assigned judicial</w:t>
      </w:r>
      <w:r w:rsidR="007A7BF3" w:rsidRPr="00D837E7">
        <w:rPr>
          <w:sz w:val="28"/>
          <w:szCs w:val="28"/>
        </w:rPr>
        <w:t xml:space="preserve"> officer</w:t>
      </w:r>
      <w:r w:rsidR="00EE14AA" w:rsidRPr="00D837E7">
        <w:rPr>
          <w:sz w:val="28"/>
          <w:szCs w:val="28"/>
        </w:rPr>
        <w:t xml:space="preserve">.  </w:t>
      </w:r>
      <w:r w:rsidR="00C338C9" w:rsidRPr="00D837E7">
        <w:rPr>
          <w:sz w:val="28"/>
          <w:szCs w:val="28"/>
        </w:rPr>
        <w:lastRenderedPageBreak/>
        <w:t xml:space="preserve">Those rules were abrogated with </w:t>
      </w:r>
      <w:r w:rsidR="00EE14AA" w:rsidRPr="00D837E7">
        <w:rPr>
          <w:sz w:val="28"/>
          <w:szCs w:val="28"/>
        </w:rPr>
        <w:t>the advent of e-filing</w:t>
      </w:r>
      <w:r w:rsidR="00A85F69" w:rsidRPr="00D837E7">
        <w:rPr>
          <w:sz w:val="28"/>
          <w:szCs w:val="28"/>
        </w:rPr>
        <w:t xml:space="preserve">.  </w:t>
      </w:r>
      <w:r w:rsidR="00C338C9" w:rsidRPr="00D837E7">
        <w:rPr>
          <w:sz w:val="28"/>
          <w:szCs w:val="28"/>
        </w:rPr>
        <w:t xml:space="preserve">But probate proceedings still use paper filing, and the </w:t>
      </w:r>
      <w:r w:rsidR="00A85F69" w:rsidRPr="00D837E7">
        <w:rPr>
          <w:sz w:val="28"/>
          <w:szCs w:val="28"/>
        </w:rPr>
        <w:t>occasional failure of parties to provide</w:t>
      </w:r>
      <w:r w:rsidR="00EE14AA" w:rsidRPr="00D837E7">
        <w:rPr>
          <w:sz w:val="28"/>
          <w:szCs w:val="28"/>
        </w:rPr>
        <w:t xml:space="preserve"> judicial officers in probate proceedings </w:t>
      </w:r>
      <w:r w:rsidR="00A85F69" w:rsidRPr="00D837E7">
        <w:rPr>
          <w:sz w:val="28"/>
          <w:szCs w:val="28"/>
        </w:rPr>
        <w:t>with copies of</w:t>
      </w:r>
      <w:r w:rsidR="00C338C9" w:rsidRPr="00D837E7">
        <w:rPr>
          <w:sz w:val="28"/>
          <w:szCs w:val="28"/>
        </w:rPr>
        <w:t xml:space="preserve"> their</w:t>
      </w:r>
      <w:r w:rsidR="00A85F69" w:rsidRPr="00D837E7">
        <w:rPr>
          <w:sz w:val="28"/>
          <w:szCs w:val="28"/>
        </w:rPr>
        <w:t xml:space="preserve"> filings has left some judges </w:t>
      </w:r>
      <w:r w:rsidR="00EE14AA" w:rsidRPr="00D837E7">
        <w:rPr>
          <w:sz w:val="28"/>
          <w:szCs w:val="28"/>
        </w:rPr>
        <w:t>unaware of the need to act on a filing</w:t>
      </w:r>
      <w:r w:rsidR="00803A2A" w:rsidRPr="00D837E7">
        <w:rPr>
          <w:sz w:val="28"/>
          <w:szCs w:val="28"/>
        </w:rPr>
        <w:t>.</w:t>
      </w:r>
      <w:r w:rsidR="00E82CAE" w:rsidRPr="00D837E7">
        <w:rPr>
          <w:sz w:val="28"/>
          <w:szCs w:val="28"/>
        </w:rPr>
        <w:t xml:space="preserve">  </w:t>
      </w:r>
      <w:r w:rsidR="00EE14AA" w:rsidRPr="00D837E7">
        <w:rPr>
          <w:sz w:val="28"/>
          <w:szCs w:val="28"/>
        </w:rPr>
        <w:t>The</w:t>
      </w:r>
      <w:r w:rsidR="002A3C78" w:rsidRPr="00D837E7">
        <w:rPr>
          <w:sz w:val="28"/>
          <w:szCs w:val="28"/>
        </w:rPr>
        <w:t xml:space="preserve"> Task Force directed the Editorial Group to </w:t>
      </w:r>
      <w:r w:rsidR="00341A63" w:rsidRPr="00D837E7">
        <w:rPr>
          <w:sz w:val="28"/>
          <w:szCs w:val="28"/>
        </w:rPr>
        <w:t xml:space="preserve">modify the rules to </w:t>
      </w:r>
      <w:r w:rsidR="00933195">
        <w:rPr>
          <w:sz w:val="28"/>
          <w:szCs w:val="28"/>
        </w:rPr>
        <w:t>re</w:t>
      </w:r>
      <w:r w:rsidR="00341A63" w:rsidRPr="00D837E7">
        <w:rPr>
          <w:sz w:val="28"/>
          <w:szCs w:val="28"/>
        </w:rPr>
        <w:t>incorporate such a requir</w:t>
      </w:r>
      <w:r w:rsidR="00B15187" w:rsidRPr="00D837E7">
        <w:rPr>
          <w:sz w:val="28"/>
          <w:szCs w:val="28"/>
        </w:rPr>
        <w:t>e</w:t>
      </w:r>
      <w:r w:rsidR="00341A63" w:rsidRPr="00D837E7">
        <w:rPr>
          <w:sz w:val="28"/>
          <w:szCs w:val="28"/>
        </w:rPr>
        <w:t>ment</w:t>
      </w:r>
      <w:r w:rsidR="00E82CAE" w:rsidRPr="00D837E7">
        <w:rPr>
          <w:sz w:val="28"/>
          <w:szCs w:val="28"/>
        </w:rPr>
        <w:t xml:space="preserve">. </w:t>
      </w:r>
      <w:r w:rsidR="00FD3F88">
        <w:rPr>
          <w:sz w:val="28"/>
          <w:szCs w:val="28"/>
        </w:rPr>
        <w:t xml:space="preserve"> </w:t>
      </w:r>
      <w:r w:rsidR="00341A63" w:rsidRPr="00D837E7">
        <w:rPr>
          <w:sz w:val="28"/>
          <w:szCs w:val="28"/>
        </w:rPr>
        <w:t>The Editorial Group modified Rule</w:t>
      </w:r>
      <w:r w:rsidR="00F06D86" w:rsidRPr="00D837E7">
        <w:rPr>
          <w:sz w:val="28"/>
          <w:szCs w:val="28"/>
        </w:rPr>
        <w:t>s</w:t>
      </w:r>
      <w:r w:rsidR="00341A63" w:rsidRPr="00D837E7">
        <w:rPr>
          <w:sz w:val="28"/>
          <w:szCs w:val="28"/>
        </w:rPr>
        <w:t xml:space="preserve"> 15 (</w:t>
      </w:r>
      <w:r w:rsidR="00695476" w:rsidRPr="00D837E7">
        <w:rPr>
          <w:sz w:val="28"/>
          <w:szCs w:val="28"/>
        </w:rPr>
        <w:t>“Petitions”) and 19 (“Motions”) to require part</w:t>
      </w:r>
      <w:r w:rsidR="00F06D86" w:rsidRPr="00D837E7">
        <w:rPr>
          <w:sz w:val="28"/>
          <w:szCs w:val="28"/>
        </w:rPr>
        <w:t>ies</w:t>
      </w:r>
      <w:r w:rsidR="00695476" w:rsidRPr="00D837E7">
        <w:rPr>
          <w:sz w:val="28"/>
          <w:szCs w:val="28"/>
        </w:rPr>
        <w:t xml:space="preserve"> </w:t>
      </w:r>
      <w:r w:rsidR="00104DDA" w:rsidRPr="00D837E7">
        <w:rPr>
          <w:sz w:val="28"/>
          <w:szCs w:val="28"/>
        </w:rPr>
        <w:t>filing documents under these rules to provide a copy of the filed document to the assigned judicial officer.</w:t>
      </w:r>
    </w:p>
    <w:p w14:paraId="086B2F21" w14:textId="3D092C00" w:rsidR="00FF58D2" w:rsidRDefault="00E82CAE" w:rsidP="00D837E7">
      <w:pPr>
        <w:pStyle w:val="ListParagraph"/>
        <w:numPr>
          <w:ilvl w:val="0"/>
          <w:numId w:val="15"/>
        </w:numPr>
        <w:spacing w:line="480" w:lineRule="auto"/>
        <w:ind w:left="0" w:firstLine="810"/>
        <w:jc w:val="both"/>
        <w:rPr>
          <w:sz w:val="28"/>
          <w:szCs w:val="28"/>
        </w:rPr>
      </w:pPr>
      <w:r w:rsidRPr="00673EFF">
        <w:rPr>
          <w:b/>
          <w:i/>
          <w:sz w:val="28"/>
          <w:szCs w:val="28"/>
        </w:rPr>
        <w:t>Training for retained attorneys in guardianship and conservatorship cases (Rule 42).</w:t>
      </w:r>
      <w:r w:rsidRPr="00673EFF">
        <w:rPr>
          <w:sz w:val="28"/>
          <w:szCs w:val="28"/>
        </w:rPr>
        <w:t xml:space="preserve">  </w:t>
      </w:r>
      <w:r w:rsidR="00C338C9">
        <w:rPr>
          <w:sz w:val="28"/>
          <w:szCs w:val="28"/>
        </w:rPr>
        <w:t xml:space="preserve">Proposed </w:t>
      </w:r>
      <w:r w:rsidRPr="00673EFF">
        <w:rPr>
          <w:sz w:val="28"/>
          <w:szCs w:val="28"/>
        </w:rPr>
        <w:t>Rule 42 (“training, role, and termination of an attorney for a subject person”), section (a), requires an attorney for the subject person of an adult guardianship or protective proceeding to complete training prescribed by the Supreme Court.</w:t>
      </w:r>
    </w:p>
    <w:p w14:paraId="12FBC9A0" w14:textId="66E92F10" w:rsidR="00E82CAE" w:rsidRPr="00486F4D" w:rsidRDefault="00B15187" w:rsidP="00FF58D2">
      <w:pPr>
        <w:pStyle w:val="ListParagraph"/>
        <w:spacing w:line="480" w:lineRule="auto"/>
        <w:ind w:left="0" w:firstLine="720"/>
        <w:jc w:val="both"/>
        <w:rPr>
          <w:b/>
          <w:sz w:val="28"/>
          <w:szCs w:val="28"/>
        </w:rPr>
      </w:pPr>
      <w:r>
        <w:rPr>
          <w:sz w:val="28"/>
          <w:szCs w:val="28"/>
        </w:rPr>
        <w:t xml:space="preserve">To </w:t>
      </w:r>
      <w:r w:rsidR="00DD7656">
        <w:rPr>
          <w:sz w:val="28"/>
          <w:szCs w:val="28"/>
        </w:rPr>
        <w:t>enhance</w:t>
      </w:r>
      <w:r>
        <w:rPr>
          <w:sz w:val="28"/>
          <w:szCs w:val="28"/>
        </w:rPr>
        <w:t xml:space="preserve"> the competency of counsel, the</w:t>
      </w:r>
      <w:r w:rsidR="00F06D86">
        <w:rPr>
          <w:sz w:val="28"/>
          <w:szCs w:val="28"/>
        </w:rPr>
        <w:t xml:space="preserve"> </w:t>
      </w:r>
      <w:r w:rsidR="00F06D86" w:rsidRPr="00A85F69">
        <w:rPr>
          <w:rFonts w:eastAsia="Times New Roman"/>
          <w:sz w:val="28"/>
          <w:szCs w:val="28"/>
        </w:rPr>
        <w:t>Committee on Improving Judicial Oversight and Processing of Probate Court Matters</w:t>
      </w:r>
      <w:r w:rsidR="00F06D86">
        <w:rPr>
          <w:rFonts w:eastAsia="Times New Roman"/>
          <w:sz w:val="28"/>
          <w:szCs w:val="28"/>
        </w:rPr>
        <w:t xml:space="preserve"> (chaired by Justice Ann A. Scott Timmer </w:t>
      </w:r>
      <w:r w:rsidR="00A85F69">
        <w:rPr>
          <w:rFonts w:eastAsia="Times New Roman"/>
          <w:sz w:val="28"/>
          <w:szCs w:val="28"/>
        </w:rPr>
        <w:t>[</w:t>
      </w:r>
      <w:r w:rsidR="00F06D86">
        <w:rPr>
          <w:sz w:val="28"/>
          <w:szCs w:val="28"/>
        </w:rPr>
        <w:t>“</w:t>
      </w:r>
      <w:r w:rsidR="006C3547">
        <w:rPr>
          <w:sz w:val="28"/>
          <w:szCs w:val="28"/>
        </w:rPr>
        <w:t>Timmer Commission</w:t>
      </w:r>
      <w:r w:rsidR="00F06D86">
        <w:rPr>
          <w:sz w:val="28"/>
          <w:szCs w:val="28"/>
        </w:rPr>
        <w:t>”</w:t>
      </w:r>
      <w:r w:rsidR="00A85F69">
        <w:rPr>
          <w:sz w:val="28"/>
          <w:szCs w:val="28"/>
        </w:rPr>
        <w:t>]</w:t>
      </w:r>
      <w:r w:rsidR="00F06D86">
        <w:rPr>
          <w:sz w:val="28"/>
          <w:szCs w:val="28"/>
        </w:rPr>
        <w:t>)</w:t>
      </w:r>
      <w:r w:rsidR="006C3547">
        <w:rPr>
          <w:sz w:val="28"/>
          <w:szCs w:val="28"/>
        </w:rPr>
        <w:t xml:space="preserve"> recommend</w:t>
      </w:r>
      <w:r>
        <w:rPr>
          <w:sz w:val="28"/>
          <w:szCs w:val="28"/>
        </w:rPr>
        <w:t xml:space="preserve">ed that all attorneys </w:t>
      </w:r>
      <w:r w:rsidR="00DD7656">
        <w:rPr>
          <w:sz w:val="28"/>
          <w:szCs w:val="28"/>
        </w:rPr>
        <w:t xml:space="preserve">in such cases </w:t>
      </w:r>
      <w:r>
        <w:rPr>
          <w:sz w:val="28"/>
          <w:szCs w:val="28"/>
        </w:rPr>
        <w:t>be required t</w:t>
      </w:r>
      <w:r w:rsidR="00122DEC">
        <w:rPr>
          <w:sz w:val="28"/>
          <w:szCs w:val="28"/>
        </w:rPr>
        <w:t xml:space="preserve">o participate in </w:t>
      </w:r>
      <w:r w:rsidR="00DD7656">
        <w:rPr>
          <w:sz w:val="28"/>
          <w:szCs w:val="28"/>
        </w:rPr>
        <w:t xml:space="preserve">court-prescribed </w:t>
      </w:r>
      <w:r w:rsidR="00122DEC">
        <w:rPr>
          <w:sz w:val="28"/>
          <w:szCs w:val="28"/>
        </w:rPr>
        <w:t xml:space="preserve">training. </w:t>
      </w:r>
      <w:r w:rsidR="00FD3F88">
        <w:rPr>
          <w:sz w:val="28"/>
          <w:szCs w:val="28"/>
        </w:rPr>
        <w:t xml:space="preserve"> </w:t>
      </w:r>
      <w:r w:rsidR="00F06D86">
        <w:rPr>
          <w:sz w:val="28"/>
          <w:szCs w:val="28"/>
        </w:rPr>
        <w:t>T</w:t>
      </w:r>
      <w:r w:rsidR="00122DEC">
        <w:rPr>
          <w:sz w:val="28"/>
          <w:szCs w:val="28"/>
        </w:rPr>
        <w:t xml:space="preserve">he </w:t>
      </w:r>
      <w:r w:rsidR="00990EA7">
        <w:rPr>
          <w:sz w:val="28"/>
          <w:szCs w:val="28"/>
        </w:rPr>
        <w:t>T</w:t>
      </w:r>
      <w:r w:rsidR="00122DEC">
        <w:rPr>
          <w:sz w:val="28"/>
          <w:szCs w:val="28"/>
        </w:rPr>
        <w:t>ask Force discovered</w:t>
      </w:r>
      <w:r w:rsidR="00DD7656">
        <w:rPr>
          <w:sz w:val="28"/>
          <w:szCs w:val="28"/>
        </w:rPr>
        <w:t>, however,</w:t>
      </w:r>
      <w:r w:rsidR="00122DEC">
        <w:rPr>
          <w:sz w:val="28"/>
          <w:szCs w:val="28"/>
        </w:rPr>
        <w:t xml:space="preserve"> that </w:t>
      </w:r>
      <w:r w:rsidR="00990EA7">
        <w:rPr>
          <w:sz w:val="28"/>
          <w:szCs w:val="28"/>
        </w:rPr>
        <w:t xml:space="preserve">the </w:t>
      </w:r>
      <w:r w:rsidR="00EE14AA">
        <w:rPr>
          <w:sz w:val="28"/>
          <w:szCs w:val="28"/>
        </w:rPr>
        <w:t xml:space="preserve">current </w:t>
      </w:r>
      <w:r w:rsidR="00990EA7">
        <w:rPr>
          <w:sz w:val="28"/>
          <w:szCs w:val="28"/>
        </w:rPr>
        <w:t>training course is not robust and provides only basic, limited information</w:t>
      </w:r>
      <w:r w:rsidR="00A85F69">
        <w:rPr>
          <w:sz w:val="28"/>
          <w:szCs w:val="28"/>
        </w:rPr>
        <w:t xml:space="preserve">, and so largely fails to </w:t>
      </w:r>
      <w:r w:rsidR="003322F5">
        <w:rPr>
          <w:sz w:val="28"/>
          <w:szCs w:val="28"/>
        </w:rPr>
        <w:t>accomplish</w:t>
      </w:r>
      <w:r w:rsidR="00A85F69">
        <w:rPr>
          <w:sz w:val="28"/>
          <w:szCs w:val="28"/>
        </w:rPr>
        <w:t xml:space="preserve"> the desired training</w:t>
      </w:r>
      <w:r w:rsidR="00F60BF0">
        <w:rPr>
          <w:sz w:val="28"/>
          <w:szCs w:val="28"/>
        </w:rPr>
        <w:t xml:space="preserve">. </w:t>
      </w:r>
      <w:r w:rsidR="00FD3F88">
        <w:rPr>
          <w:sz w:val="28"/>
          <w:szCs w:val="28"/>
        </w:rPr>
        <w:t xml:space="preserve"> </w:t>
      </w:r>
      <w:r w:rsidR="00F60BF0">
        <w:rPr>
          <w:sz w:val="28"/>
          <w:szCs w:val="28"/>
        </w:rPr>
        <w:t>Given this, all but three members of the</w:t>
      </w:r>
      <w:r w:rsidR="00DD7656">
        <w:rPr>
          <w:sz w:val="28"/>
          <w:szCs w:val="28"/>
        </w:rPr>
        <w:t xml:space="preserve"> Task Force </w:t>
      </w:r>
      <w:r w:rsidR="00F60BF0">
        <w:rPr>
          <w:sz w:val="28"/>
          <w:szCs w:val="28"/>
        </w:rPr>
        <w:t>a</w:t>
      </w:r>
      <w:r w:rsidR="00E82CAE" w:rsidRPr="00673EFF">
        <w:rPr>
          <w:sz w:val="28"/>
          <w:szCs w:val="28"/>
        </w:rPr>
        <w:t xml:space="preserve">greed </w:t>
      </w:r>
      <w:r w:rsidR="00F60BF0">
        <w:rPr>
          <w:sz w:val="28"/>
          <w:szCs w:val="28"/>
        </w:rPr>
        <w:t>t</w:t>
      </w:r>
      <w:r w:rsidR="00E82CAE" w:rsidRPr="00673EFF">
        <w:rPr>
          <w:sz w:val="28"/>
          <w:szCs w:val="28"/>
        </w:rPr>
        <w:t xml:space="preserve">he training requirement should </w:t>
      </w:r>
      <w:r w:rsidR="00E82CAE" w:rsidRPr="00673EFF">
        <w:rPr>
          <w:sz w:val="28"/>
          <w:szCs w:val="28"/>
        </w:rPr>
        <w:lastRenderedPageBreak/>
        <w:t>apply only to “court-appointed” counsel</w:t>
      </w:r>
      <w:r w:rsidR="00A85F69">
        <w:rPr>
          <w:sz w:val="28"/>
          <w:szCs w:val="28"/>
        </w:rPr>
        <w:t xml:space="preserve"> and</w:t>
      </w:r>
      <w:r w:rsidR="008676DE">
        <w:rPr>
          <w:sz w:val="28"/>
          <w:szCs w:val="28"/>
        </w:rPr>
        <w:t xml:space="preserve"> </w:t>
      </w:r>
      <w:r w:rsidR="00C0595B">
        <w:rPr>
          <w:sz w:val="28"/>
          <w:szCs w:val="28"/>
        </w:rPr>
        <w:t xml:space="preserve">the Task Force </w:t>
      </w:r>
      <w:r w:rsidR="008D39F3">
        <w:rPr>
          <w:sz w:val="28"/>
          <w:szCs w:val="28"/>
        </w:rPr>
        <w:t xml:space="preserve">modified </w:t>
      </w:r>
      <w:r w:rsidR="00E82CAE" w:rsidRPr="00673EFF">
        <w:rPr>
          <w:sz w:val="28"/>
          <w:szCs w:val="28"/>
        </w:rPr>
        <w:t xml:space="preserve">Rule 42(a) </w:t>
      </w:r>
      <w:r w:rsidR="006C3547">
        <w:rPr>
          <w:sz w:val="28"/>
          <w:szCs w:val="28"/>
        </w:rPr>
        <w:t>accordingly</w:t>
      </w:r>
      <w:r w:rsidR="00E82CAE" w:rsidRPr="00673EFF">
        <w:rPr>
          <w:sz w:val="28"/>
          <w:szCs w:val="28"/>
        </w:rPr>
        <w:t>.</w:t>
      </w:r>
    </w:p>
    <w:p w14:paraId="6072C149" w14:textId="5F984A3C" w:rsidR="00E82CAE" w:rsidRDefault="00E82CAE" w:rsidP="00D837E7">
      <w:pPr>
        <w:pStyle w:val="ListParagraph"/>
        <w:numPr>
          <w:ilvl w:val="0"/>
          <w:numId w:val="15"/>
        </w:numPr>
        <w:spacing w:line="480" w:lineRule="auto"/>
        <w:ind w:left="0" w:firstLine="864"/>
        <w:jc w:val="both"/>
        <w:rPr>
          <w:sz w:val="28"/>
          <w:szCs w:val="28"/>
        </w:rPr>
      </w:pPr>
      <w:r w:rsidRPr="00673EFF">
        <w:rPr>
          <w:b/>
          <w:i/>
          <w:sz w:val="28"/>
          <w:szCs w:val="28"/>
        </w:rPr>
        <w:t>Actions a fiduciary can competently perform (Rule 31).</w:t>
      </w:r>
      <w:r w:rsidRPr="00673EFF">
        <w:rPr>
          <w:sz w:val="28"/>
          <w:szCs w:val="28"/>
        </w:rPr>
        <w:t xml:space="preserve">  </w:t>
      </w:r>
      <w:r w:rsidR="00C338C9">
        <w:rPr>
          <w:sz w:val="28"/>
          <w:szCs w:val="28"/>
        </w:rPr>
        <w:t xml:space="preserve">Proposed </w:t>
      </w:r>
      <w:r w:rsidRPr="00673EFF">
        <w:rPr>
          <w:sz w:val="28"/>
          <w:szCs w:val="28"/>
        </w:rPr>
        <w:t xml:space="preserve">Rule 31 (“duties of a fiduciary’s attorney”) requires counsel for a fiduciary to “encourage the fiduciary to take actions the fiduciary is authorized to perform and can perform competently rather than have the attorney perform them.”  </w:t>
      </w:r>
      <w:r w:rsidR="00673EFF">
        <w:rPr>
          <w:sz w:val="28"/>
          <w:szCs w:val="28"/>
        </w:rPr>
        <w:t>Members were</w:t>
      </w:r>
      <w:r w:rsidRPr="00673EFF">
        <w:rPr>
          <w:sz w:val="28"/>
          <w:szCs w:val="28"/>
        </w:rPr>
        <w:t xml:space="preserve"> concern</w:t>
      </w:r>
      <w:r w:rsidR="00673EFF">
        <w:rPr>
          <w:sz w:val="28"/>
          <w:szCs w:val="28"/>
        </w:rPr>
        <w:t>ed</w:t>
      </w:r>
      <w:r w:rsidRPr="00673EFF">
        <w:rPr>
          <w:sz w:val="28"/>
          <w:szCs w:val="28"/>
        </w:rPr>
        <w:t xml:space="preserve"> that counsel might be civilly liable for encouraging the fiduciary to perform duties that the fiduciary then performed incompetently.  Although similar language is contained in current Rule 10(D) and has not been problematic, </w:t>
      </w:r>
      <w:r w:rsidR="002A1F73">
        <w:rPr>
          <w:sz w:val="28"/>
          <w:szCs w:val="28"/>
        </w:rPr>
        <w:t>the Task Force</w:t>
      </w:r>
      <w:r w:rsidRPr="00673EFF">
        <w:rPr>
          <w:sz w:val="28"/>
          <w:szCs w:val="28"/>
        </w:rPr>
        <w:t xml:space="preserve"> agreed to remove from Rule 31(a) (“duty to minimize legal expenses”) the words “can perform competently.”</w:t>
      </w:r>
    </w:p>
    <w:p w14:paraId="41758D60" w14:textId="6370F653" w:rsidR="003E111F" w:rsidRPr="00FA5914" w:rsidRDefault="00FA5914" w:rsidP="00FA5914">
      <w:pPr>
        <w:pStyle w:val="ListParagraph"/>
        <w:numPr>
          <w:ilvl w:val="0"/>
          <w:numId w:val="15"/>
        </w:numPr>
        <w:spacing w:line="480" w:lineRule="auto"/>
        <w:ind w:left="0" w:firstLine="720"/>
        <w:jc w:val="both"/>
        <w:rPr>
          <w:sz w:val="28"/>
          <w:szCs w:val="28"/>
        </w:rPr>
      </w:pPr>
      <w:r w:rsidRPr="00F9642A">
        <w:rPr>
          <w:b/>
          <w:i/>
          <w:sz w:val="28"/>
          <w:szCs w:val="28"/>
        </w:rPr>
        <w:t xml:space="preserve">Rule 45 budget and </w:t>
      </w:r>
      <w:r>
        <w:rPr>
          <w:b/>
          <w:i/>
          <w:sz w:val="28"/>
          <w:szCs w:val="28"/>
        </w:rPr>
        <w:t xml:space="preserve">a </w:t>
      </w:r>
      <w:r w:rsidRPr="00F9642A">
        <w:rPr>
          <w:b/>
          <w:i/>
          <w:sz w:val="28"/>
          <w:szCs w:val="28"/>
        </w:rPr>
        <w:t>proposal for a simplified budget form.</w:t>
      </w:r>
      <w:r w:rsidRPr="00FD3F88">
        <w:rPr>
          <w:sz w:val="28"/>
          <w:szCs w:val="28"/>
        </w:rPr>
        <w:t xml:space="preserve">  </w:t>
      </w:r>
      <w:r>
        <w:rPr>
          <w:sz w:val="28"/>
          <w:szCs w:val="28"/>
        </w:rPr>
        <w:t xml:space="preserve">In its </w:t>
      </w:r>
      <w:r w:rsidR="00496408">
        <w:rPr>
          <w:sz w:val="28"/>
          <w:szCs w:val="28"/>
        </w:rPr>
        <w:t>p</w:t>
      </w:r>
      <w:r>
        <w:rPr>
          <w:sz w:val="28"/>
          <w:szCs w:val="28"/>
        </w:rPr>
        <w:t>etition, t</w:t>
      </w:r>
      <w:r w:rsidRPr="00F9642A">
        <w:rPr>
          <w:sz w:val="28"/>
          <w:szCs w:val="28"/>
        </w:rPr>
        <w:t xml:space="preserve">he Task Force </w:t>
      </w:r>
      <w:r>
        <w:rPr>
          <w:sz w:val="28"/>
          <w:szCs w:val="28"/>
        </w:rPr>
        <w:t xml:space="preserve">modified current Rule 30.3 </w:t>
      </w:r>
      <w:r w:rsidR="00F818C6">
        <w:rPr>
          <w:sz w:val="28"/>
          <w:szCs w:val="28"/>
        </w:rPr>
        <w:t>(“conservatorship estate budget”)</w:t>
      </w:r>
      <w:r>
        <w:rPr>
          <w:sz w:val="28"/>
          <w:szCs w:val="28"/>
        </w:rPr>
        <w:t xml:space="preserve"> </w:t>
      </w:r>
      <w:r w:rsidR="00F818C6">
        <w:rPr>
          <w:sz w:val="28"/>
          <w:szCs w:val="28"/>
        </w:rPr>
        <w:t>to allow</w:t>
      </w:r>
      <w:r w:rsidR="00C0595B">
        <w:rPr>
          <w:sz w:val="28"/>
          <w:szCs w:val="28"/>
        </w:rPr>
        <w:t xml:space="preserve"> the court </w:t>
      </w:r>
      <w:r w:rsidR="00F818C6">
        <w:rPr>
          <w:sz w:val="28"/>
          <w:szCs w:val="28"/>
        </w:rPr>
        <w:t>to</w:t>
      </w:r>
      <w:r>
        <w:rPr>
          <w:sz w:val="28"/>
          <w:szCs w:val="28"/>
        </w:rPr>
        <w:t xml:space="preserve"> decide whether a budget </w:t>
      </w:r>
      <w:r w:rsidR="00C0595B">
        <w:rPr>
          <w:sz w:val="28"/>
          <w:szCs w:val="28"/>
        </w:rPr>
        <w:t>was</w:t>
      </w:r>
      <w:r>
        <w:rPr>
          <w:sz w:val="28"/>
          <w:szCs w:val="28"/>
        </w:rPr>
        <w:t xml:space="preserve"> necessary</w:t>
      </w:r>
      <w:r w:rsidR="00F818C6">
        <w:rPr>
          <w:sz w:val="28"/>
          <w:szCs w:val="28"/>
        </w:rPr>
        <w:t xml:space="preserve"> in a conservatorship case</w:t>
      </w:r>
      <w:r>
        <w:rPr>
          <w:sz w:val="28"/>
          <w:szCs w:val="28"/>
        </w:rPr>
        <w:t xml:space="preserve">.  </w:t>
      </w:r>
      <w:r w:rsidR="00F818C6">
        <w:rPr>
          <w:sz w:val="28"/>
          <w:szCs w:val="28"/>
        </w:rPr>
        <w:t>The Task Force</w:t>
      </w:r>
      <w:r>
        <w:rPr>
          <w:sz w:val="28"/>
          <w:szCs w:val="28"/>
        </w:rPr>
        <w:t xml:space="preserve"> did so because it found that the cost of imposing the budget requirement greatly outweighed the benefit it produced in far too many cases.  But informal comments received during the comment period asked the Task Force to consider reinstituting th</w:t>
      </w:r>
      <w:r w:rsidR="00F818C6">
        <w:rPr>
          <w:sz w:val="28"/>
          <w:szCs w:val="28"/>
        </w:rPr>
        <w:t>is</w:t>
      </w:r>
      <w:r>
        <w:rPr>
          <w:sz w:val="28"/>
          <w:szCs w:val="28"/>
        </w:rPr>
        <w:t xml:space="preserve"> requirement </w:t>
      </w:r>
      <w:r w:rsidR="00F818C6">
        <w:rPr>
          <w:sz w:val="28"/>
          <w:szCs w:val="28"/>
        </w:rPr>
        <w:t>for</w:t>
      </w:r>
      <w:r>
        <w:rPr>
          <w:sz w:val="28"/>
          <w:szCs w:val="28"/>
        </w:rPr>
        <w:t xml:space="preserve"> every </w:t>
      </w:r>
      <w:r w:rsidR="00F818C6">
        <w:rPr>
          <w:sz w:val="28"/>
          <w:szCs w:val="28"/>
        </w:rPr>
        <w:t>conservatorship</w:t>
      </w:r>
      <w:r>
        <w:rPr>
          <w:sz w:val="28"/>
          <w:szCs w:val="28"/>
        </w:rPr>
        <w:t>.</w:t>
      </w:r>
    </w:p>
    <w:p w14:paraId="625C3159" w14:textId="0DE8ED26" w:rsidR="003E111F" w:rsidRDefault="003E111F" w:rsidP="008676DE">
      <w:pPr>
        <w:spacing w:line="480" w:lineRule="auto"/>
        <w:ind w:firstLine="720"/>
        <w:jc w:val="both"/>
        <w:rPr>
          <w:sz w:val="28"/>
          <w:szCs w:val="28"/>
        </w:rPr>
      </w:pPr>
      <w:r>
        <w:rPr>
          <w:sz w:val="28"/>
          <w:szCs w:val="28"/>
        </w:rPr>
        <w:t>The T</w:t>
      </w:r>
      <w:r w:rsidR="002A1F73">
        <w:rPr>
          <w:sz w:val="28"/>
          <w:szCs w:val="28"/>
        </w:rPr>
        <w:t>ask Force</w:t>
      </w:r>
      <w:r>
        <w:rPr>
          <w:sz w:val="28"/>
          <w:szCs w:val="28"/>
        </w:rPr>
        <w:t xml:space="preserve"> took the </w:t>
      </w:r>
      <w:r w:rsidR="004B6638">
        <w:rPr>
          <w:sz w:val="28"/>
          <w:szCs w:val="28"/>
        </w:rPr>
        <w:t>request</w:t>
      </w:r>
      <w:r>
        <w:rPr>
          <w:sz w:val="28"/>
          <w:szCs w:val="28"/>
        </w:rPr>
        <w:t xml:space="preserve"> </w:t>
      </w:r>
      <w:r w:rsidR="00AC0D38">
        <w:rPr>
          <w:sz w:val="28"/>
          <w:szCs w:val="28"/>
        </w:rPr>
        <w:t xml:space="preserve">very </w:t>
      </w:r>
      <w:r>
        <w:rPr>
          <w:sz w:val="28"/>
          <w:szCs w:val="28"/>
        </w:rPr>
        <w:t>seriously.  It queried judges</w:t>
      </w:r>
      <w:r w:rsidR="003B1DD1">
        <w:rPr>
          <w:sz w:val="28"/>
          <w:szCs w:val="28"/>
        </w:rPr>
        <w:t>, fiduciaries, accountants,</w:t>
      </w:r>
      <w:r>
        <w:rPr>
          <w:sz w:val="28"/>
          <w:szCs w:val="28"/>
        </w:rPr>
        <w:t xml:space="preserve"> and lawyers about the effectiveness of the budget</w:t>
      </w:r>
      <w:r w:rsidR="00AC0D38">
        <w:rPr>
          <w:sz w:val="28"/>
          <w:szCs w:val="28"/>
        </w:rPr>
        <w:t xml:space="preserve"> requirement</w:t>
      </w:r>
      <w:r w:rsidR="003B1DD1">
        <w:rPr>
          <w:sz w:val="28"/>
          <w:szCs w:val="28"/>
        </w:rPr>
        <w:t>,</w:t>
      </w:r>
      <w:r>
        <w:rPr>
          <w:sz w:val="28"/>
          <w:szCs w:val="28"/>
        </w:rPr>
        <w:t xml:space="preserve"> and the </w:t>
      </w:r>
      <w:r w:rsidR="002A1F73">
        <w:rPr>
          <w:sz w:val="28"/>
          <w:szCs w:val="28"/>
        </w:rPr>
        <w:lastRenderedPageBreak/>
        <w:t>E</w:t>
      </w:r>
      <w:r>
        <w:rPr>
          <w:sz w:val="28"/>
          <w:szCs w:val="28"/>
        </w:rPr>
        <w:t xml:space="preserve">ditorial </w:t>
      </w:r>
      <w:r w:rsidR="002A1F73">
        <w:rPr>
          <w:sz w:val="28"/>
          <w:szCs w:val="28"/>
        </w:rPr>
        <w:t>G</w:t>
      </w:r>
      <w:r>
        <w:rPr>
          <w:sz w:val="28"/>
          <w:szCs w:val="28"/>
        </w:rPr>
        <w:t xml:space="preserve">roup submitted a proposed simplified budget </w:t>
      </w:r>
      <w:r w:rsidR="004B6638">
        <w:rPr>
          <w:sz w:val="28"/>
          <w:szCs w:val="28"/>
        </w:rPr>
        <w:t>to</w:t>
      </w:r>
      <w:r>
        <w:rPr>
          <w:sz w:val="28"/>
          <w:szCs w:val="28"/>
        </w:rPr>
        <w:t xml:space="preserve"> help overcome objections to the “budget in every case” requirement.  In the end, however, the</w:t>
      </w:r>
      <w:r w:rsidR="00C338C9">
        <w:rPr>
          <w:sz w:val="28"/>
          <w:szCs w:val="28"/>
        </w:rPr>
        <w:t xml:space="preserve"> consensus of the</w:t>
      </w:r>
      <w:r>
        <w:rPr>
          <w:sz w:val="28"/>
          <w:szCs w:val="28"/>
        </w:rPr>
        <w:t xml:space="preserve"> </w:t>
      </w:r>
      <w:r w:rsidR="008676DE">
        <w:rPr>
          <w:sz w:val="28"/>
          <w:szCs w:val="28"/>
        </w:rPr>
        <w:t>Task Force</w:t>
      </w:r>
      <w:r>
        <w:rPr>
          <w:sz w:val="28"/>
          <w:szCs w:val="28"/>
        </w:rPr>
        <w:t xml:space="preserve"> </w:t>
      </w:r>
      <w:r w:rsidR="00C338C9">
        <w:rPr>
          <w:sz w:val="28"/>
          <w:szCs w:val="28"/>
        </w:rPr>
        <w:t xml:space="preserve">was </w:t>
      </w:r>
      <w:r>
        <w:rPr>
          <w:sz w:val="28"/>
          <w:szCs w:val="28"/>
        </w:rPr>
        <w:t>to not require a budget in every case</w:t>
      </w:r>
      <w:r w:rsidR="003F17EC">
        <w:rPr>
          <w:sz w:val="28"/>
          <w:szCs w:val="28"/>
        </w:rPr>
        <w:t xml:space="preserve"> for the following reasons</w:t>
      </w:r>
      <w:r w:rsidR="008C0467">
        <w:rPr>
          <w:sz w:val="28"/>
          <w:szCs w:val="28"/>
        </w:rPr>
        <w:t>.</w:t>
      </w:r>
    </w:p>
    <w:p w14:paraId="5BC59A39" w14:textId="77777777" w:rsidR="00F97235" w:rsidRPr="00F455CC" w:rsidRDefault="00F97235" w:rsidP="00F97235">
      <w:pPr>
        <w:spacing w:line="480" w:lineRule="auto"/>
        <w:ind w:firstLine="720"/>
        <w:jc w:val="both"/>
        <w:rPr>
          <w:sz w:val="28"/>
          <w:szCs w:val="28"/>
        </w:rPr>
      </w:pPr>
      <w:r>
        <w:rPr>
          <w:sz w:val="28"/>
          <w:szCs w:val="28"/>
        </w:rPr>
        <w:t>First</w:t>
      </w:r>
      <w:r w:rsidRPr="00F455CC">
        <w:rPr>
          <w:sz w:val="28"/>
          <w:szCs w:val="28"/>
        </w:rPr>
        <w:t>, the budget forms are complex and intimidating, even for many lawyers.  The instructions for Form 5, which includes the budget, run for 28 pages.</w:t>
      </w:r>
      <w:r>
        <w:rPr>
          <w:sz w:val="28"/>
          <w:szCs w:val="28"/>
        </w:rPr>
        <w:t xml:space="preserve">  After considering the forms and instructions, the Task Force discussed the objectives of making the probate process more open, available, understandable, and cost- effective.  Requiring the filing of a budget in every case frustrates these purposes, and it frustrates and stresses many of the self-represented individuals who struggle with the budget forms and instructions.  People seemed to feel about filing budgets much like they feel about taxes: they’d rather not engage.</w:t>
      </w:r>
    </w:p>
    <w:p w14:paraId="46BA68FA" w14:textId="77777777" w:rsidR="00F97235" w:rsidRPr="00F455CC" w:rsidRDefault="00F97235" w:rsidP="00F97235">
      <w:pPr>
        <w:spacing w:line="480" w:lineRule="auto"/>
        <w:ind w:firstLine="720"/>
        <w:jc w:val="both"/>
        <w:rPr>
          <w:sz w:val="28"/>
          <w:szCs w:val="28"/>
        </w:rPr>
      </w:pPr>
      <w:r>
        <w:rPr>
          <w:sz w:val="28"/>
          <w:szCs w:val="28"/>
        </w:rPr>
        <w:t>Second, r</w:t>
      </w:r>
      <w:r w:rsidRPr="00F455CC">
        <w:rPr>
          <w:sz w:val="28"/>
          <w:szCs w:val="28"/>
        </w:rPr>
        <w:t>equiring the budget adds a minimum of $500-$750 (as estimated by the lawyer members of the Task Force) to the cost of each case.</w:t>
      </w:r>
      <w:r>
        <w:rPr>
          <w:sz w:val="28"/>
          <w:szCs w:val="28"/>
        </w:rPr>
        <w:t xml:space="preserve">  The Court should not impose the high cost of requiring a budget without evidence that the benefits outweigh these costs.  That evidence is lacking.</w:t>
      </w:r>
    </w:p>
    <w:p w14:paraId="785A2AB7" w14:textId="77777777" w:rsidR="00F97235" w:rsidRPr="00F455CC" w:rsidRDefault="00F97235" w:rsidP="00F97235">
      <w:pPr>
        <w:spacing w:line="480" w:lineRule="auto"/>
        <w:ind w:firstLine="720"/>
        <w:jc w:val="both"/>
        <w:rPr>
          <w:sz w:val="28"/>
          <w:szCs w:val="28"/>
        </w:rPr>
      </w:pPr>
      <w:r>
        <w:rPr>
          <w:sz w:val="28"/>
          <w:szCs w:val="28"/>
        </w:rPr>
        <w:t>Third, a</w:t>
      </w:r>
      <w:r w:rsidRPr="00F455CC">
        <w:rPr>
          <w:sz w:val="28"/>
          <w:szCs w:val="28"/>
        </w:rPr>
        <w:t xml:space="preserve"> budget simply isn’t meaningful in every case.</w:t>
      </w:r>
      <w:r>
        <w:rPr>
          <w:sz w:val="28"/>
          <w:szCs w:val="28"/>
        </w:rPr>
        <w:t xml:space="preserve">  Task Force members provided evidence of non-complex cases in which requiring a full budget simply was not necessary—that is, cases in which the costs swamped the advantages.  For example, there might be little need for a budget when one spouse serves as </w:t>
      </w:r>
      <w:r>
        <w:rPr>
          <w:sz w:val="28"/>
          <w:szCs w:val="28"/>
        </w:rPr>
        <w:lastRenderedPageBreak/>
        <w:t>conservator for an incapacitated spouse and the marital community’s recurring income is enough to pay for the incapacitated spouse’s care.</w:t>
      </w:r>
    </w:p>
    <w:p w14:paraId="42F3C2B7" w14:textId="1E8B8934" w:rsidR="008C0467" w:rsidRDefault="00F97235" w:rsidP="008C0467">
      <w:pPr>
        <w:spacing w:line="480" w:lineRule="auto"/>
        <w:ind w:firstLine="720"/>
        <w:jc w:val="both"/>
        <w:rPr>
          <w:sz w:val="28"/>
          <w:szCs w:val="28"/>
        </w:rPr>
      </w:pPr>
      <w:r>
        <w:rPr>
          <w:sz w:val="28"/>
          <w:szCs w:val="28"/>
        </w:rPr>
        <w:t>Fourth</w:t>
      </w:r>
      <w:r w:rsidR="008C0467">
        <w:rPr>
          <w:sz w:val="28"/>
          <w:szCs w:val="28"/>
        </w:rPr>
        <w:t>, t</w:t>
      </w:r>
      <w:r w:rsidR="003E111F" w:rsidRPr="008676DE">
        <w:rPr>
          <w:sz w:val="28"/>
          <w:szCs w:val="28"/>
        </w:rPr>
        <w:t xml:space="preserve">here is no evidence that requiring a budget in every case has </w:t>
      </w:r>
      <w:r w:rsidR="00AC0D38">
        <w:rPr>
          <w:sz w:val="28"/>
          <w:szCs w:val="28"/>
        </w:rPr>
        <w:t xml:space="preserve">produced the desired transparency or </w:t>
      </w:r>
      <w:r w:rsidR="003E111F" w:rsidRPr="009C2ED5">
        <w:rPr>
          <w:sz w:val="28"/>
          <w:szCs w:val="28"/>
        </w:rPr>
        <w:t xml:space="preserve">helped protect subject persons from fraud or </w:t>
      </w:r>
      <w:r w:rsidR="003A57C4">
        <w:rPr>
          <w:sz w:val="28"/>
          <w:szCs w:val="28"/>
        </w:rPr>
        <w:t>financial exploitation</w:t>
      </w:r>
      <w:r w:rsidR="004B6638">
        <w:rPr>
          <w:sz w:val="28"/>
          <w:szCs w:val="28"/>
        </w:rPr>
        <w:t>, the primary reason</w:t>
      </w:r>
      <w:r w:rsidR="00AC0D38">
        <w:rPr>
          <w:sz w:val="28"/>
          <w:szCs w:val="28"/>
        </w:rPr>
        <w:t>s</w:t>
      </w:r>
      <w:r w:rsidR="004B6638">
        <w:rPr>
          <w:sz w:val="28"/>
          <w:szCs w:val="28"/>
        </w:rPr>
        <w:t xml:space="preserve"> for the requirement</w:t>
      </w:r>
      <w:r w:rsidR="003E111F" w:rsidRPr="009C2ED5">
        <w:rPr>
          <w:sz w:val="28"/>
          <w:szCs w:val="28"/>
        </w:rPr>
        <w:t>.</w:t>
      </w:r>
      <w:r w:rsidR="008C0467" w:rsidRPr="008C0467">
        <w:rPr>
          <w:sz w:val="28"/>
          <w:szCs w:val="28"/>
        </w:rPr>
        <w:t xml:space="preserve"> </w:t>
      </w:r>
      <w:r w:rsidR="00FA3CDB">
        <w:rPr>
          <w:sz w:val="28"/>
          <w:szCs w:val="28"/>
        </w:rPr>
        <w:t xml:space="preserve"> </w:t>
      </w:r>
      <w:r w:rsidR="008C0467">
        <w:rPr>
          <w:sz w:val="28"/>
          <w:szCs w:val="28"/>
        </w:rPr>
        <w:t xml:space="preserve">A </w:t>
      </w:r>
      <w:r w:rsidR="008C0467" w:rsidRPr="00E82CAE">
        <w:rPr>
          <w:sz w:val="28"/>
          <w:szCs w:val="28"/>
        </w:rPr>
        <w:t>budget</w:t>
      </w:r>
      <w:r w:rsidR="008C0467">
        <w:rPr>
          <w:sz w:val="28"/>
          <w:szCs w:val="28"/>
        </w:rPr>
        <w:t xml:space="preserve"> is a projection of future </w:t>
      </w:r>
      <w:r w:rsidR="008C0467" w:rsidRPr="00E82CAE">
        <w:rPr>
          <w:sz w:val="28"/>
          <w:szCs w:val="28"/>
        </w:rPr>
        <w:t xml:space="preserve">expenses </w:t>
      </w:r>
      <w:r w:rsidR="008C0467">
        <w:rPr>
          <w:sz w:val="28"/>
          <w:szCs w:val="28"/>
        </w:rPr>
        <w:t>rather than</w:t>
      </w:r>
      <w:r w:rsidR="008C0467" w:rsidRPr="00E82CAE">
        <w:rPr>
          <w:sz w:val="28"/>
          <w:szCs w:val="28"/>
        </w:rPr>
        <w:t xml:space="preserve"> an audit of actual expenses</w:t>
      </w:r>
      <w:r w:rsidR="008C0467">
        <w:rPr>
          <w:sz w:val="28"/>
          <w:szCs w:val="28"/>
        </w:rPr>
        <w:t>, and f</w:t>
      </w:r>
      <w:r w:rsidR="008C0467" w:rsidRPr="00E82CAE">
        <w:rPr>
          <w:sz w:val="28"/>
          <w:szCs w:val="28"/>
        </w:rPr>
        <w:t>raudulent</w:t>
      </w:r>
      <w:r w:rsidR="008C0467">
        <w:rPr>
          <w:sz w:val="28"/>
          <w:szCs w:val="28"/>
        </w:rPr>
        <w:t xml:space="preserve"> conduct</w:t>
      </w:r>
      <w:r w:rsidR="008C0467" w:rsidRPr="00E82CAE">
        <w:rPr>
          <w:sz w:val="28"/>
          <w:szCs w:val="28"/>
        </w:rPr>
        <w:t xml:space="preserve"> </w:t>
      </w:r>
      <w:r w:rsidR="008C0467">
        <w:rPr>
          <w:sz w:val="28"/>
          <w:szCs w:val="28"/>
        </w:rPr>
        <w:t xml:space="preserve">often is </w:t>
      </w:r>
      <w:r w:rsidR="008C0467" w:rsidRPr="00E82CAE">
        <w:rPr>
          <w:sz w:val="28"/>
          <w:szCs w:val="28"/>
        </w:rPr>
        <w:t>not</w:t>
      </w:r>
      <w:r w:rsidR="008C0467">
        <w:rPr>
          <w:sz w:val="28"/>
          <w:szCs w:val="28"/>
        </w:rPr>
        <w:t xml:space="preserve"> detecta</w:t>
      </w:r>
      <w:r w:rsidR="008C0467" w:rsidRPr="00E82CAE">
        <w:rPr>
          <w:sz w:val="28"/>
          <w:szCs w:val="28"/>
        </w:rPr>
        <w:t>ble in</w:t>
      </w:r>
      <w:r w:rsidR="008C0467">
        <w:rPr>
          <w:sz w:val="28"/>
          <w:szCs w:val="28"/>
        </w:rPr>
        <w:t xml:space="preserve"> the budget’s numbers.  Because the initial budget involves projections, which sometimes are more akin to “best guesstimates” of the expected costs of goods and services, it can be easy to inflate these costs so that expenses do not exceed budgeted amounts in the budget year.</w:t>
      </w:r>
    </w:p>
    <w:p w14:paraId="39B22EA0" w14:textId="2AB3B27A" w:rsidR="008C0467" w:rsidRDefault="008C0467" w:rsidP="008C0467">
      <w:pPr>
        <w:spacing w:line="480" w:lineRule="auto"/>
        <w:ind w:firstLine="720"/>
        <w:jc w:val="both"/>
        <w:rPr>
          <w:sz w:val="28"/>
          <w:szCs w:val="28"/>
        </w:rPr>
      </w:pPr>
      <w:r>
        <w:rPr>
          <w:sz w:val="28"/>
          <w:szCs w:val="28"/>
        </w:rPr>
        <w:t xml:space="preserve">Moreover, the Task Force received evidence that some fiduciaries simply raise the first budgeted amounts by a fixed percentage—say, 15-20%—with each annual filing.  Such a non-thoughtful process does not protect the subject person.  And judges who responded to an inquiry were almost evenly divided on whether the budget requirement should be retained.  Under these circumstances, the Task Force did not find that the “budget in every case” requirement sufficiently protects the subject person to justify the burden and expense it imposes.  The revised rule proposed by this Reply does not preclude the court from requiring a budget; indeed, it encourages </w:t>
      </w:r>
      <w:r w:rsidR="0089565B">
        <w:rPr>
          <w:sz w:val="28"/>
          <w:szCs w:val="28"/>
        </w:rPr>
        <w:t>a budget</w:t>
      </w:r>
      <w:r>
        <w:rPr>
          <w:sz w:val="28"/>
          <w:szCs w:val="28"/>
        </w:rPr>
        <w:t xml:space="preserve"> for most cases</w:t>
      </w:r>
      <w:r w:rsidR="0089565B">
        <w:rPr>
          <w:sz w:val="28"/>
          <w:szCs w:val="28"/>
        </w:rPr>
        <w:t>.  However,</w:t>
      </w:r>
      <w:r w:rsidR="004476F9">
        <w:rPr>
          <w:sz w:val="28"/>
          <w:szCs w:val="28"/>
        </w:rPr>
        <w:t xml:space="preserve"> </w:t>
      </w:r>
      <w:r w:rsidR="0089565B">
        <w:rPr>
          <w:sz w:val="28"/>
          <w:szCs w:val="28"/>
        </w:rPr>
        <w:t xml:space="preserve">before ordering a budget, the rule </w:t>
      </w:r>
      <w:r w:rsidR="004476F9">
        <w:rPr>
          <w:sz w:val="28"/>
          <w:szCs w:val="28"/>
        </w:rPr>
        <w:lastRenderedPageBreak/>
        <w:t xml:space="preserve">requires </w:t>
      </w:r>
      <w:r>
        <w:rPr>
          <w:sz w:val="28"/>
          <w:szCs w:val="28"/>
        </w:rPr>
        <w:t xml:space="preserve">the court </w:t>
      </w:r>
      <w:r w:rsidR="004476F9">
        <w:rPr>
          <w:sz w:val="28"/>
          <w:szCs w:val="28"/>
        </w:rPr>
        <w:t xml:space="preserve">to first </w:t>
      </w:r>
      <w:r>
        <w:rPr>
          <w:sz w:val="28"/>
          <w:szCs w:val="28"/>
        </w:rPr>
        <w:t>consider relevant factors</w:t>
      </w:r>
      <w:r w:rsidR="0089565B">
        <w:rPr>
          <w:sz w:val="28"/>
          <w:szCs w:val="28"/>
        </w:rPr>
        <w:t>, such as the value and complexity of the conservatorship estate</w:t>
      </w:r>
      <w:r>
        <w:rPr>
          <w:sz w:val="28"/>
          <w:szCs w:val="28"/>
        </w:rPr>
        <w:t>.</w:t>
      </w:r>
    </w:p>
    <w:p w14:paraId="03B36FF8" w14:textId="4F66E322" w:rsidR="008C0467" w:rsidRDefault="008C0467" w:rsidP="008C0467">
      <w:pPr>
        <w:spacing w:line="480" w:lineRule="auto"/>
        <w:ind w:firstLine="720"/>
        <w:jc w:val="both"/>
        <w:rPr>
          <w:sz w:val="28"/>
          <w:szCs w:val="28"/>
        </w:rPr>
      </w:pPr>
      <w:r>
        <w:rPr>
          <w:sz w:val="28"/>
          <w:szCs w:val="28"/>
        </w:rPr>
        <w:t xml:space="preserve">This latter point bears emphasis: at the time the conservator is appointed and thereafter when reviewing each annual accounting, </w:t>
      </w:r>
      <w:r w:rsidR="00F97235">
        <w:rPr>
          <w:sz w:val="28"/>
          <w:szCs w:val="28"/>
        </w:rPr>
        <w:t xml:space="preserve">revised </w:t>
      </w:r>
      <w:r>
        <w:rPr>
          <w:sz w:val="28"/>
          <w:szCs w:val="28"/>
        </w:rPr>
        <w:t xml:space="preserve">Rule 45(d) </w:t>
      </w:r>
      <w:r w:rsidRPr="009C2ED5">
        <w:rPr>
          <w:i/>
          <w:sz w:val="28"/>
          <w:szCs w:val="28"/>
        </w:rPr>
        <w:t>requires</w:t>
      </w:r>
      <w:r>
        <w:rPr>
          <w:sz w:val="28"/>
          <w:szCs w:val="28"/>
        </w:rPr>
        <w:t xml:space="preserve"> the court to determine whether the conservator should file a budget.  See further Rule 36, which concerns the order appointing a conservator and now includes this new provision: “An order appointing a conservator must specify whether the conservator is required to file an initial budget under Rule 45(d).”  In addition to making an initial determination concerning the budget</w:t>
      </w:r>
      <w:r w:rsidR="004476F9">
        <w:rPr>
          <w:sz w:val="28"/>
          <w:szCs w:val="28"/>
        </w:rPr>
        <w:t>,</w:t>
      </w:r>
      <w:r>
        <w:rPr>
          <w:sz w:val="28"/>
          <w:szCs w:val="28"/>
        </w:rPr>
        <w:t xml:space="preserve"> revised Rule 45(d) further provides</w:t>
      </w:r>
      <w:r w:rsidR="004476F9">
        <w:rPr>
          <w:sz w:val="28"/>
          <w:szCs w:val="28"/>
        </w:rPr>
        <w:t xml:space="preserve"> that</w:t>
      </w:r>
      <w:r>
        <w:rPr>
          <w:sz w:val="28"/>
          <w:szCs w:val="28"/>
        </w:rPr>
        <w:t xml:space="preserve"> </w:t>
      </w:r>
      <w:r w:rsidRPr="008C0467">
        <w:rPr>
          <w:sz w:val="28"/>
          <w:szCs w:val="28"/>
        </w:rPr>
        <w:t>“</w:t>
      </w:r>
      <w:r w:rsidRPr="00A90E2E">
        <w:rPr>
          <w:sz w:val="28"/>
          <w:szCs w:val="28"/>
        </w:rPr>
        <w:t xml:space="preserve">The court must make a similar determination when reviewing each account under section (e).”  </w:t>
      </w:r>
      <w:r>
        <w:rPr>
          <w:sz w:val="28"/>
          <w:szCs w:val="28"/>
        </w:rPr>
        <w:t xml:space="preserve">Thus, at the inception of the case </w:t>
      </w:r>
      <w:r w:rsidRPr="00A90E2E">
        <w:rPr>
          <w:i/>
          <w:sz w:val="28"/>
          <w:szCs w:val="28"/>
        </w:rPr>
        <w:t>and then yearly</w:t>
      </w:r>
      <w:r>
        <w:rPr>
          <w:sz w:val="28"/>
          <w:szCs w:val="28"/>
        </w:rPr>
        <w:t xml:space="preserve">, the court </w:t>
      </w:r>
      <w:r w:rsidRPr="009C2ED5">
        <w:rPr>
          <w:i/>
          <w:sz w:val="28"/>
          <w:szCs w:val="28"/>
        </w:rPr>
        <w:t xml:space="preserve">must </w:t>
      </w:r>
      <w:r>
        <w:rPr>
          <w:sz w:val="28"/>
          <w:szCs w:val="28"/>
        </w:rPr>
        <w:t>carefully evaluate whether a budget is necessary.  The Task Force believes these rigorous reviews will serve the goals of transparency and protection.</w:t>
      </w:r>
    </w:p>
    <w:p w14:paraId="52869094" w14:textId="28B465DE" w:rsidR="00780784" w:rsidRPr="00526FA9" w:rsidRDefault="00780784" w:rsidP="008676DE">
      <w:pPr>
        <w:spacing w:line="480" w:lineRule="auto"/>
        <w:ind w:firstLine="720"/>
        <w:jc w:val="both"/>
        <w:rPr>
          <w:sz w:val="28"/>
          <w:szCs w:val="28"/>
        </w:rPr>
      </w:pPr>
      <w:r>
        <w:rPr>
          <w:sz w:val="28"/>
          <w:szCs w:val="28"/>
        </w:rPr>
        <w:t xml:space="preserve">The Task Force </w:t>
      </w:r>
      <w:proofErr w:type="gramStart"/>
      <w:r>
        <w:rPr>
          <w:sz w:val="28"/>
          <w:szCs w:val="28"/>
        </w:rPr>
        <w:t>was well aware that</w:t>
      </w:r>
      <w:proofErr w:type="gramEnd"/>
      <w:r>
        <w:rPr>
          <w:sz w:val="28"/>
          <w:szCs w:val="28"/>
        </w:rPr>
        <w:t xml:space="preserve"> the budget requirement </w:t>
      </w:r>
      <w:r w:rsidR="00487F9F">
        <w:rPr>
          <w:sz w:val="28"/>
          <w:szCs w:val="28"/>
        </w:rPr>
        <w:t xml:space="preserve">in current Rule 30.3 </w:t>
      </w:r>
      <w:r>
        <w:rPr>
          <w:sz w:val="28"/>
          <w:szCs w:val="28"/>
        </w:rPr>
        <w:t xml:space="preserve">was </w:t>
      </w:r>
      <w:r w:rsidR="008D39F3">
        <w:rPr>
          <w:sz w:val="28"/>
          <w:szCs w:val="28"/>
        </w:rPr>
        <w:t>inserted</w:t>
      </w:r>
      <w:r>
        <w:rPr>
          <w:sz w:val="28"/>
          <w:szCs w:val="28"/>
        </w:rPr>
        <w:t xml:space="preserve"> to protect the subject person, to protect against </w:t>
      </w:r>
      <w:r w:rsidR="00A21AC6">
        <w:rPr>
          <w:sz w:val="28"/>
          <w:szCs w:val="28"/>
        </w:rPr>
        <w:t>financial mismanagement and exploitation</w:t>
      </w:r>
      <w:r>
        <w:rPr>
          <w:sz w:val="28"/>
          <w:szCs w:val="28"/>
        </w:rPr>
        <w:t>, and to provide transparency in the process</w:t>
      </w:r>
      <w:r w:rsidR="00A86236">
        <w:rPr>
          <w:sz w:val="28"/>
          <w:szCs w:val="28"/>
        </w:rPr>
        <w:t xml:space="preserve">, and further was aware that the budget requirement sprang from </w:t>
      </w:r>
      <w:r w:rsidR="00A86236" w:rsidRPr="00B93D68">
        <w:rPr>
          <w:sz w:val="28"/>
          <w:szCs w:val="28"/>
        </w:rPr>
        <w:t xml:space="preserve">a compromise reached several years ago with members of the </w:t>
      </w:r>
      <w:r w:rsidR="00A86236" w:rsidRPr="00526FA9">
        <w:rPr>
          <w:sz w:val="28"/>
          <w:szCs w:val="28"/>
        </w:rPr>
        <w:t>Legislature</w:t>
      </w:r>
      <w:r w:rsidRPr="00526FA9">
        <w:rPr>
          <w:sz w:val="28"/>
          <w:szCs w:val="28"/>
        </w:rPr>
        <w:t>.  (Several of the T</w:t>
      </w:r>
      <w:r w:rsidR="008676DE" w:rsidRPr="00526FA9">
        <w:rPr>
          <w:sz w:val="28"/>
          <w:szCs w:val="28"/>
        </w:rPr>
        <w:t>ask Force</w:t>
      </w:r>
      <w:r w:rsidRPr="00526FA9">
        <w:rPr>
          <w:sz w:val="28"/>
          <w:szCs w:val="28"/>
        </w:rPr>
        <w:t xml:space="preserve"> members served on the Timmer Commission, and the T</w:t>
      </w:r>
      <w:r w:rsidR="008676DE" w:rsidRPr="00526FA9">
        <w:rPr>
          <w:sz w:val="28"/>
          <w:szCs w:val="28"/>
        </w:rPr>
        <w:t>ask Force</w:t>
      </w:r>
      <w:r w:rsidRPr="00526FA9">
        <w:rPr>
          <w:sz w:val="28"/>
          <w:szCs w:val="28"/>
        </w:rPr>
        <w:t xml:space="preserve"> </w:t>
      </w:r>
      <w:r w:rsidR="007453E9">
        <w:rPr>
          <w:sz w:val="28"/>
          <w:szCs w:val="28"/>
        </w:rPr>
        <w:t>C</w:t>
      </w:r>
      <w:r w:rsidRPr="00526FA9">
        <w:rPr>
          <w:sz w:val="28"/>
          <w:szCs w:val="28"/>
        </w:rPr>
        <w:t xml:space="preserve">hair appointed the Commission members and, with the Court, approved the work of the </w:t>
      </w:r>
      <w:r w:rsidR="003B45F5">
        <w:rPr>
          <w:sz w:val="28"/>
          <w:szCs w:val="28"/>
        </w:rPr>
        <w:lastRenderedPageBreak/>
        <w:t>C</w:t>
      </w:r>
      <w:r w:rsidR="003B45F5" w:rsidRPr="00526FA9">
        <w:rPr>
          <w:sz w:val="28"/>
          <w:szCs w:val="28"/>
        </w:rPr>
        <w:t>ommission</w:t>
      </w:r>
      <w:r w:rsidRPr="00526FA9">
        <w:rPr>
          <w:sz w:val="28"/>
          <w:szCs w:val="28"/>
        </w:rPr>
        <w:t xml:space="preserve">.)  But </w:t>
      </w:r>
      <w:r w:rsidR="001858A9">
        <w:rPr>
          <w:sz w:val="28"/>
          <w:szCs w:val="28"/>
        </w:rPr>
        <w:t xml:space="preserve">after </w:t>
      </w:r>
      <w:r w:rsidRPr="00526FA9">
        <w:rPr>
          <w:sz w:val="28"/>
          <w:szCs w:val="28"/>
        </w:rPr>
        <w:t xml:space="preserve">nearly ten years </w:t>
      </w:r>
      <w:r w:rsidR="005B6F80">
        <w:rPr>
          <w:sz w:val="28"/>
          <w:szCs w:val="28"/>
        </w:rPr>
        <w:t>of</w:t>
      </w:r>
      <w:r w:rsidRPr="00526FA9">
        <w:rPr>
          <w:sz w:val="28"/>
          <w:szCs w:val="28"/>
        </w:rPr>
        <w:t xml:space="preserve"> </w:t>
      </w:r>
      <w:r w:rsidR="00487F9F">
        <w:rPr>
          <w:sz w:val="28"/>
          <w:szCs w:val="28"/>
        </w:rPr>
        <w:t>experience</w:t>
      </w:r>
      <w:r w:rsidRPr="00526FA9">
        <w:rPr>
          <w:sz w:val="28"/>
          <w:szCs w:val="28"/>
        </w:rPr>
        <w:t xml:space="preserve"> with </w:t>
      </w:r>
      <w:r w:rsidR="004C31BE" w:rsidRPr="00526FA9">
        <w:rPr>
          <w:sz w:val="28"/>
          <w:szCs w:val="28"/>
        </w:rPr>
        <w:t xml:space="preserve">mandatory </w:t>
      </w:r>
      <w:r w:rsidR="00A86236" w:rsidRPr="00526FA9">
        <w:rPr>
          <w:sz w:val="28"/>
          <w:szCs w:val="28"/>
        </w:rPr>
        <w:t>budgets, T</w:t>
      </w:r>
      <w:r w:rsidR="008676DE" w:rsidRPr="00526FA9">
        <w:rPr>
          <w:sz w:val="28"/>
          <w:szCs w:val="28"/>
        </w:rPr>
        <w:t>ask Force</w:t>
      </w:r>
      <w:r w:rsidR="00A86236" w:rsidRPr="00526FA9">
        <w:rPr>
          <w:sz w:val="28"/>
          <w:szCs w:val="28"/>
        </w:rPr>
        <w:t xml:space="preserve"> members could not conclude</w:t>
      </w:r>
      <w:r w:rsidRPr="00526FA9">
        <w:rPr>
          <w:sz w:val="28"/>
          <w:szCs w:val="28"/>
        </w:rPr>
        <w:t xml:space="preserve"> that the case supporting the mandatory requirement </w:t>
      </w:r>
      <w:r w:rsidR="003B45F5">
        <w:rPr>
          <w:sz w:val="28"/>
          <w:szCs w:val="28"/>
        </w:rPr>
        <w:t xml:space="preserve">for </w:t>
      </w:r>
      <w:r w:rsidRPr="00526FA9">
        <w:rPr>
          <w:sz w:val="28"/>
          <w:szCs w:val="28"/>
        </w:rPr>
        <w:t>a budget in every case had been made.  Instead, the T</w:t>
      </w:r>
      <w:r w:rsidR="008676DE" w:rsidRPr="00526FA9">
        <w:rPr>
          <w:sz w:val="28"/>
          <w:szCs w:val="28"/>
        </w:rPr>
        <w:t xml:space="preserve">ask Force </w:t>
      </w:r>
      <w:r w:rsidRPr="00526FA9">
        <w:rPr>
          <w:sz w:val="28"/>
          <w:szCs w:val="28"/>
        </w:rPr>
        <w:t>thoughtfully considered the request to maintain the budget requirement, but after lengthy deliberation, de</w:t>
      </w:r>
      <w:r w:rsidR="004C31BE" w:rsidRPr="00526FA9">
        <w:rPr>
          <w:sz w:val="28"/>
          <w:szCs w:val="28"/>
        </w:rPr>
        <w:t>clined to reinstate</w:t>
      </w:r>
      <w:r w:rsidRPr="00526FA9">
        <w:rPr>
          <w:sz w:val="28"/>
          <w:szCs w:val="28"/>
        </w:rPr>
        <w:t xml:space="preserve"> it.</w:t>
      </w:r>
    </w:p>
    <w:p w14:paraId="4CC66884" w14:textId="5E29DA2B" w:rsidR="00B023EA" w:rsidRPr="00526FA9" w:rsidRDefault="00A86236" w:rsidP="00B023EA">
      <w:pPr>
        <w:spacing w:line="480" w:lineRule="auto"/>
        <w:ind w:firstLine="720"/>
        <w:jc w:val="both"/>
        <w:rPr>
          <w:sz w:val="28"/>
          <w:szCs w:val="28"/>
        </w:rPr>
      </w:pPr>
      <w:r w:rsidRPr="00526FA9">
        <w:rPr>
          <w:sz w:val="28"/>
          <w:szCs w:val="28"/>
        </w:rPr>
        <w:t>The T</w:t>
      </w:r>
      <w:r w:rsidR="00487F9F">
        <w:rPr>
          <w:sz w:val="28"/>
          <w:szCs w:val="28"/>
        </w:rPr>
        <w:t xml:space="preserve">ask </w:t>
      </w:r>
      <w:r w:rsidRPr="00526FA9">
        <w:rPr>
          <w:sz w:val="28"/>
          <w:szCs w:val="28"/>
        </w:rPr>
        <w:t>F</w:t>
      </w:r>
      <w:r w:rsidR="00487F9F">
        <w:rPr>
          <w:sz w:val="28"/>
          <w:szCs w:val="28"/>
        </w:rPr>
        <w:t>orce</w:t>
      </w:r>
      <w:r w:rsidRPr="00526FA9">
        <w:rPr>
          <w:sz w:val="28"/>
          <w:szCs w:val="28"/>
        </w:rPr>
        <w:t xml:space="preserve"> did not reach its conclusion lightly.  It considered a simplified budget form drafted by staff (Form 9-S in the May 17, 2019 meeting materials), but rejected it as not being simple enough.</w:t>
      </w:r>
      <w:r w:rsidR="00B023EA" w:rsidRPr="00526FA9">
        <w:rPr>
          <w:sz w:val="28"/>
          <w:szCs w:val="28"/>
        </w:rPr>
        <w:t xml:space="preserve">  It also considered the comments of a judge member of the Task Force who served on the Timmer Commission and was instrumental in drafting the current budget forms.  He recalled that the Timmer Commission did not intend to require a budget using Forms 5-9 in every case, especially if the protections a budget would provide were unnecessary in individual circumstances.  The </w:t>
      </w:r>
      <w:r w:rsidR="00A21AC6">
        <w:rPr>
          <w:sz w:val="28"/>
          <w:szCs w:val="28"/>
        </w:rPr>
        <w:t xml:space="preserve">original </w:t>
      </w:r>
      <w:r w:rsidR="00B023EA" w:rsidRPr="00526FA9">
        <w:rPr>
          <w:sz w:val="28"/>
          <w:szCs w:val="28"/>
        </w:rPr>
        <w:t xml:space="preserve">idea was to use a </w:t>
      </w:r>
      <w:r w:rsidR="007453E9">
        <w:rPr>
          <w:sz w:val="28"/>
          <w:szCs w:val="28"/>
        </w:rPr>
        <w:t>budget</w:t>
      </w:r>
      <w:r w:rsidR="00B023EA" w:rsidRPr="00526FA9">
        <w:rPr>
          <w:sz w:val="28"/>
          <w:szCs w:val="28"/>
        </w:rPr>
        <w:t xml:space="preserve"> that</w:t>
      </w:r>
      <w:r w:rsidR="007453E9">
        <w:rPr>
          <w:sz w:val="28"/>
          <w:szCs w:val="28"/>
        </w:rPr>
        <w:t>, with the aid of an electronic submission process,</w:t>
      </w:r>
      <w:r w:rsidR="00B023EA" w:rsidRPr="00526FA9">
        <w:rPr>
          <w:sz w:val="28"/>
          <w:szCs w:val="28"/>
        </w:rPr>
        <w:t xml:space="preserve"> would allow a judicial officer or court accountant to quickly see year-over-year changes.</w:t>
      </w:r>
      <w:r w:rsidR="00AC0D38" w:rsidRPr="00526FA9">
        <w:rPr>
          <w:sz w:val="28"/>
          <w:szCs w:val="28"/>
        </w:rPr>
        <w:t xml:space="preserve"> </w:t>
      </w:r>
      <w:r w:rsidR="00701392">
        <w:rPr>
          <w:sz w:val="28"/>
          <w:szCs w:val="28"/>
        </w:rPr>
        <w:t xml:space="preserve"> </w:t>
      </w:r>
      <w:r w:rsidR="00AC0D38" w:rsidRPr="00526FA9">
        <w:rPr>
          <w:sz w:val="28"/>
          <w:szCs w:val="28"/>
        </w:rPr>
        <w:t>But that understanding has given way to the current belief that a budget using the forms is required in every case.</w:t>
      </w:r>
      <w:r w:rsidR="007453E9">
        <w:rPr>
          <w:sz w:val="28"/>
          <w:szCs w:val="28"/>
        </w:rPr>
        <w:t xml:space="preserve">  Moreover, the envisioned electronic submission process has not yet been implemented.</w:t>
      </w:r>
    </w:p>
    <w:p w14:paraId="1776BEF8" w14:textId="7F71A0A2" w:rsidR="00E82CAE" w:rsidRPr="00E82CAE" w:rsidRDefault="007A75EA" w:rsidP="00ED7C83">
      <w:pPr>
        <w:spacing w:line="480" w:lineRule="auto"/>
        <w:ind w:firstLine="720"/>
        <w:jc w:val="both"/>
        <w:rPr>
          <w:sz w:val="28"/>
          <w:szCs w:val="28"/>
        </w:rPr>
      </w:pPr>
      <w:r>
        <w:rPr>
          <w:sz w:val="28"/>
          <w:szCs w:val="28"/>
        </w:rPr>
        <w:t>The Task Force</w:t>
      </w:r>
      <w:r w:rsidR="00E82CAE" w:rsidRPr="00526FA9">
        <w:rPr>
          <w:sz w:val="28"/>
          <w:szCs w:val="28"/>
        </w:rPr>
        <w:t xml:space="preserve"> </w:t>
      </w:r>
      <w:r w:rsidR="00B023EA" w:rsidRPr="00526FA9">
        <w:rPr>
          <w:sz w:val="28"/>
          <w:szCs w:val="28"/>
        </w:rPr>
        <w:t>wrestled with</w:t>
      </w:r>
      <w:r w:rsidR="00ED7C83" w:rsidRPr="00526FA9">
        <w:rPr>
          <w:sz w:val="28"/>
          <w:szCs w:val="28"/>
        </w:rPr>
        <w:t xml:space="preserve"> </w:t>
      </w:r>
      <w:r w:rsidR="00A001DC" w:rsidRPr="00526FA9">
        <w:rPr>
          <w:sz w:val="28"/>
          <w:szCs w:val="28"/>
        </w:rPr>
        <w:t>several options</w:t>
      </w:r>
      <w:r w:rsidR="00297E74">
        <w:rPr>
          <w:sz w:val="28"/>
          <w:szCs w:val="28"/>
        </w:rPr>
        <w:t>, including</w:t>
      </w:r>
      <w:r w:rsidR="00297E74" w:rsidRPr="00526FA9">
        <w:rPr>
          <w:sz w:val="28"/>
          <w:szCs w:val="28"/>
        </w:rPr>
        <w:t xml:space="preserve"> </w:t>
      </w:r>
      <w:r w:rsidR="00B023EA" w:rsidRPr="00526FA9">
        <w:rPr>
          <w:sz w:val="28"/>
          <w:szCs w:val="28"/>
        </w:rPr>
        <w:t>adopting</w:t>
      </w:r>
      <w:r w:rsidR="00ED7C83" w:rsidRPr="00526FA9">
        <w:rPr>
          <w:sz w:val="28"/>
          <w:szCs w:val="28"/>
        </w:rPr>
        <w:t xml:space="preserve"> the language in current Rule 30.3</w:t>
      </w:r>
      <w:r w:rsidR="00E82CAE" w:rsidRPr="00526FA9">
        <w:rPr>
          <w:sz w:val="28"/>
          <w:szCs w:val="28"/>
        </w:rPr>
        <w:t xml:space="preserve">.  </w:t>
      </w:r>
      <w:r w:rsidR="00954131" w:rsidRPr="00526FA9">
        <w:rPr>
          <w:sz w:val="28"/>
          <w:szCs w:val="28"/>
        </w:rPr>
        <w:t xml:space="preserve">Ultimately, </w:t>
      </w:r>
      <w:r>
        <w:rPr>
          <w:sz w:val="28"/>
          <w:szCs w:val="28"/>
        </w:rPr>
        <w:t>the Task Force</w:t>
      </w:r>
      <w:r w:rsidR="00954131" w:rsidRPr="00526FA9">
        <w:rPr>
          <w:sz w:val="28"/>
          <w:szCs w:val="28"/>
        </w:rPr>
        <w:t xml:space="preserve"> supported </w:t>
      </w:r>
      <w:r w:rsidR="004476F9">
        <w:rPr>
          <w:sz w:val="28"/>
          <w:szCs w:val="28"/>
        </w:rPr>
        <w:t>the</w:t>
      </w:r>
      <w:r w:rsidR="00F97235">
        <w:rPr>
          <w:sz w:val="28"/>
          <w:szCs w:val="28"/>
        </w:rPr>
        <w:t xml:space="preserve"> changes discussed above. </w:t>
      </w:r>
      <w:r w:rsidR="00F72340">
        <w:rPr>
          <w:sz w:val="28"/>
          <w:szCs w:val="28"/>
        </w:rPr>
        <w:t xml:space="preserve"> </w:t>
      </w:r>
      <w:r w:rsidR="00AC0D38" w:rsidRPr="00526FA9">
        <w:rPr>
          <w:sz w:val="28"/>
          <w:szCs w:val="28"/>
        </w:rPr>
        <w:t>The proposed rule</w:t>
      </w:r>
      <w:r w:rsidR="00954131" w:rsidRPr="00526FA9">
        <w:rPr>
          <w:sz w:val="28"/>
          <w:szCs w:val="28"/>
        </w:rPr>
        <w:t xml:space="preserve"> also permits the conservator to file a budget in </w:t>
      </w:r>
      <w:r w:rsidR="00954131" w:rsidRPr="00526FA9">
        <w:rPr>
          <w:sz w:val="28"/>
          <w:szCs w:val="28"/>
        </w:rPr>
        <w:lastRenderedPageBreak/>
        <w:t>the absence of a court order compelling one.  The</w:t>
      </w:r>
      <w:r w:rsidR="00954131">
        <w:rPr>
          <w:sz w:val="28"/>
          <w:szCs w:val="28"/>
        </w:rPr>
        <w:t xml:space="preserve"> T</w:t>
      </w:r>
      <w:r>
        <w:rPr>
          <w:sz w:val="28"/>
          <w:szCs w:val="28"/>
        </w:rPr>
        <w:t xml:space="preserve">ask </w:t>
      </w:r>
      <w:r w:rsidR="00954131">
        <w:rPr>
          <w:sz w:val="28"/>
          <w:szCs w:val="28"/>
        </w:rPr>
        <w:t>F</w:t>
      </w:r>
      <w:r>
        <w:rPr>
          <w:sz w:val="28"/>
          <w:szCs w:val="28"/>
        </w:rPr>
        <w:t>orce</w:t>
      </w:r>
      <w:r w:rsidR="00954131">
        <w:rPr>
          <w:sz w:val="28"/>
          <w:szCs w:val="28"/>
        </w:rPr>
        <w:t xml:space="preserve"> believes that </w:t>
      </w:r>
      <w:r w:rsidR="00487F9F">
        <w:rPr>
          <w:sz w:val="28"/>
          <w:szCs w:val="28"/>
        </w:rPr>
        <w:t>requiring</w:t>
      </w:r>
      <w:r w:rsidR="00954131">
        <w:rPr>
          <w:sz w:val="28"/>
          <w:szCs w:val="28"/>
        </w:rPr>
        <w:t xml:space="preserve"> </w:t>
      </w:r>
      <w:r>
        <w:rPr>
          <w:sz w:val="28"/>
          <w:szCs w:val="28"/>
        </w:rPr>
        <w:t xml:space="preserve">rigorous </w:t>
      </w:r>
      <w:r w:rsidR="00954131">
        <w:rPr>
          <w:sz w:val="28"/>
          <w:szCs w:val="28"/>
        </w:rPr>
        <w:t xml:space="preserve">judicial oversight and </w:t>
      </w:r>
      <w:r>
        <w:rPr>
          <w:sz w:val="28"/>
          <w:szCs w:val="28"/>
        </w:rPr>
        <w:t>careful</w:t>
      </w:r>
      <w:r w:rsidR="00487F9F">
        <w:rPr>
          <w:sz w:val="28"/>
          <w:szCs w:val="28"/>
        </w:rPr>
        <w:t>ly exercised</w:t>
      </w:r>
      <w:r>
        <w:rPr>
          <w:sz w:val="28"/>
          <w:szCs w:val="28"/>
        </w:rPr>
        <w:t xml:space="preserve"> </w:t>
      </w:r>
      <w:r w:rsidR="00954131">
        <w:rPr>
          <w:sz w:val="28"/>
          <w:szCs w:val="28"/>
        </w:rPr>
        <w:t>discretion best balances the need for protection of subject persons with the need to reduce expense</w:t>
      </w:r>
      <w:r w:rsidR="00F97235">
        <w:rPr>
          <w:sz w:val="28"/>
          <w:szCs w:val="28"/>
        </w:rPr>
        <w:t>,</w:t>
      </w:r>
      <w:r w:rsidR="00954131">
        <w:rPr>
          <w:sz w:val="28"/>
          <w:szCs w:val="28"/>
        </w:rPr>
        <w:t xml:space="preserve"> confusion</w:t>
      </w:r>
      <w:r w:rsidR="00F97235">
        <w:rPr>
          <w:sz w:val="28"/>
          <w:szCs w:val="28"/>
        </w:rPr>
        <w:t>,</w:t>
      </w:r>
      <w:r w:rsidR="00954131">
        <w:rPr>
          <w:sz w:val="28"/>
          <w:szCs w:val="28"/>
        </w:rPr>
        <w:t xml:space="preserve"> and frustration in probate cases.</w:t>
      </w:r>
    </w:p>
    <w:p w14:paraId="4188F7A7" w14:textId="4980F17E" w:rsidR="00E82CAE" w:rsidRPr="00E82CAE" w:rsidRDefault="00ED2529" w:rsidP="00ED2529">
      <w:pPr>
        <w:spacing w:line="480" w:lineRule="auto"/>
        <w:ind w:firstLine="720"/>
        <w:jc w:val="both"/>
        <w:rPr>
          <w:sz w:val="28"/>
          <w:szCs w:val="28"/>
        </w:rPr>
      </w:pPr>
      <w:r>
        <w:rPr>
          <w:b/>
          <w:i/>
          <w:sz w:val="28"/>
          <w:szCs w:val="28"/>
        </w:rPr>
        <w:t>(E)</w:t>
      </w:r>
      <w:r w:rsidR="00E82CAE" w:rsidRPr="00E82CAE">
        <w:rPr>
          <w:b/>
          <w:i/>
          <w:sz w:val="28"/>
          <w:szCs w:val="28"/>
        </w:rPr>
        <w:t xml:space="preserve"> Informal comments at 04.12.2019 </w:t>
      </w:r>
      <w:r w:rsidR="00F6620C">
        <w:rPr>
          <w:b/>
          <w:i/>
          <w:sz w:val="28"/>
          <w:szCs w:val="28"/>
        </w:rPr>
        <w:t>Committee on Superior Courts (</w:t>
      </w:r>
      <w:r w:rsidR="00E82CAE" w:rsidRPr="00E82CAE">
        <w:rPr>
          <w:b/>
          <w:i/>
          <w:sz w:val="28"/>
          <w:szCs w:val="28"/>
        </w:rPr>
        <w:t>COSC</w:t>
      </w:r>
      <w:r w:rsidR="00F6620C">
        <w:rPr>
          <w:b/>
          <w:i/>
          <w:sz w:val="28"/>
          <w:szCs w:val="28"/>
        </w:rPr>
        <w:t>)</w:t>
      </w:r>
      <w:r w:rsidR="00E82CAE" w:rsidRPr="00E82CAE">
        <w:rPr>
          <w:b/>
          <w:i/>
          <w:sz w:val="28"/>
          <w:szCs w:val="28"/>
        </w:rPr>
        <w:t xml:space="preserve"> meeting.</w:t>
      </w:r>
      <w:r w:rsidR="00E82CAE" w:rsidRPr="00E82CAE">
        <w:rPr>
          <w:sz w:val="28"/>
          <w:szCs w:val="28"/>
        </w:rPr>
        <w:t xml:space="preserve">  Although the</w:t>
      </w:r>
      <w:r>
        <w:rPr>
          <w:sz w:val="28"/>
          <w:szCs w:val="28"/>
        </w:rPr>
        <w:t xml:space="preserve"> COSC</w:t>
      </w:r>
      <w:r w:rsidR="00E82CAE" w:rsidRPr="00E82CAE">
        <w:rPr>
          <w:sz w:val="28"/>
          <w:szCs w:val="28"/>
        </w:rPr>
        <w:t xml:space="preserve"> meeting concluded with a unanimous vote to support the rule petition, </w:t>
      </w:r>
      <w:r>
        <w:rPr>
          <w:sz w:val="28"/>
          <w:szCs w:val="28"/>
        </w:rPr>
        <w:t>a</w:t>
      </w:r>
      <w:r w:rsidR="00E82CAE" w:rsidRPr="00E82CAE">
        <w:rPr>
          <w:sz w:val="28"/>
          <w:szCs w:val="28"/>
        </w:rPr>
        <w:t xml:space="preserve"> COSC member raised an issue </w:t>
      </w:r>
      <w:r w:rsidR="00702B36">
        <w:rPr>
          <w:sz w:val="28"/>
          <w:szCs w:val="28"/>
        </w:rPr>
        <w:t>regarding</w:t>
      </w:r>
      <w:r w:rsidR="00E82CAE" w:rsidRPr="00E82CAE">
        <w:rPr>
          <w:sz w:val="28"/>
          <w:szCs w:val="28"/>
        </w:rPr>
        <w:t xml:space="preserve"> proposed Rule 27 (“management of contested probate proceedings”).  The COSC member</w:t>
      </w:r>
      <w:r>
        <w:rPr>
          <w:sz w:val="28"/>
          <w:szCs w:val="28"/>
        </w:rPr>
        <w:t>, a judge,</w:t>
      </w:r>
      <w:r w:rsidR="00E82CAE" w:rsidRPr="00E82CAE">
        <w:rPr>
          <w:sz w:val="28"/>
          <w:szCs w:val="28"/>
        </w:rPr>
        <w:t xml:space="preserve"> observed that he has had few probate cases that warranted the filing of a joint report, and he suggested changing the word “must” in Rule 27(a) (“generally”) to “may.”  </w:t>
      </w:r>
      <w:r w:rsidR="003A57C4" w:rsidRPr="00E82CAE">
        <w:rPr>
          <w:sz w:val="28"/>
          <w:szCs w:val="28"/>
        </w:rPr>
        <w:t xml:space="preserve">The Task Force </w:t>
      </w:r>
      <w:r w:rsidR="003A57C4">
        <w:rPr>
          <w:sz w:val="28"/>
          <w:szCs w:val="28"/>
        </w:rPr>
        <w:t xml:space="preserve">observed that Rule 27(a) does not require a joint report to be filed in every case; instead, it also allows the court simply to “enter an order setting litigation deadlines,” which could be as simple as an order setting a trial date.  Thus, the Task Force </w:t>
      </w:r>
      <w:r w:rsidR="003A57C4" w:rsidRPr="00E82CAE">
        <w:rPr>
          <w:sz w:val="28"/>
          <w:szCs w:val="28"/>
        </w:rPr>
        <w:t xml:space="preserve">declined to make </w:t>
      </w:r>
      <w:r w:rsidR="003A57C4">
        <w:rPr>
          <w:sz w:val="28"/>
          <w:szCs w:val="28"/>
        </w:rPr>
        <w:t>any changes to Rule 27.</w:t>
      </w:r>
    </w:p>
    <w:p w14:paraId="3E91870D" w14:textId="059F7A3E" w:rsidR="00E82CAE" w:rsidRPr="00E82CAE" w:rsidRDefault="00ED2529" w:rsidP="00ED2529">
      <w:pPr>
        <w:spacing w:line="480" w:lineRule="auto"/>
        <w:ind w:firstLine="720"/>
        <w:jc w:val="both"/>
        <w:rPr>
          <w:sz w:val="28"/>
          <w:szCs w:val="28"/>
        </w:rPr>
      </w:pPr>
      <w:r>
        <w:rPr>
          <w:b/>
          <w:i/>
          <w:sz w:val="28"/>
          <w:szCs w:val="28"/>
        </w:rPr>
        <w:t>(F)</w:t>
      </w:r>
      <w:r w:rsidR="00E82CAE" w:rsidRPr="00E82CAE">
        <w:rPr>
          <w:b/>
          <w:i/>
          <w:sz w:val="28"/>
          <w:szCs w:val="28"/>
        </w:rPr>
        <w:t xml:space="preserve"> Adding an analog to Civil Rules 54(b) and 54(c).</w:t>
      </w:r>
      <w:r w:rsidR="00E82CAE" w:rsidRPr="00E82CAE">
        <w:rPr>
          <w:sz w:val="28"/>
          <w:szCs w:val="28"/>
        </w:rPr>
        <w:t xml:space="preserve">  Although proposed Rule 4(a)(1) provides that the Civil Rules apply to probate proceedings unless they are inconsistent with the</w:t>
      </w:r>
      <w:r w:rsidR="0023400D">
        <w:rPr>
          <w:sz w:val="28"/>
          <w:szCs w:val="28"/>
        </w:rPr>
        <w:t xml:space="preserve"> p</w:t>
      </w:r>
      <w:r w:rsidR="00104DDA">
        <w:rPr>
          <w:sz w:val="28"/>
          <w:szCs w:val="28"/>
        </w:rPr>
        <w:t>r</w:t>
      </w:r>
      <w:r w:rsidR="0023400D">
        <w:rPr>
          <w:sz w:val="28"/>
          <w:szCs w:val="28"/>
        </w:rPr>
        <w:t>obate</w:t>
      </w:r>
      <w:r w:rsidR="00E82CAE" w:rsidRPr="00E82CAE">
        <w:rPr>
          <w:sz w:val="28"/>
          <w:szCs w:val="28"/>
        </w:rPr>
        <w:t xml:space="preserve"> rules, a member </w:t>
      </w:r>
      <w:r w:rsidR="0023400D">
        <w:rPr>
          <w:sz w:val="28"/>
          <w:szCs w:val="28"/>
        </w:rPr>
        <w:t>questioned</w:t>
      </w:r>
      <w:r w:rsidR="00E82CAE" w:rsidRPr="00E82CAE">
        <w:rPr>
          <w:sz w:val="28"/>
          <w:szCs w:val="28"/>
        </w:rPr>
        <w:t xml:space="preserve"> whether Civil Rule 54(b) and 54(c</w:t>
      </w:r>
      <w:r w:rsidR="003010AF" w:rsidRPr="00E82CAE">
        <w:rPr>
          <w:sz w:val="28"/>
          <w:szCs w:val="28"/>
        </w:rPr>
        <w:t>) fit</w:t>
      </w:r>
      <w:r w:rsidR="00F6620C">
        <w:rPr>
          <w:sz w:val="28"/>
          <w:szCs w:val="28"/>
        </w:rPr>
        <w:t xml:space="preserve"> </w:t>
      </w:r>
      <w:r w:rsidR="00E82CAE" w:rsidRPr="00E82CAE">
        <w:rPr>
          <w:sz w:val="28"/>
          <w:szCs w:val="28"/>
        </w:rPr>
        <w:t xml:space="preserve">probate proceedings.  </w:t>
      </w:r>
      <w:r>
        <w:rPr>
          <w:sz w:val="28"/>
          <w:szCs w:val="28"/>
        </w:rPr>
        <w:t>The Task Force discussed</w:t>
      </w:r>
      <w:r w:rsidR="00E82CAE" w:rsidRPr="00E82CAE">
        <w:rPr>
          <w:sz w:val="28"/>
          <w:szCs w:val="28"/>
        </w:rPr>
        <w:t xml:space="preserve"> whether the proposed rules should </w:t>
      </w:r>
      <w:r w:rsidR="00F6620C">
        <w:rPr>
          <w:sz w:val="28"/>
          <w:szCs w:val="28"/>
        </w:rPr>
        <w:t>include</w:t>
      </w:r>
      <w:r w:rsidR="00E82CAE" w:rsidRPr="00E82CAE">
        <w:rPr>
          <w:sz w:val="28"/>
          <w:szCs w:val="28"/>
        </w:rPr>
        <w:t xml:space="preserve"> </w:t>
      </w:r>
      <w:r w:rsidR="005C16C1">
        <w:rPr>
          <w:sz w:val="28"/>
          <w:szCs w:val="28"/>
        </w:rPr>
        <w:t xml:space="preserve">a </w:t>
      </w:r>
      <w:r w:rsidR="00E82CAE" w:rsidRPr="00E82CAE">
        <w:rPr>
          <w:sz w:val="28"/>
          <w:szCs w:val="28"/>
        </w:rPr>
        <w:t xml:space="preserve">specialized provision for the appealability of orders </w:t>
      </w:r>
      <w:r w:rsidR="00E82CAE" w:rsidRPr="00E82CAE">
        <w:rPr>
          <w:sz w:val="28"/>
          <w:szCs w:val="28"/>
        </w:rPr>
        <w:lastRenderedPageBreak/>
        <w:t>and judgments in probate cases.  After considering applicable statutes and case law,</w:t>
      </w:r>
      <w:r w:rsidR="007A75EA">
        <w:rPr>
          <w:sz w:val="28"/>
          <w:szCs w:val="28"/>
        </w:rPr>
        <w:t xml:space="preserve"> the Task Force</w:t>
      </w:r>
      <w:r w:rsidR="00E82CAE" w:rsidRPr="00E82CAE">
        <w:rPr>
          <w:sz w:val="28"/>
          <w:szCs w:val="28"/>
        </w:rPr>
        <w:t xml:space="preserve"> declined to add such a provision.</w:t>
      </w:r>
    </w:p>
    <w:p w14:paraId="6FF6DF34" w14:textId="77777777" w:rsidR="00E82CAE" w:rsidRPr="00E82CAE" w:rsidRDefault="00ED7C83" w:rsidP="00FD6949">
      <w:pPr>
        <w:pStyle w:val="ListParagraph"/>
        <w:numPr>
          <w:ilvl w:val="0"/>
          <w:numId w:val="10"/>
        </w:numPr>
        <w:spacing w:after="200" w:line="480" w:lineRule="auto"/>
        <w:ind w:left="0" w:firstLine="720"/>
        <w:jc w:val="both"/>
        <w:rPr>
          <w:sz w:val="28"/>
          <w:szCs w:val="28"/>
        </w:rPr>
      </w:pPr>
      <w:r>
        <w:rPr>
          <w:b/>
          <w:sz w:val="28"/>
          <w:szCs w:val="28"/>
          <w:u w:val="single"/>
        </w:rPr>
        <w:t>O</w:t>
      </w:r>
      <w:r w:rsidR="00E82CAE" w:rsidRPr="00E82CAE">
        <w:rPr>
          <w:b/>
          <w:sz w:val="28"/>
          <w:szCs w:val="28"/>
          <w:u w:val="single"/>
        </w:rPr>
        <w:t>ther matters.</w:t>
      </w:r>
      <w:r w:rsidR="00E82CAE" w:rsidRPr="00E82CAE">
        <w:rPr>
          <w:sz w:val="28"/>
          <w:szCs w:val="28"/>
        </w:rPr>
        <w:t xml:space="preserve">  </w:t>
      </w:r>
      <w:r w:rsidR="00FD6949">
        <w:rPr>
          <w:sz w:val="28"/>
          <w:szCs w:val="28"/>
        </w:rPr>
        <w:t>The Task Force</w:t>
      </w:r>
      <w:r w:rsidR="00E82CAE" w:rsidRPr="00E82CAE">
        <w:rPr>
          <w:sz w:val="28"/>
          <w:szCs w:val="28"/>
        </w:rPr>
        <w:t xml:space="preserve"> </w:t>
      </w:r>
      <w:r w:rsidR="00FD6949">
        <w:rPr>
          <w:sz w:val="28"/>
          <w:szCs w:val="28"/>
        </w:rPr>
        <w:t xml:space="preserve">also </w:t>
      </w:r>
      <w:r w:rsidR="00E82CAE" w:rsidRPr="00E82CAE">
        <w:rPr>
          <w:sz w:val="28"/>
          <w:szCs w:val="28"/>
        </w:rPr>
        <w:t>made the following changes</w:t>
      </w:r>
      <w:r w:rsidR="00FD6949">
        <w:rPr>
          <w:sz w:val="28"/>
          <w:szCs w:val="28"/>
        </w:rPr>
        <w:t xml:space="preserve"> to the proposed rules.</w:t>
      </w:r>
    </w:p>
    <w:p w14:paraId="6CDDB3CA" w14:textId="68972500"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3010AF">
        <w:rPr>
          <w:sz w:val="28"/>
          <w:szCs w:val="28"/>
          <w:u w:val="single"/>
        </w:rPr>
        <w:t>Rule 7</w:t>
      </w:r>
      <w:r w:rsidRPr="00E82CAE">
        <w:rPr>
          <w:sz w:val="28"/>
          <w:szCs w:val="28"/>
        </w:rPr>
        <w:t xml:space="preserve"> (“</w:t>
      </w:r>
      <w:r w:rsidR="003E21DE">
        <w:rPr>
          <w:sz w:val="28"/>
          <w:szCs w:val="28"/>
        </w:rPr>
        <w:t>document captions</w:t>
      </w:r>
      <w:r w:rsidR="00287E01">
        <w:rPr>
          <w:sz w:val="28"/>
          <w:szCs w:val="28"/>
        </w:rPr>
        <w:t>”)</w:t>
      </w:r>
      <w:r w:rsidR="003E21DE">
        <w:rPr>
          <w:sz w:val="28"/>
          <w:szCs w:val="28"/>
        </w:rPr>
        <w:t xml:space="preserve">, it added a new section (c) that requires inclusion of the title of a non-probate proceeding that was filed within or consolidated with a probate case, and it reorganized the adjacent </w:t>
      </w:r>
      <w:proofErr w:type="gramStart"/>
      <w:r w:rsidR="003E21DE">
        <w:rPr>
          <w:sz w:val="28"/>
          <w:szCs w:val="28"/>
        </w:rPr>
        <w:t>sections</w:t>
      </w:r>
      <w:proofErr w:type="gramEnd"/>
      <w:r w:rsidR="00287E01">
        <w:rPr>
          <w:sz w:val="28"/>
          <w:szCs w:val="28"/>
        </w:rPr>
        <w:t xml:space="preserve"> so they are more compatible with the new section</w:t>
      </w:r>
      <w:r w:rsidR="003E21DE">
        <w:rPr>
          <w:sz w:val="28"/>
          <w:szCs w:val="28"/>
        </w:rPr>
        <w:t>.</w:t>
      </w:r>
    </w:p>
    <w:p w14:paraId="10474DCA" w14:textId="77777777" w:rsidR="00C8185C" w:rsidRPr="00E82CAE" w:rsidRDefault="00C8185C" w:rsidP="00C8185C">
      <w:pPr>
        <w:pStyle w:val="ListParagraph"/>
        <w:spacing w:after="200"/>
        <w:ind w:left="1080"/>
        <w:jc w:val="both"/>
        <w:rPr>
          <w:sz w:val="28"/>
          <w:szCs w:val="28"/>
        </w:rPr>
      </w:pPr>
    </w:p>
    <w:p w14:paraId="1A7FE62C"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3010AF">
        <w:rPr>
          <w:sz w:val="28"/>
          <w:szCs w:val="28"/>
          <w:u w:val="single"/>
        </w:rPr>
        <w:t>Rule 8(d)</w:t>
      </w:r>
      <w:r w:rsidRPr="00E82CAE">
        <w:rPr>
          <w:sz w:val="28"/>
          <w:szCs w:val="28"/>
        </w:rPr>
        <w:t xml:space="preserve"> (“prohibition on filing confidential documents”), subpart (1), </w:t>
      </w:r>
      <w:r w:rsidR="00FD6949">
        <w:rPr>
          <w:sz w:val="28"/>
          <w:szCs w:val="28"/>
        </w:rPr>
        <w:t xml:space="preserve">it </w:t>
      </w:r>
      <w:r w:rsidRPr="00E82CAE">
        <w:rPr>
          <w:sz w:val="28"/>
          <w:szCs w:val="28"/>
        </w:rPr>
        <w:t>changed “refrain from including” to “not include,” and changed “otherwise ordered by the court” to “the court orders otherwise.”</w:t>
      </w:r>
    </w:p>
    <w:p w14:paraId="37ADEAC5" w14:textId="77777777" w:rsidR="00C8185C" w:rsidRPr="00C8185C" w:rsidRDefault="00C8185C" w:rsidP="00FA3CDB">
      <w:pPr>
        <w:pStyle w:val="ListParagraph"/>
        <w:ind w:left="1080"/>
        <w:rPr>
          <w:sz w:val="28"/>
          <w:szCs w:val="28"/>
        </w:rPr>
      </w:pPr>
    </w:p>
    <w:p w14:paraId="2E935E10" w14:textId="7854B39D" w:rsidR="004F48C5" w:rsidRDefault="004F48C5" w:rsidP="004F48C5">
      <w:pPr>
        <w:pStyle w:val="ListParagraph"/>
        <w:numPr>
          <w:ilvl w:val="0"/>
          <w:numId w:val="16"/>
        </w:numPr>
        <w:spacing w:after="200"/>
        <w:ind w:left="1080"/>
        <w:jc w:val="both"/>
        <w:rPr>
          <w:rFonts w:eastAsiaTheme="minorHAnsi"/>
        </w:rPr>
      </w:pPr>
      <w:r>
        <w:rPr>
          <w:sz w:val="28"/>
          <w:szCs w:val="28"/>
        </w:rPr>
        <w:t xml:space="preserve">In </w:t>
      </w:r>
      <w:r>
        <w:rPr>
          <w:sz w:val="28"/>
          <w:szCs w:val="28"/>
          <w:u w:val="single"/>
        </w:rPr>
        <w:t>Rule 10(a)</w:t>
      </w:r>
      <w:r>
        <w:rPr>
          <w:sz w:val="28"/>
          <w:szCs w:val="28"/>
        </w:rPr>
        <w:t xml:space="preserve"> (“acknowledgment required”), the revisions clarify that certain consents, waivers, and nominations must be signed by the interested person and acknowledged by a notary, judicial officer, or other person legally authorized to verify the signer’s identity.</w:t>
      </w:r>
    </w:p>
    <w:p w14:paraId="7573F543" w14:textId="77777777" w:rsidR="00C8185C" w:rsidRPr="00C8185C" w:rsidRDefault="00C8185C" w:rsidP="00FA3CDB">
      <w:pPr>
        <w:pStyle w:val="ListParagraph"/>
        <w:ind w:left="1080"/>
        <w:rPr>
          <w:sz w:val="28"/>
          <w:szCs w:val="28"/>
        </w:rPr>
      </w:pPr>
    </w:p>
    <w:p w14:paraId="7C9509BE" w14:textId="3185DBF5"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3010AF">
        <w:rPr>
          <w:sz w:val="28"/>
          <w:szCs w:val="28"/>
          <w:u w:val="single"/>
        </w:rPr>
        <w:t>Rule 15(</w:t>
      </w:r>
      <w:r w:rsidR="00CE6415">
        <w:rPr>
          <w:sz w:val="28"/>
          <w:szCs w:val="28"/>
          <w:u w:val="single"/>
        </w:rPr>
        <w:t>j</w:t>
      </w:r>
      <w:r w:rsidRPr="003010AF">
        <w:rPr>
          <w:sz w:val="28"/>
          <w:szCs w:val="28"/>
          <w:u w:val="single"/>
        </w:rPr>
        <w:t>)</w:t>
      </w:r>
      <w:r w:rsidRPr="00E82CAE">
        <w:rPr>
          <w:sz w:val="28"/>
          <w:szCs w:val="28"/>
        </w:rPr>
        <w:t xml:space="preserve"> (“ex parte petitions”), </w:t>
      </w:r>
      <w:r w:rsidR="00FD6949">
        <w:rPr>
          <w:sz w:val="28"/>
          <w:szCs w:val="28"/>
        </w:rPr>
        <w:t xml:space="preserve">it </w:t>
      </w:r>
      <w:r w:rsidR="00CE6415">
        <w:rPr>
          <w:sz w:val="28"/>
          <w:szCs w:val="28"/>
        </w:rPr>
        <w:t>substituted</w:t>
      </w:r>
      <w:r w:rsidR="00CE6415" w:rsidRPr="00E82CAE">
        <w:rPr>
          <w:sz w:val="28"/>
          <w:szCs w:val="28"/>
        </w:rPr>
        <w:t xml:space="preserve"> </w:t>
      </w:r>
      <w:r w:rsidR="00287E01">
        <w:rPr>
          <w:sz w:val="28"/>
          <w:szCs w:val="28"/>
        </w:rPr>
        <w:t>for enhanced clarity</w:t>
      </w:r>
      <w:r w:rsidR="00287E01" w:rsidRPr="00E82CAE">
        <w:rPr>
          <w:sz w:val="28"/>
          <w:szCs w:val="28"/>
        </w:rPr>
        <w:t xml:space="preserve"> </w:t>
      </w:r>
      <w:r w:rsidRPr="00E82CAE">
        <w:rPr>
          <w:sz w:val="28"/>
          <w:szCs w:val="28"/>
        </w:rPr>
        <w:t>the words “</w:t>
      </w:r>
      <w:r w:rsidR="00CE6415">
        <w:rPr>
          <w:sz w:val="28"/>
          <w:szCs w:val="28"/>
        </w:rPr>
        <w:t>that authorize the court to rule on the request without prior notice to interested persons</w:t>
      </w:r>
      <w:r w:rsidRPr="00E82CAE">
        <w:rPr>
          <w:sz w:val="28"/>
          <w:szCs w:val="28"/>
        </w:rPr>
        <w:t>”</w:t>
      </w:r>
      <w:r w:rsidR="00CE6415">
        <w:rPr>
          <w:sz w:val="28"/>
          <w:szCs w:val="28"/>
        </w:rPr>
        <w:t xml:space="preserve"> at the end of the second sentence.</w:t>
      </w:r>
    </w:p>
    <w:p w14:paraId="7CA3A858" w14:textId="77777777" w:rsidR="00C8185C" w:rsidRPr="00E82CAE" w:rsidRDefault="00C8185C" w:rsidP="00C8185C">
      <w:pPr>
        <w:pStyle w:val="ListParagraph"/>
        <w:spacing w:after="200"/>
        <w:ind w:left="1080"/>
        <w:jc w:val="both"/>
        <w:rPr>
          <w:sz w:val="28"/>
          <w:szCs w:val="28"/>
        </w:rPr>
      </w:pPr>
    </w:p>
    <w:p w14:paraId="2D7E2E95"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3010AF">
        <w:rPr>
          <w:sz w:val="28"/>
          <w:szCs w:val="28"/>
          <w:u w:val="single"/>
        </w:rPr>
        <w:t>Rule 18(a)</w:t>
      </w:r>
      <w:r w:rsidRPr="00E82CAE">
        <w:rPr>
          <w:sz w:val="28"/>
          <w:szCs w:val="28"/>
        </w:rPr>
        <w:t xml:space="preserve"> (“administrative dismissal of a petition”), </w:t>
      </w:r>
      <w:r w:rsidR="00FD6949">
        <w:rPr>
          <w:sz w:val="28"/>
          <w:szCs w:val="28"/>
        </w:rPr>
        <w:t xml:space="preserve">it removed an ambiguity by </w:t>
      </w:r>
      <w:r w:rsidRPr="00E82CAE">
        <w:rPr>
          <w:sz w:val="28"/>
          <w:szCs w:val="28"/>
        </w:rPr>
        <w:t>relocat</w:t>
      </w:r>
      <w:r w:rsidR="00FD6949">
        <w:rPr>
          <w:sz w:val="28"/>
          <w:szCs w:val="28"/>
        </w:rPr>
        <w:t>ing</w:t>
      </w:r>
      <w:r w:rsidRPr="00E82CAE">
        <w:rPr>
          <w:sz w:val="28"/>
          <w:szCs w:val="28"/>
        </w:rPr>
        <w:t xml:space="preserve"> the clause “within 60 days after filing a petition” so i</w:t>
      </w:r>
      <w:r w:rsidR="00ED2529">
        <w:rPr>
          <w:sz w:val="28"/>
          <w:szCs w:val="28"/>
        </w:rPr>
        <w:t>t</w:t>
      </w:r>
      <w:r w:rsidRPr="00E82CAE">
        <w:rPr>
          <w:sz w:val="28"/>
          <w:szCs w:val="28"/>
        </w:rPr>
        <w:t xml:space="preserve"> appears after the word “not.”</w:t>
      </w:r>
    </w:p>
    <w:p w14:paraId="5CCDD249" w14:textId="77777777" w:rsidR="00C8185C" w:rsidRPr="00C8185C" w:rsidRDefault="00C8185C" w:rsidP="00C8185C">
      <w:pPr>
        <w:pStyle w:val="ListParagraph"/>
        <w:rPr>
          <w:sz w:val="28"/>
          <w:szCs w:val="28"/>
        </w:rPr>
      </w:pPr>
    </w:p>
    <w:p w14:paraId="5F091149" w14:textId="45B9E8CC"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3010AF">
        <w:rPr>
          <w:sz w:val="28"/>
          <w:szCs w:val="28"/>
          <w:u w:val="single"/>
        </w:rPr>
        <w:t>Rule 19(a)(1)</w:t>
      </w:r>
      <w:r w:rsidRPr="00E82CAE">
        <w:rPr>
          <w:sz w:val="28"/>
          <w:szCs w:val="28"/>
        </w:rPr>
        <w:t xml:space="preserve"> (a definition of “motion”), </w:t>
      </w:r>
      <w:r w:rsidR="00FD6949">
        <w:rPr>
          <w:sz w:val="28"/>
          <w:szCs w:val="28"/>
        </w:rPr>
        <w:t xml:space="preserve">it </w:t>
      </w:r>
      <w:r w:rsidRPr="00E82CAE">
        <w:rPr>
          <w:sz w:val="28"/>
          <w:szCs w:val="28"/>
        </w:rPr>
        <w:t>revised the sentence to say that</w:t>
      </w:r>
      <w:r w:rsidR="00591B70">
        <w:rPr>
          <w:sz w:val="28"/>
          <w:szCs w:val="28"/>
        </w:rPr>
        <w:t xml:space="preserve"> a</w:t>
      </w:r>
      <w:r w:rsidRPr="00E82CAE">
        <w:rPr>
          <w:sz w:val="28"/>
          <w:szCs w:val="28"/>
        </w:rPr>
        <w:t xml:space="preserve"> </w:t>
      </w:r>
      <w:r w:rsidR="00287E01">
        <w:rPr>
          <w:sz w:val="28"/>
          <w:szCs w:val="28"/>
        </w:rPr>
        <w:t>“‘</w:t>
      </w:r>
      <w:r w:rsidRPr="00E82CAE">
        <w:rPr>
          <w:sz w:val="28"/>
          <w:szCs w:val="28"/>
        </w:rPr>
        <w:t>motion’ is a request made by a party to a judicial officer that seeks procedural rather than substantive relief.”</w:t>
      </w:r>
    </w:p>
    <w:p w14:paraId="79E90465" w14:textId="77777777" w:rsidR="00C8185C" w:rsidRPr="00C8185C" w:rsidRDefault="00C8185C" w:rsidP="00C8185C">
      <w:pPr>
        <w:pStyle w:val="ListParagraph"/>
        <w:rPr>
          <w:sz w:val="28"/>
          <w:szCs w:val="28"/>
        </w:rPr>
      </w:pPr>
    </w:p>
    <w:p w14:paraId="7B5A7F96" w14:textId="0824BAB2"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19(b)</w:t>
      </w:r>
      <w:r w:rsidRPr="00E82CAE">
        <w:rPr>
          <w:sz w:val="28"/>
          <w:szCs w:val="28"/>
        </w:rPr>
        <w:t xml:space="preserve"> (“ex parte motion”),</w:t>
      </w:r>
      <w:r w:rsidR="00FD6949">
        <w:rPr>
          <w:sz w:val="28"/>
          <w:szCs w:val="28"/>
        </w:rPr>
        <w:t xml:space="preserve"> it</w:t>
      </w:r>
      <w:r w:rsidRPr="00E82CAE">
        <w:rPr>
          <w:sz w:val="28"/>
          <w:szCs w:val="28"/>
        </w:rPr>
        <w:t xml:space="preserve"> added the words “ex parte.”</w:t>
      </w:r>
    </w:p>
    <w:p w14:paraId="59DDA915" w14:textId="77777777" w:rsidR="00C8185C" w:rsidRPr="00C8185C" w:rsidRDefault="00C8185C" w:rsidP="00C8185C">
      <w:pPr>
        <w:pStyle w:val="ListParagraph"/>
        <w:rPr>
          <w:sz w:val="28"/>
          <w:szCs w:val="28"/>
        </w:rPr>
      </w:pPr>
    </w:p>
    <w:p w14:paraId="27AC73C1"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5B6F80">
        <w:rPr>
          <w:sz w:val="28"/>
          <w:szCs w:val="28"/>
          <w:u w:val="single"/>
        </w:rPr>
        <w:t>Rule 20(c)</w:t>
      </w:r>
      <w:r w:rsidRPr="00E82CAE">
        <w:rPr>
          <w:sz w:val="28"/>
          <w:szCs w:val="28"/>
        </w:rPr>
        <w:t xml:space="preserve"> (“evidence”), </w:t>
      </w:r>
      <w:r w:rsidR="00FD6949">
        <w:rPr>
          <w:sz w:val="28"/>
          <w:szCs w:val="28"/>
        </w:rPr>
        <w:t xml:space="preserve">it </w:t>
      </w:r>
      <w:r w:rsidRPr="00E82CAE">
        <w:rPr>
          <w:sz w:val="28"/>
          <w:szCs w:val="28"/>
        </w:rPr>
        <w:t>rephrased “evidence may not be presented” so it is in the active voice (“they may not present evidence”).</w:t>
      </w:r>
    </w:p>
    <w:p w14:paraId="1DE186E3" w14:textId="77777777" w:rsidR="00C8185C" w:rsidRPr="00C8185C" w:rsidRDefault="00C8185C" w:rsidP="00C8185C">
      <w:pPr>
        <w:pStyle w:val="ListParagraph"/>
        <w:rPr>
          <w:sz w:val="28"/>
          <w:szCs w:val="28"/>
        </w:rPr>
      </w:pPr>
    </w:p>
    <w:p w14:paraId="700068C9"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lastRenderedPageBreak/>
        <w:t xml:space="preserve">In </w:t>
      </w:r>
      <w:r w:rsidRPr="009C2ED5">
        <w:rPr>
          <w:sz w:val="28"/>
          <w:szCs w:val="28"/>
          <w:u w:val="single"/>
        </w:rPr>
        <w:t>Rule 26(c)</w:t>
      </w:r>
      <w:r w:rsidRPr="00E82CAE">
        <w:rPr>
          <w:sz w:val="28"/>
          <w:szCs w:val="28"/>
        </w:rPr>
        <w:t xml:space="preserve"> (“service and filing”), </w:t>
      </w:r>
      <w:r w:rsidR="00FD6949">
        <w:rPr>
          <w:sz w:val="28"/>
          <w:szCs w:val="28"/>
        </w:rPr>
        <w:t xml:space="preserve">it </w:t>
      </w:r>
      <w:r w:rsidRPr="00E82CAE">
        <w:rPr>
          <w:sz w:val="28"/>
          <w:szCs w:val="28"/>
        </w:rPr>
        <w:t>changed the word “file” to “lodge [a proposed order].”</w:t>
      </w:r>
    </w:p>
    <w:p w14:paraId="5AC0DB4F" w14:textId="77777777" w:rsidR="00C8185C" w:rsidRPr="00C8185C" w:rsidRDefault="00C8185C" w:rsidP="00C8185C">
      <w:pPr>
        <w:pStyle w:val="ListParagraph"/>
        <w:rPr>
          <w:sz w:val="28"/>
          <w:szCs w:val="28"/>
        </w:rPr>
      </w:pPr>
    </w:p>
    <w:p w14:paraId="33AA3BF1"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27(b)</w:t>
      </w:r>
      <w:r w:rsidRPr="00E82CAE">
        <w:rPr>
          <w:sz w:val="28"/>
          <w:szCs w:val="28"/>
        </w:rPr>
        <w:t xml:space="preserve"> (“duty to confer”), subpart 2</w:t>
      </w:r>
      <w:r w:rsidR="00ED2529">
        <w:rPr>
          <w:sz w:val="28"/>
          <w:szCs w:val="28"/>
        </w:rPr>
        <w:t xml:space="preserve"> and</w:t>
      </w:r>
      <w:r w:rsidRPr="00E82CAE">
        <w:rPr>
          <w:sz w:val="28"/>
          <w:szCs w:val="28"/>
        </w:rPr>
        <w:t xml:space="preserve"> </w:t>
      </w:r>
      <w:r w:rsidR="00FD6949">
        <w:rPr>
          <w:sz w:val="28"/>
          <w:szCs w:val="28"/>
        </w:rPr>
        <w:t>for clarity</w:t>
      </w:r>
      <w:r w:rsidR="00ED2529">
        <w:rPr>
          <w:sz w:val="28"/>
          <w:szCs w:val="28"/>
        </w:rPr>
        <w:t>,</w:t>
      </w:r>
      <w:r w:rsidR="00FD6949">
        <w:rPr>
          <w:sz w:val="28"/>
          <w:szCs w:val="28"/>
        </w:rPr>
        <w:t xml:space="preserve"> it </w:t>
      </w:r>
      <w:r w:rsidRPr="00E82CAE">
        <w:rPr>
          <w:sz w:val="28"/>
          <w:szCs w:val="28"/>
        </w:rPr>
        <w:t>changed the word “they” to “the parties.”</w:t>
      </w:r>
    </w:p>
    <w:p w14:paraId="24CA6904" w14:textId="77777777" w:rsidR="00C8185C" w:rsidRDefault="00C8185C" w:rsidP="00C8185C">
      <w:pPr>
        <w:pStyle w:val="ListParagraph"/>
        <w:spacing w:after="200"/>
        <w:ind w:left="1080"/>
        <w:jc w:val="both"/>
        <w:rPr>
          <w:sz w:val="28"/>
          <w:szCs w:val="28"/>
        </w:rPr>
      </w:pPr>
    </w:p>
    <w:p w14:paraId="042B777A"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27(c)</w:t>
      </w:r>
      <w:r w:rsidRPr="00E82CAE">
        <w:rPr>
          <w:sz w:val="28"/>
          <w:szCs w:val="28"/>
        </w:rPr>
        <w:t xml:space="preserve"> (“content of the joint report”), </w:t>
      </w:r>
      <w:r w:rsidR="00ED2529">
        <w:rPr>
          <w:sz w:val="28"/>
          <w:szCs w:val="28"/>
        </w:rPr>
        <w:t xml:space="preserve">it </w:t>
      </w:r>
      <w:r w:rsidRPr="00E82CAE">
        <w:rPr>
          <w:sz w:val="28"/>
          <w:szCs w:val="28"/>
        </w:rPr>
        <w:t xml:space="preserve">added the </w:t>
      </w:r>
      <w:r w:rsidR="00ED2529">
        <w:rPr>
          <w:sz w:val="28"/>
          <w:szCs w:val="28"/>
        </w:rPr>
        <w:t xml:space="preserve">omitted </w:t>
      </w:r>
      <w:r w:rsidRPr="00E82CAE">
        <w:rPr>
          <w:sz w:val="28"/>
          <w:szCs w:val="28"/>
        </w:rPr>
        <w:t>word “to” [</w:t>
      </w:r>
      <w:r w:rsidR="00FD6949">
        <w:rPr>
          <w:sz w:val="28"/>
          <w:szCs w:val="28"/>
        </w:rPr>
        <w:t xml:space="preserve">i.e., </w:t>
      </w:r>
      <w:r w:rsidRPr="00E82CAE">
        <w:rPr>
          <w:sz w:val="28"/>
          <w:szCs w:val="28"/>
        </w:rPr>
        <w:t>“the right to a jury trial.”]</w:t>
      </w:r>
    </w:p>
    <w:p w14:paraId="12933F91" w14:textId="77777777" w:rsidR="00C8185C" w:rsidRPr="00C8185C" w:rsidRDefault="00C8185C" w:rsidP="00C8185C">
      <w:pPr>
        <w:pStyle w:val="ListParagraph"/>
        <w:rPr>
          <w:sz w:val="28"/>
          <w:szCs w:val="28"/>
        </w:rPr>
      </w:pPr>
    </w:p>
    <w:p w14:paraId="35FA52A7"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28(d)</w:t>
      </w:r>
      <w:r w:rsidRPr="00E82CAE">
        <w:rPr>
          <w:sz w:val="28"/>
          <w:szCs w:val="28"/>
        </w:rPr>
        <w:t xml:space="preserve"> (“attorney fees claim”), </w:t>
      </w:r>
      <w:r w:rsidR="00FD6949">
        <w:rPr>
          <w:sz w:val="28"/>
          <w:szCs w:val="28"/>
        </w:rPr>
        <w:t xml:space="preserve">it </w:t>
      </w:r>
      <w:r w:rsidRPr="00E82CAE">
        <w:rPr>
          <w:sz w:val="28"/>
          <w:szCs w:val="28"/>
        </w:rPr>
        <w:t>replaced “that a party took discovery [etc.]” with the words “discovery taken by a party [etc.].”</w:t>
      </w:r>
    </w:p>
    <w:p w14:paraId="5F419440" w14:textId="77777777" w:rsidR="00C8185C" w:rsidRPr="00C8185C" w:rsidRDefault="00C8185C" w:rsidP="00C8185C">
      <w:pPr>
        <w:pStyle w:val="ListParagraph"/>
        <w:rPr>
          <w:sz w:val="28"/>
          <w:szCs w:val="28"/>
        </w:rPr>
      </w:pPr>
    </w:p>
    <w:p w14:paraId="71E1554E" w14:textId="180AB6D6"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45(d)(</w:t>
      </w:r>
      <w:r w:rsidR="00DC18C4">
        <w:rPr>
          <w:sz w:val="28"/>
          <w:szCs w:val="28"/>
          <w:u w:val="single"/>
        </w:rPr>
        <w:t>5</w:t>
      </w:r>
      <w:r w:rsidRPr="009C2ED5">
        <w:rPr>
          <w:sz w:val="28"/>
          <w:szCs w:val="28"/>
          <w:u w:val="single"/>
        </w:rPr>
        <w:t>)</w:t>
      </w:r>
      <w:r w:rsidRPr="00E82CAE">
        <w:rPr>
          <w:sz w:val="28"/>
          <w:szCs w:val="28"/>
        </w:rPr>
        <w:t xml:space="preserve"> (“filing a budget, objections, and court action”), </w:t>
      </w:r>
      <w:r w:rsidR="00FD6949">
        <w:rPr>
          <w:sz w:val="28"/>
          <w:szCs w:val="28"/>
        </w:rPr>
        <w:t xml:space="preserve">it </w:t>
      </w:r>
      <w:r w:rsidRPr="00E82CAE">
        <w:rPr>
          <w:sz w:val="28"/>
          <w:szCs w:val="28"/>
        </w:rPr>
        <w:t xml:space="preserve">relocated the last sentence of subpart (A) (“the court may set a hearing in the absence of an objection”) as the </w:t>
      </w:r>
      <w:r w:rsidR="005B6F80">
        <w:rPr>
          <w:sz w:val="28"/>
          <w:szCs w:val="28"/>
        </w:rPr>
        <w:t>second</w:t>
      </w:r>
      <w:r w:rsidRPr="00E82CAE">
        <w:rPr>
          <w:sz w:val="28"/>
          <w:szCs w:val="28"/>
        </w:rPr>
        <w:t xml:space="preserve"> sentence of subpart (</w:t>
      </w:r>
      <w:r w:rsidR="005B6F80">
        <w:rPr>
          <w:sz w:val="28"/>
          <w:szCs w:val="28"/>
        </w:rPr>
        <w:t>B</w:t>
      </w:r>
      <w:r w:rsidRPr="00E82CAE">
        <w:rPr>
          <w:sz w:val="28"/>
          <w:szCs w:val="28"/>
        </w:rPr>
        <w:t>).</w:t>
      </w:r>
    </w:p>
    <w:p w14:paraId="6C928D6A" w14:textId="77777777" w:rsidR="00C8185C" w:rsidRPr="00C8185C" w:rsidRDefault="00C8185C" w:rsidP="00C8185C">
      <w:pPr>
        <w:pStyle w:val="ListParagraph"/>
        <w:rPr>
          <w:sz w:val="28"/>
          <w:szCs w:val="28"/>
        </w:rPr>
      </w:pPr>
    </w:p>
    <w:p w14:paraId="4D4813EB"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45(c)</w:t>
      </w:r>
      <w:r w:rsidRPr="00E82CAE">
        <w:rPr>
          <w:sz w:val="28"/>
          <w:szCs w:val="28"/>
        </w:rPr>
        <w:t xml:space="preserve"> (“conservator’s account”), subpart (2) (“required attachments”), </w:t>
      </w:r>
      <w:r w:rsidR="00FD6949">
        <w:rPr>
          <w:sz w:val="28"/>
          <w:szCs w:val="28"/>
        </w:rPr>
        <w:t xml:space="preserve">it </w:t>
      </w:r>
      <w:r w:rsidRPr="00E82CAE">
        <w:rPr>
          <w:sz w:val="28"/>
          <w:szCs w:val="28"/>
        </w:rPr>
        <w:t>deleted the word “monthly”</w:t>
      </w:r>
      <w:r w:rsidR="00FD6949">
        <w:rPr>
          <w:sz w:val="28"/>
          <w:szCs w:val="28"/>
        </w:rPr>
        <w:t xml:space="preserve"> because financial statements might be generated other than monthly.</w:t>
      </w:r>
    </w:p>
    <w:p w14:paraId="6130F450" w14:textId="77777777" w:rsidR="00C8185C" w:rsidRPr="00C8185C" w:rsidRDefault="00C8185C" w:rsidP="00C8185C">
      <w:pPr>
        <w:pStyle w:val="ListParagraph"/>
        <w:rPr>
          <w:sz w:val="28"/>
          <w:szCs w:val="28"/>
        </w:rPr>
      </w:pPr>
    </w:p>
    <w:p w14:paraId="2E198804" w14:textId="13BD7312" w:rsidR="00E82CAE" w:rsidRPr="00EF5377"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D90AD4">
        <w:rPr>
          <w:sz w:val="28"/>
          <w:szCs w:val="28"/>
          <w:u w:val="single"/>
        </w:rPr>
        <w:t>Rule 45(</w:t>
      </w:r>
      <w:r w:rsidR="007A75EA" w:rsidRPr="00D90AD4">
        <w:rPr>
          <w:sz w:val="28"/>
          <w:szCs w:val="28"/>
          <w:u w:val="single"/>
        </w:rPr>
        <w:t>e</w:t>
      </w:r>
      <w:r w:rsidRPr="00287E01">
        <w:rPr>
          <w:sz w:val="28"/>
          <w:szCs w:val="28"/>
          <w:u w:val="single"/>
        </w:rPr>
        <w:t>)</w:t>
      </w:r>
      <w:r w:rsidR="00F6620C" w:rsidRPr="00287E01">
        <w:rPr>
          <w:sz w:val="28"/>
          <w:szCs w:val="28"/>
          <w:u w:val="single"/>
        </w:rPr>
        <w:t>(6)</w:t>
      </w:r>
      <w:r w:rsidRPr="00D90AD4">
        <w:rPr>
          <w:sz w:val="28"/>
          <w:szCs w:val="28"/>
        </w:rPr>
        <w:t xml:space="preserve"> (“final</w:t>
      </w:r>
      <w:r w:rsidRPr="00E82CAE">
        <w:rPr>
          <w:sz w:val="28"/>
          <w:szCs w:val="28"/>
        </w:rPr>
        <w:t xml:space="preserve"> account”), </w:t>
      </w:r>
      <w:r w:rsidR="00FD6949">
        <w:rPr>
          <w:sz w:val="28"/>
          <w:szCs w:val="28"/>
        </w:rPr>
        <w:t xml:space="preserve">it </w:t>
      </w:r>
      <w:r w:rsidRPr="00E82CAE">
        <w:rPr>
          <w:sz w:val="28"/>
          <w:szCs w:val="28"/>
        </w:rPr>
        <w:t>replaced the existing language with the following text: “</w:t>
      </w:r>
      <w:r w:rsidRPr="00E82CAE">
        <w:rPr>
          <w:rFonts w:eastAsia="Times New Roman"/>
          <w:sz w:val="28"/>
          <w:szCs w:val="28"/>
        </w:rPr>
        <w:t xml:space="preserve">Except as provided in </w:t>
      </w:r>
      <w:r w:rsidRPr="00E82CAE">
        <w:rPr>
          <w:sz w:val="28"/>
          <w:szCs w:val="28"/>
        </w:rPr>
        <w:t xml:space="preserve">A.R.S. § </w:t>
      </w:r>
      <w:r w:rsidRPr="00E82CAE">
        <w:rPr>
          <w:rFonts w:eastAsia="Times New Roman"/>
          <w:sz w:val="28"/>
          <w:szCs w:val="28"/>
        </w:rPr>
        <w:t xml:space="preserve">14-5419(F) or as ordered by the court, the conservator must file a final account of the protected person's estate no later than 90 days after the termination of the conservatorship, whether by death of the protected person or by other court order. </w:t>
      </w:r>
      <w:r w:rsidR="00791B73">
        <w:rPr>
          <w:rFonts w:eastAsia="Times New Roman"/>
          <w:sz w:val="28"/>
          <w:szCs w:val="28"/>
        </w:rPr>
        <w:t xml:space="preserve"> </w:t>
      </w:r>
      <w:r w:rsidRPr="00E82CAE">
        <w:rPr>
          <w:rFonts w:eastAsia="Times New Roman"/>
          <w:sz w:val="28"/>
          <w:szCs w:val="28"/>
        </w:rPr>
        <w:t xml:space="preserve">The final account must reflect all activity between the ending date of the most recently approved account and the date of termination of the conservatorship. </w:t>
      </w:r>
      <w:r w:rsidR="007B619D">
        <w:rPr>
          <w:rFonts w:eastAsia="Times New Roman"/>
          <w:sz w:val="28"/>
          <w:szCs w:val="28"/>
        </w:rPr>
        <w:t xml:space="preserve"> </w:t>
      </w:r>
      <w:r w:rsidRPr="00E82CAE">
        <w:rPr>
          <w:rFonts w:eastAsia="Times New Roman"/>
          <w:sz w:val="28"/>
          <w:szCs w:val="28"/>
        </w:rPr>
        <w:t>The court may extend the date for filing the account or relieve the conservator from filing a final account.”</w:t>
      </w:r>
    </w:p>
    <w:p w14:paraId="6774D5D3" w14:textId="77777777" w:rsidR="003E21DE" w:rsidRPr="00EF5377" w:rsidRDefault="003E21DE" w:rsidP="00EF5377">
      <w:pPr>
        <w:pStyle w:val="ListParagraph"/>
        <w:rPr>
          <w:sz w:val="28"/>
          <w:szCs w:val="28"/>
        </w:rPr>
      </w:pPr>
    </w:p>
    <w:p w14:paraId="65F447D6" w14:textId="46C01F6A" w:rsidR="003E21DE" w:rsidRPr="00C8185C" w:rsidRDefault="003E21DE" w:rsidP="00C8185C">
      <w:pPr>
        <w:pStyle w:val="ListParagraph"/>
        <w:numPr>
          <w:ilvl w:val="0"/>
          <w:numId w:val="8"/>
        </w:numPr>
        <w:spacing w:after="200"/>
        <w:ind w:left="1080"/>
        <w:jc w:val="both"/>
        <w:rPr>
          <w:sz w:val="28"/>
          <w:szCs w:val="28"/>
        </w:rPr>
      </w:pPr>
      <w:r>
        <w:rPr>
          <w:sz w:val="28"/>
          <w:szCs w:val="28"/>
        </w:rPr>
        <w:t xml:space="preserve">In </w:t>
      </w:r>
      <w:r w:rsidRPr="00287E01">
        <w:rPr>
          <w:sz w:val="28"/>
          <w:szCs w:val="28"/>
          <w:u w:val="single"/>
        </w:rPr>
        <w:t>Rule 45(e)(7)</w:t>
      </w:r>
      <w:r>
        <w:rPr>
          <w:sz w:val="28"/>
          <w:szCs w:val="28"/>
        </w:rPr>
        <w:t xml:space="preserve"> (“format of account”), it added Form 5, which had been inadvertently omitted.</w:t>
      </w:r>
    </w:p>
    <w:p w14:paraId="2483CAF6" w14:textId="77777777" w:rsidR="00C8185C" w:rsidRPr="00C8185C" w:rsidRDefault="00C8185C" w:rsidP="00C8185C">
      <w:pPr>
        <w:pStyle w:val="ListParagraph"/>
        <w:rPr>
          <w:sz w:val="28"/>
          <w:szCs w:val="28"/>
        </w:rPr>
      </w:pPr>
    </w:p>
    <w:p w14:paraId="6F0DFA1C" w14:textId="77777777" w:rsidR="00E82CAE" w:rsidRDefault="00E82CAE" w:rsidP="00C8185C">
      <w:pPr>
        <w:pStyle w:val="ListParagraph"/>
        <w:numPr>
          <w:ilvl w:val="0"/>
          <w:numId w:val="8"/>
        </w:numPr>
        <w:ind w:left="1080"/>
        <w:jc w:val="both"/>
        <w:rPr>
          <w:sz w:val="28"/>
          <w:szCs w:val="28"/>
        </w:rPr>
      </w:pPr>
      <w:r w:rsidRPr="00E82CAE">
        <w:rPr>
          <w:sz w:val="28"/>
          <w:szCs w:val="28"/>
        </w:rPr>
        <w:t xml:space="preserve">In </w:t>
      </w:r>
      <w:r w:rsidRPr="009C2ED5">
        <w:rPr>
          <w:sz w:val="28"/>
          <w:szCs w:val="28"/>
          <w:u w:val="single"/>
        </w:rPr>
        <w:t>Rule 48</w:t>
      </w:r>
      <w:r w:rsidRPr="00E82CAE">
        <w:rPr>
          <w:sz w:val="28"/>
          <w:szCs w:val="28"/>
        </w:rPr>
        <w:t xml:space="preserve"> (“remedies for non-compliance by a guardian or conservator”), </w:t>
      </w:r>
      <w:r w:rsidR="00FD6949">
        <w:rPr>
          <w:sz w:val="28"/>
          <w:szCs w:val="28"/>
        </w:rPr>
        <w:t xml:space="preserve">it </w:t>
      </w:r>
      <w:r w:rsidRPr="00E82CAE">
        <w:rPr>
          <w:sz w:val="28"/>
          <w:szCs w:val="28"/>
        </w:rPr>
        <w:t xml:space="preserve">deleted in section (b) the </w:t>
      </w:r>
      <w:r w:rsidR="00FD6949">
        <w:rPr>
          <w:sz w:val="28"/>
          <w:szCs w:val="28"/>
        </w:rPr>
        <w:t>surplusage,</w:t>
      </w:r>
      <w:r w:rsidRPr="00E82CAE">
        <w:rPr>
          <w:sz w:val="28"/>
          <w:szCs w:val="28"/>
        </w:rPr>
        <w:t xml:space="preserve"> “under Rule 48.”</w:t>
      </w:r>
    </w:p>
    <w:p w14:paraId="0640ED9A" w14:textId="77777777" w:rsidR="00C8185C" w:rsidRPr="00E82CAE" w:rsidRDefault="00C8185C" w:rsidP="00C8185C">
      <w:pPr>
        <w:pStyle w:val="ListParagraph"/>
        <w:ind w:left="1080"/>
        <w:jc w:val="both"/>
        <w:rPr>
          <w:sz w:val="28"/>
          <w:szCs w:val="28"/>
        </w:rPr>
      </w:pPr>
    </w:p>
    <w:p w14:paraId="03E7CFF1" w14:textId="504BD8F6" w:rsidR="00E82CAE" w:rsidRPr="00E82CAE" w:rsidRDefault="00591B70" w:rsidP="00E82CAE">
      <w:pPr>
        <w:spacing w:line="480" w:lineRule="auto"/>
        <w:ind w:firstLine="720"/>
        <w:jc w:val="both"/>
        <w:rPr>
          <w:sz w:val="28"/>
          <w:szCs w:val="28"/>
        </w:rPr>
      </w:pPr>
      <w:r>
        <w:rPr>
          <w:sz w:val="28"/>
          <w:szCs w:val="28"/>
        </w:rPr>
        <w:t>Although</w:t>
      </w:r>
      <w:r w:rsidRPr="00E82CAE">
        <w:rPr>
          <w:sz w:val="28"/>
          <w:szCs w:val="28"/>
        </w:rPr>
        <w:t xml:space="preserve"> the Task Force took no action</w:t>
      </w:r>
      <w:r>
        <w:rPr>
          <w:sz w:val="28"/>
          <w:szCs w:val="28"/>
        </w:rPr>
        <w:t xml:space="preserve"> on the following items, it notes </w:t>
      </w:r>
      <w:r w:rsidR="003010AF">
        <w:rPr>
          <w:sz w:val="28"/>
          <w:szCs w:val="28"/>
        </w:rPr>
        <w:t>t</w:t>
      </w:r>
      <w:r w:rsidR="003010AF" w:rsidRPr="00E82CAE">
        <w:rPr>
          <w:sz w:val="28"/>
          <w:szCs w:val="28"/>
        </w:rPr>
        <w:t>he</w:t>
      </w:r>
      <w:r w:rsidR="003010AF">
        <w:rPr>
          <w:sz w:val="28"/>
          <w:szCs w:val="28"/>
        </w:rPr>
        <w:t>m</w:t>
      </w:r>
      <w:r>
        <w:rPr>
          <w:sz w:val="28"/>
          <w:szCs w:val="28"/>
        </w:rPr>
        <w:t xml:space="preserve"> so </w:t>
      </w:r>
      <w:r w:rsidR="00EF6334">
        <w:rPr>
          <w:sz w:val="28"/>
          <w:szCs w:val="28"/>
        </w:rPr>
        <w:t xml:space="preserve">that </w:t>
      </w:r>
      <w:r>
        <w:rPr>
          <w:sz w:val="28"/>
          <w:szCs w:val="28"/>
        </w:rPr>
        <w:t>the Court understands why no changes were recommended</w:t>
      </w:r>
      <w:r w:rsidR="00E82CAE" w:rsidRPr="00E82CAE">
        <w:rPr>
          <w:sz w:val="28"/>
          <w:szCs w:val="28"/>
        </w:rPr>
        <w:t>:</w:t>
      </w:r>
    </w:p>
    <w:p w14:paraId="6F20FD5B" w14:textId="77777777" w:rsidR="00E82CAE" w:rsidRDefault="00E82CAE" w:rsidP="00C8185C">
      <w:pPr>
        <w:pStyle w:val="ListParagraph"/>
        <w:numPr>
          <w:ilvl w:val="0"/>
          <w:numId w:val="8"/>
        </w:numPr>
        <w:spacing w:after="200"/>
        <w:ind w:left="1080"/>
        <w:jc w:val="both"/>
        <w:rPr>
          <w:sz w:val="28"/>
          <w:szCs w:val="28"/>
        </w:rPr>
      </w:pPr>
      <w:r w:rsidRPr="00E82CAE">
        <w:rPr>
          <w:sz w:val="28"/>
          <w:szCs w:val="28"/>
        </w:rPr>
        <w:lastRenderedPageBreak/>
        <w:t xml:space="preserve">In </w:t>
      </w:r>
      <w:r w:rsidRPr="009C2ED5">
        <w:rPr>
          <w:sz w:val="28"/>
          <w:szCs w:val="28"/>
          <w:u w:val="single"/>
        </w:rPr>
        <w:t>Rule 30</w:t>
      </w:r>
      <w:r w:rsidRPr="00E82CAE">
        <w:rPr>
          <w:sz w:val="28"/>
          <w:szCs w:val="28"/>
        </w:rPr>
        <w:t xml:space="preserve"> (“representation of parties”), section (b) (‘limitation”), </w:t>
      </w:r>
      <w:r w:rsidR="00CF4A7B">
        <w:rPr>
          <w:sz w:val="28"/>
          <w:szCs w:val="28"/>
        </w:rPr>
        <w:t xml:space="preserve">the Task Force </w:t>
      </w:r>
      <w:r w:rsidR="00FD6949">
        <w:rPr>
          <w:sz w:val="28"/>
          <w:szCs w:val="28"/>
        </w:rPr>
        <w:t xml:space="preserve">did </w:t>
      </w:r>
      <w:r w:rsidRPr="00E82CAE">
        <w:rPr>
          <w:sz w:val="28"/>
          <w:szCs w:val="28"/>
        </w:rPr>
        <w:t>not add “statutory representative” because a statutory representative might not be an attorney.</w:t>
      </w:r>
    </w:p>
    <w:p w14:paraId="5FA47DB9" w14:textId="77777777" w:rsidR="00C8185C" w:rsidRPr="00E82CAE" w:rsidRDefault="00C8185C" w:rsidP="00C8185C">
      <w:pPr>
        <w:pStyle w:val="ListParagraph"/>
        <w:spacing w:after="200"/>
        <w:ind w:left="1080"/>
        <w:jc w:val="both"/>
        <w:rPr>
          <w:sz w:val="28"/>
          <w:szCs w:val="28"/>
        </w:rPr>
      </w:pPr>
    </w:p>
    <w:p w14:paraId="4478112D" w14:textId="1AAEFD5E" w:rsidR="00E82CAE" w:rsidRDefault="00E82CAE" w:rsidP="00C8185C">
      <w:pPr>
        <w:pStyle w:val="ListParagraph"/>
        <w:numPr>
          <w:ilvl w:val="0"/>
          <w:numId w:val="8"/>
        </w:numPr>
        <w:spacing w:after="200"/>
        <w:ind w:left="1080"/>
        <w:jc w:val="both"/>
        <w:rPr>
          <w:sz w:val="28"/>
          <w:szCs w:val="28"/>
        </w:rPr>
      </w:pPr>
      <w:r w:rsidRPr="00E82CAE">
        <w:rPr>
          <w:sz w:val="28"/>
          <w:szCs w:val="28"/>
        </w:rPr>
        <w:t xml:space="preserve">In </w:t>
      </w:r>
      <w:r w:rsidRPr="009C2ED5">
        <w:rPr>
          <w:sz w:val="28"/>
          <w:szCs w:val="28"/>
          <w:u w:val="single"/>
        </w:rPr>
        <w:t>Rule 44(c)</w:t>
      </w:r>
      <w:r w:rsidRPr="00E82CAE">
        <w:rPr>
          <w:sz w:val="28"/>
          <w:szCs w:val="28"/>
        </w:rPr>
        <w:t xml:space="preserve"> (“conservator’s inventory”), </w:t>
      </w:r>
      <w:r w:rsidR="00FD6949">
        <w:rPr>
          <w:sz w:val="28"/>
          <w:szCs w:val="28"/>
        </w:rPr>
        <w:t xml:space="preserve">it did not </w:t>
      </w:r>
      <w:r w:rsidRPr="00E82CAE">
        <w:rPr>
          <w:sz w:val="28"/>
          <w:szCs w:val="28"/>
        </w:rPr>
        <w:t xml:space="preserve">add a form number for the inventory because there are </w:t>
      </w:r>
      <w:r w:rsidR="00C8185C">
        <w:rPr>
          <w:sz w:val="28"/>
          <w:szCs w:val="28"/>
        </w:rPr>
        <w:t xml:space="preserve">several </w:t>
      </w:r>
      <w:r w:rsidRPr="00E82CAE">
        <w:rPr>
          <w:sz w:val="28"/>
          <w:szCs w:val="28"/>
        </w:rPr>
        <w:t xml:space="preserve">inventory forms other than the </w:t>
      </w:r>
      <w:r w:rsidR="00C8185C">
        <w:rPr>
          <w:sz w:val="28"/>
          <w:szCs w:val="28"/>
        </w:rPr>
        <w:t xml:space="preserve">one </w:t>
      </w:r>
      <w:r w:rsidRPr="00E82CAE">
        <w:rPr>
          <w:sz w:val="28"/>
          <w:szCs w:val="28"/>
        </w:rPr>
        <w:t>that is on the Arizona Judicial Branch webpage</w:t>
      </w:r>
      <w:r w:rsidR="00C8185C" w:rsidRPr="00E82CAE">
        <w:rPr>
          <w:sz w:val="28"/>
          <w:szCs w:val="28"/>
        </w:rPr>
        <w:t xml:space="preserve">, including inventories </w:t>
      </w:r>
      <w:r w:rsidR="00C8185C">
        <w:rPr>
          <w:sz w:val="28"/>
          <w:szCs w:val="28"/>
        </w:rPr>
        <w:t xml:space="preserve">that are </w:t>
      </w:r>
      <w:r w:rsidR="00C8185C" w:rsidRPr="00E82CAE">
        <w:rPr>
          <w:sz w:val="28"/>
          <w:szCs w:val="28"/>
        </w:rPr>
        <w:t>available through the State Bar or local courts</w:t>
      </w:r>
      <w:r w:rsidR="007B619D">
        <w:rPr>
          <w:sz w:val="28"/>
          <w:szCs w:val="28"/>
        </w:rPr>
        <w:t>.</w:t>
      </w:r>
    </w:p>
    <w:p w14:paraId="4D37C590" w14:textId="77777777" w:rsidR="00C8185C" w:rsidRPr="00C8185C" w:rsidRDefault="00C8185C" w:rsidP="00C8185C">
      <w:pPr>
        <w:pStyle w:val="ListParagraph"/>
        <w:rPr>
          <w:sz w:val="28"/>
          <w:szCs w:val="28"/>
        </w:rPr>
      </w:pPr>
    </w:p>
    <w:p w14:paraId="6FA2F376" w14:textId="3E1C21D6" w:rsidR="00E82CAE" w:rsidRDefault="00E82CAE" w:rsidP="00C8185C">
      <w:pPr>
        <w:pStyle w:val="ListParagraph"/>
        <w:numPr>
          <w:ilvl w:val="0"/>
          <w:numId w:val="8"/>
        </w:numPr>
        <w:ind w:left="1080"/>
        <w:jc w:val="both"/>
        <w:rPr>
          <w:sz w:val="28"/>
          <w:szCs w:val="28"/>
        </w:rPr>
      </w:pPr>
      <w:r w:rsidRPr="00FD6949">
        <w:rPr>
          <w:sz w:val="28"/>
          <w:szCs w:val="28"/>
        </w:rPr>
        <w:t xml:space="preserve">In </w:t>
      </w:r>
      <w:r w:rsidRPr="00705075">
        <w:rPr>
          <w:sz w:val="28"/>
          <w:szCs w:val="28"/>
          <w:u w:val="single"/>
        </w:rPr>
        <w:t>Rule 50</w:t>
      </w:r>
      <w:r w:rsidRPr="009C2ED5">
        <w:rPr>
          <w:sz w:val="28"/>
          <w:szCs w:val="28"/>
          <w:u w:val="single"/>
        </w:rPr>
        <w:t>(a)</w:t>
      </w:r>
      <w:r w:rsidRPr="00FD6949">
        <w:rPr>
          <w:sz w:val="28"/>
          <w:szCs w:val="28"/>
        </w:rPr>
        <w:t xml:space="preserve"> (“inventory”), subpart 1 (“timing”)</w:t>
      </w:r>
      <w:r w:rsidR="00591B70">
        <w:rPr>
          <w:sz w:val="28"/>
          <w:szCs w:val="28"/>
        </w:rPr>
        <w:t>,</w:t>
      </w:r>
      <w:r w:rsidRPr="00FD6949">
        <w:rPr>
          <w:sz w:val="28"/>
          <w:szCs w:val="28"/>
        </w:rPr>
        <w:t xml:space="preserve"> </w:t>
      </w:r>
      <w:r w:rsidR="00FD6949" w:rsidRPr="00FD6949">
        <w:rPr>
          <w:sz w:val="28"/>
          <w:szCs w:val="28"/>
        </w:rPr>
        <w:t xml:space="preserve">it did </w:t>
      </w:r>
      <w:r w:rsidRPr="00FD6949">
        <w:rPr>
          <w:sz w:val="28"/>
          <w:szCs w:val="28"/>
        </w:rPr>
        <w:t xml:space="preserve">not vary the manner of service, although it might conflict with </w:t>
      </w:r>
      <w:r w:rsidR="00EF6334">
        <w:rPr>
          <w:sz w:val="28"/>
          <w:szCs w:val="28"/>
        </w:rPr>
        <w:t xml:space="preserve">that set forth in </w:t>
      </w:r>
      <w:r w:rsidRPr="00FD6949">
        <w:rPr>
          <w:sz w:val="28"/>
          <w:szCs w:val="28"/>
        </w:rPr>
        <w:t xml:space="preserve">Civil Rule 5, because </w:t>
      </w:r>
      <w:r w:rsidR="00EF6334">
        <w:rPr>
          <w:sz w:val="28"/>
          <w:szCs w:val="28"/>
        </w:rPr>
        <w:t>service in the manner required by Probate Rule 50(a)</w:t>
      </w:r>
      <w:r w:rsidR="00EF6334" w:rsidRPr="00FD6949">
        <w:rPr>
          <w:sz w:val="28"/>
          <w:szCs w:val="28"/>
        </w:rPr>
        <w:t xml:space="preserve"> </w:t>
      </w:r>
      <w:r w:rsidRPr="00FD6949">
        <w:rPr>
          <w:sz w:val="28"/>
          <w:szCs w:val="28"/>
        </w:rPr>
        <w:t>is prescribed by statute.</w:t>
      </w:r>
    </w:p>
    <w:p w14:paraId="5962E103" w14:textId="77777777" w:rsidR="00C8185C" w:rsidRPr="00C8185C" w:rsidRDefault="00C8185C" w:rsidP="00C8185C">
      <w:pPr>
        <w:pStyle w:val="ListParagraph"/>
        <w:rPr>
          <w:sz w:val="28"/>
          <w:szCs w:val="28"/>
        </w:rPr>
      </w:pPr>
    </w:p>
    <w:p w14:paraId="415F26B4" w14:textId="58D981BE" w:rsidR="00E82CAE" w:rsidRDefault="00F6620C" w:rsidP="00E82CAE">
      <w:pPr>
        <w:spacing w:line="480" w:lineRule="auto"/>
        <w:ind w:firstLine="720"/>
        <w:jc w:val="both"/>
        <w:rPr>
          <w:sz w:val="28"/>
          <w:szCs w:val="28"/>
        </w:rPr>
      </w:pPr>
      <w:r w:rsidRPr="0025510E">
        <w:rPr>
          <w:sz w:val="28"/>
          <w:szCs w:val="28"/>
          <w:u w:val="single"/>
        </w:rPr>
        <w:t>Rule 39(f)</w:t>
      </w:r>
      <w:r w:rsidRPr="003010AF">
        <w:rPr>
          <w:sz w:val="28"/>
          <w:szCs w:val="28"/>
        </w:rPr>
        <w:t>.</w:t>
      </w:r>
      <w:r w:rsidRPr="0025510E">
        <w:rPr>
          <w:sz w:val="28"/>
          <w:szCs w:val="28"/>
        </w:rPr>
        <w:t xml:space="preserve">  </w:t>
      </w:r>
      <w:r w:rsidR="00FD6949">
        <w:rPr>
          <w:sz w:val="28"/>
          <w:szCs w:val="28"/>
        </w:rPr>
        <w:t>The Task Force also discussed</w:t>
      </w:r>
      <w:r w:rsidR="00E82CAE" w:rsidRPr="00E82CAE">
        <w:rPr>
          <w:sz w:val="28"/>
          <w:szCs w:val="28"/>
        </w:rPr>
        <w:t xml:space="preserve"> an issue regarding Rule 39(f) (“recording personal representative’s letters of appointment”).  This provision, which is new, requires the personal representative to record letters “in any county of any state” where the decedent owned real property that is subject to court-ordered restrictions.  </w:t>
      </w:r>
      <w:r w:rsidR="00FD6949">
        <w:rPr>
          <w:sz w:val="28"/>
          <w:szCs w:val="28"/>
        </w:rPr>
        <w:t>Members</w:t>
      </w:r>
      <w:r w:rsidR="00E82CAE" w:rsidRPr="00E82CAE">
        <w:rPr>
          <w:sz w:val="28"/>
          <w:szCs w:val="28"/>
        </w:rPr>
        <w:t xml:space="preserve"> thought this </w:t>
      </w:r>
      <w:r w:rsidR="00EF6334">
        <w:rPr>
          <w:sz w:val="28"/>
          <w:szCs w:val="28"/>
        </w:rPr>
        <w:t xml:space="preserve">requirement </w:t>
      </w:r>
      <w:r w:rsidR="00E82CAE" w:rsidRPr="00E82CAE">
        <w:rPr>
          <w:sz w:val="28"/>
          <w:szCs w:val="28"/>
        </w:rPr>
        <w:t xml:space="preserve">might create confusion if there is an ancillary probate proceeding in another state.  </w:t>
      </w:r>
      <w:r w:rsidR="00FD6949">
        <w:rPr>
          <w:sz w:val="28"/>
          <w:szCs w:val="28"/>
        </w:rPr>
        <w:t>They also noted</w:t>
      </w:r>
      <w:r w:rsidR="00E82CAE" w:rsidRPr="00E82CAE">
        <w:rPr>
          <w:sz w:val="28"/>
          <w:szCs w:val="28"/>
        </w:rPr>
        <w:t xml:space="preserve"> that while an Arizona statute requires recording in similar circumstances for a conservatorship estate, there is no comparable statute for a decedent’s estate</w:t>
      </w:r>
      <w:r w:rsidR="00F906A5">
        <w:rPr>
          <w:sz w:val="28"/>
          <w:szCs w:val="28"/>
        </w:rPr>
        <w:t>.  They observed that</w:t>
      </w:r>
      <w:r w:rsidR="00E82CAE" w:rsidRPr="00E82CAE">
        <w:rPr>
          <w:sz w:val="28"/>
          <w:szCs w:val="28"/>
        </w:rPr>
        <w:t xml:space="preserve"> recording the letters in other states without fully evaluating the laws of each state</w:t>
      </w:r>
      <w:r w:rsidR="00C8185C">
        <w:rPr>
          <w:sz w:val="28"/>
          <w:szCs w:val="28"/>
        </w:rPr>
        <w:t xml:space="preserve"> </w:t>
      </w:r>
      <w:r w:rsidR="00E82CAE" w:rsidRPr="00E82CAE">
        <w:rPr>
          <w:sz w:val="28"/>
          <w:szCs w:val="28"/>
        </w:rPr>
        <w:t xml:space="preserve">might cloud property titles and subject </w:t>
      </w:r>
      <w:r w:rsidR="001C412E">
        <w:rPr>
          <w:sz w:val="28"/>
          <w:szCs w:val="28"/>
        </w:rPr>
        <w:t xml:space="preserve">a </w:t>
      </w:r>
      <w:r w:rsidR="00E82CAE" w:rsidRPr="00E82CAE">
        <w:rPr>
          <w:sz w:val="28"/>
          <w:szCs w:val="28"/>
        </w:rPr>
        <w:t>personal representative to civil liability.  Members accordingly agreed to change “in any county of any state” to “in any county of this state.”</w:t>
      </w:r>
    </w:p>
    <w:p w14:paraId="7A5C8F78" w14:textId="561BA31E" w:rsidR="00F13ABF" w:rsidRDefault="00F6620C" w:rsidP="00E82CAE">
      <w:pPr>
        <w:spacing w:line="480" w:lineRule="auto"/>
        <w:ind w:firstLine="720"/>
        <w:jc w:val="both"/>
        <w:rPr>
          <w:sz w:val="28"/>
          <w:szCs w:val="28"/>
        </w:rPr>
      </w:pPr>
      <w:r>
        <w:rPr>
          <w:sz w:val="28"/>
          <w:szCs w:val="28"/>
          <w:u w:val="single"/>
        </w:rPr>
        <w:lastRenderedPageBreak/>
        <w:t xml:space="preserve">Rule </w:t>
      </w:r>
      <w:r w:rsidRPr="00016272">
        <w:rPr>
          <w:sz w:val="28"/>
          <w:szCs w:val="28"/>
          <w:u w:val="single"/>
        </w:rPr>
        <w:t>29</w:t>
      </w:r>
      <w:r w:rsidR="0025510E">
        <w:rPr>
          <w:sz w:val="28"/>
          <w:szCs w:val="28"/>
        </w:rPr>
        <w:t xml:space="preserve"> (“demand for jury trial”)</w:t>
      </w:r>
      <w:r>
        <w:rPr>
          <w:sz w:val="28"/>
          <w:szCs w:val="28"/>
        </w:rPr>
        <w:t xml:space="preserve">.  </w:t>
      </w:r>
      <w:r w:rsidR="00F13ABF" w:rsidRPr="00F6620C">
        <w:rPr>
          <w:sz w:val="28"/>
          <w:szCs w:val="28"/>
        </w:rPr>
        <w:t>The</w:t>
      </w:r>
      <w:r w:rsidR="00F13ABF">
        <w:rPr>
          <w:sz w:val="28"/>
          <w:szCs w:val="28"/>
        </w:rPr>
        <w:t xml:space="preserve"> Task Force filed a rule petition in December 2018, number R-18-0039, which requested expedited adoption of a new Probate Rule 28.1 concerning demand</w:t>
      </w:r>
      <w:r w:rsidR="00EF6334">
        <w:rPr>
          <w:sz w:val="28"/>
          <w:szCs w:val="28"/>
        </w:rPr>
        <w:t>s</w:t>
      </w:r>
      <w:r w:rsidR="00F13ABF">
        <w:rPr>
          <w:sz w:val="28"/>
          <w:szCs w:val="28"/>
        </w:rPr>
        <w:t xml:space="preserve"> for jury trials in guardianship and conservatorship cases.  The Court adopted this rule on an emergency basis, effective January 1, 2019.  Proposed Rule 29 in R-18-0044 would supersede Rule 28.1.  Although the Court opened R-18-0039 for public comment in 2019, Petitioner submits that if the Court adopts the rules proposed by R-18-0044, R-18-0039 would be moot.</w:t>
      </w:r>
    </w:p>
    <w:p w14:paraId="5D5F45DA" w14:textId="5B0FF4B9" w:rsidR="00686725" w:rsidRPr="00686725" w:rsidRDefault="00016272" w:rsidP="00016272">
      <w:pPr>
        <w:pStyle w:val="ListParagraph"/>
        <w:numPr>
          <w:ilvl w:val="0"/>
          <w:numId w:val="10"/>
        </w:numPr>
        <w:spacing w:line="480" w:lineRule="auto"/>
        <w:ind w:left="0" w:firstLine="720"/>
        <w:jc w:val="both"/>
        <w:rPr>
          <w:b/>
          <w:sz w:val="28"/>
          <w:szCs w:val="28"/>
          <w:u w:val="single"/>
        </w:rPr>
      </w:pPr>
      <w:r w:rsidRPr="00016272">
        <w:rPr>
          <w:b/>
          <w:sz w:val="28"/>
          <w:szCs w:val="28"/>
          <w:u w:val="single"/>
        </w:rPr>
        <w:t>Forms.</w:t>
      </w:r>
      <w:r w:rsidRPr="00777982">
        <w:rPr>
          <w:sz w:val="28"/>
          <w:szCs w:val="28"/>
        </w:rPr>
        <w:t xml:space="preserve">  </w:t>
      </w:r>
      <w:r>
        <w:rPr>
          <w:sz w:val="28"/>
          <w:szCs w:val="28"/>
        </w:rPr>
        <w:t>Current Rule 38 (“Forms”) refers to forms in the Arizona Code of Judicial Administration (“ACJA”), which is somewhat confusing because ACJA § 3-302(D)</w:t>
      </w:r>
      <w:r w:rsidR="00297E74">
        <w:rPr>
          <w:sz w:val="28"/>
          <w:szCs w:val="28"/>
        </w:rPr>
        <w:t xml:space="preserve"> also</w:t>
      </w:r>
      <w:r>
        <w:rPr>
          <w:sz w:val="28"/>
          <w:szCs w:val="28"/>
        </w:rPr>
        <w:t xml:space="preserve"> refers to, but does not include, </w:t>
      </w:r>
      <w:r w:rsidR="00526FA9">
        <w:rPr>
          <w:sz w:val="28"/>
          <w:szCs w:val="28"/>
        </w:rPr>
        <w:t xml:space="preserve">any </w:t>
      </w:r>
      <w:r>
        <w:rPr>
          <w:sz w:val="28"/>
          <w:szCs w:val="28"/>
        </w:rPr>
        <w:t>forms.  Rather,</w:t>
      </w:r>
      <w:r w:rsidR="00526FA9">
        <w:rPr>
          <w:sz w:val="28"/>
          <w:szCs w:val="28"/>
        </w:rPr>
        <w:t xml:space="preserve"> ACJA § 3-302(D) directs</w:t>
      </w:r>
      <w:r>
        <w:rPr>
          <w:sz w:val="28"/>
          <w:szCs w:val="28"/>
        </w:rPr>
        <w:t xml:space="preserve"> </w:t>
      </w:r>
      <w:r w:rsidR="008C7E73">
        <w:rPr>
          <w:sz w:val="28"/>
          <w:szCs w:val="28"/>
        </w:rPr>
        <w:t>the reader</w:t>
      </w:r>
      <w:r>
        <w:rPr>
          <w:sz w:val="28"/>
          <w:szCs w:val="28"/>
        </w:rPr>
        <w:t xml:space="preserve"> to the Arizona Judicial Branch website</w:t>
      </w:r>
      <w:r w:rsidR="00526FA9">
        <w:rPr>
          <w:sz w:val="28"/>
          <w:szCs w:val="28"/>
        </w:rPr>
        <w:t xml:space="preserve"> to</w:t>
      </w:r>
      <w:r w:rsidR="00526FA9" w:rsidRPr="00526FA9">
        <w:rPr>
          <w:sz w:val="28"/>
          <w:szCs w:val="28"/>
        </w:rPr>
        <w:t xml:space="preserve"> </w:t>
      </w:r>
      <w:r w:rsidR="00526FA9">
        <w:rPr>
          <w:sz w:val="28"/>
          <w:szCs w:val="28"/>
        </w:rPr>
        <w:t>find the forms.</w:t>
      </w:r>
      <w:r>
        <w:rPr>
          <w:sz w:val="28"/>
          <w:szCs w:val="28"/>
        </w:rPr>
        <w:t xml:space="preserve">  Moreover, ACJA § 3-302(D) categorizes forms as either “preferred” or “exclusive.”  </w:t>
      </w:r>
      <w:r w:rsidR="00686725">
        <w:rPr>
          <w:sz w:val="28"/>
          <w:szCs w:val="28"/>
        </w:rPr>
        <w:t>The</w:t>
      </w:r>
      <w:r>
        <w:rPr>
          <w:sz w:val="28"/>
          <w:szCs w:val="28"/>
        </w:rPr>
        <w:t xml:space="preserve"> January rule petition, at page </w:t>
      </w:r>
      <w:r w:rsidR="00686725">
        <w:rPr>
          <w:sz w:val="28"/>
          <w:szCs w:val="28"/>
        </w:rPr>
        <w:t>19-20, recommended changing these terms to “recommended” and “</w:t>
      </w:r>
      <w:r w:rsidR="00A2266D">
        <w:rPr>
          <w:sz w:val="28"/>
          <w:szCs w:val="28"/>
        </w:rPr>
        <w:t>required</w:t>
      </w:r>
      <w:r w:rsidR="00686725">
        <w:rPr>
          <w:sz w:val="28"/>
          <w:szCs w:val="28"/>
        </w:rPr>
        <w:t xml:space="preserve">,” and proposed Rule 55 </w:t>
      </w:r>
      <w:r w:rsidR="00526FA9">
        <w:rPr>
          <w:sz w:val="28"/>
          <w:szCs w:val="28"/>
        </w:rPr>
        <w:t xml:space="preserve">in Appendix A to the petition </w:t>
      </w:r>
      <w:r w:rsidR="00686725">
        <w:rPr>
          <w:sz w:val="28"/>
          <w:szCs w:val="28"/>
        </w:rPr>
        <w:t>used that terminology.  But proposed Rule 55, as shown in Appendix A</w:t>
      </w:r>
      <w:r w:rsidR="00935782">
        <w:rPr>
          <w:sz w:val="28"/>
          <w:szCs w:val="28"/>
        </w:rPr>
        <w:t>-R</w:t>
      </w:r>
      <w:r w:rsidR="00686725">
        <w:rPr>
          <w:sz w:val="28"/>
          <w:szCs w:val="28"/>
        </w:rPr>
        <w:t xml:space="preserve"> to this Reply, no longer uses “recommended” or “required” because judicial officer</w:t>
      </w:r>
      <w:r w:rsidR="00526FA9">
        <w:rPr>
          <w:sz w:val="28"/>
          <w:szCs w:val="28"/>
        </w:rPr>
        <w:t>s</w:t>
      </w:r>
      <w:r w:rsidR="00686725">
        <w:rPr>
          <w:sz w:val="28"/>
          <w:szCs w:val="28"/>
        </w:rPr>
        <w:t xml:space="preserve"> can modify even “required” forms.  See, for example, proposed Rule 45(a) (“court authority”), which permits a judicial officer to modify requirements for inventory, budget, and account forms.</w:t>
      </w:r>
    </w:p>
    <w:p w14:paraId="58BA0958" w14:textId="13E10C90" w:rsidR="00016272" w:rsidRPr="00016272" w:rsidRDefault="00686725" w:rsidP="00686725">
      <w:pPr>
        <w:pStyle w:val="ListParagraph"/>
        <w:spacing w:line="480" w:lineRule="auto"/>
        <w:ind w:left="0" w:firstLine="720"/>
        <w:jc w:val="both"/>
        <w:rPr>
          <w:b/>
          <w:sz w:val="28"/>
          <w:szCs w:val="28"/>
          <w:u w:val="single"/>
        </w:rPr>
      </w:pPr>
      <w:r>
        <w:rPr>
          <w:sz w:val="28"/>
          <w:szCs w:val="28"/>
        </w:rPr>
        <w:lastRenderedPageBreak/>
        <w:t>Accordingly, revised Rule 55 advises that any of the referenced forms</w:t>
      </w:r>
      <w:r w:rsidR="00526FA9">
        <w:rPr>
          <w:sz w:val="28"/>
          <w:szCs w:val="28"/>
        </w:rPr>
        <w:t xml:space="preserve"> that</w:t>
      </w:r>
      <w:r>
        <w:rPr>
          <w:sz w:val="28"/>
          <w:szCs w:val="28"/>
        </w:rPr>
        <w:t xml:space="preserve"> are available on the Supreme Court’s website “meet the requirements of these rules</w:t>
      </w:r>
      <w:r w:rsidR="00526FA9">
        <w:rPr>
          <w:sz w:val="28"/>
          <w:szCs w:val="28"/>
        </w:rPr>
        <w:t>;</w:t>
      </w:r>
      <w:r>
        <w:rPr>
          <w:sz w:val="28"/>
          <w:szCs w:val="28"/>
        </w:rPr>
        <w:t xml:space="preserve">” that inapplicable </w:t>
      </w:r>
      <w:r w:rsidR="00297E74">
        <w:rPr>
          <w:sz w:val="28"/>
          <w:szCs w:val="28"/>
        </w:rPr>
        <w:t xml:space="preserve">content </w:t>
      </w:r>
      <w:r>
        <w:rPr>
          <w:sz w:val="28"/>
          <w:szCs w:val="28"/>
        </w:rPr>
        <w:t>may be deleted from</w:t>
      </w:r>
      <w:r w:rsidR="00297E74">
        <w:rPr>
          <w:sz w:val="28"/>
          <w:szCs w:val="28"/>
        </w:rPr>
        <w:t xml:space="preserve"> a form</w:t>
      </w:r>
      <w:r>
        <w:rPr>
          <w:sz w:val="28"/>
          <w:szCs w:val="28"/>
        </w:rPr>
        <w:t xml:space="preserve"> </w:t>
      </w:r>
      <w:r w:rsidR="00297E74">
        <w:rPr>
          <w:sz w:val="28"/>
          <w:szCs w:val="28"/>
        </w:rPr>
        <w:t xml:space="preserve">or relevant content be </w:t>
      </w:r>
      <w:r>
        <w:rPr>
          <w:sz w:val="28"/>
          <w:szCs w:val="28"/>
        </w:rPr>
        <w:t>added</w:t>
      </w:r>
      <w:r w:rsidR="00526FA9">
        <w:rPr>
          <w:sz w:val="28"/>
          <w:szCs w:val="28"/>
        </w:rPr>
        <w:t>;</w:t>
      </w:r>
      <w:r>
        <w:rPr>
          <w:sz w:val="28"/>
          <w:szCs w:val="28"/>
        </w:rPr>
        <w:t xml:space="preserve"> and that Forms 5-10 </w:t>
      </w:r>
      <w:r w:rsidR="00526FA9">
        <w:rPr>
          <w:sz w:val="28"/>
          <w:szCs w:val="28"/>
        </w:rPr>
        <w:t>(the forms for budgets, accounts, and proof</w:t>
      </w:r>
      <w:r w:rsidR="00F906A5">
        <w:rPr>
          <w:sz w:val="28"/>
          <w:szCs w:val="28"/>
        </w:rPr>
        <w:t>s</w:t>
      </w:r>
      <w:r w:rsidR="00526FA9">
        <w:rPr>
          <w:sz w:val="28"/>
          <w:szCs w:val="28"/>
        </w:rPr>
        <w:t xml:space="preserve"> of restricted account) </w:t>
      </w:r>
      <w:r>
        <w:rPr>
          <w:sz w:val="28"/>
          <w:szCs w:val="28"/>
        </w:rPr>
        <w:t xml:space="preserve">“may be modified only by a court order.”  </w:t>
      </w:r>
      <w:r w:rsidR="00526FA9">
        <w:rPr>
          <w:sz w:val="28"/>
          <w:szCs w:val="28"/>
        </w:rPr>
        <w:t xml:space="preserve">The Task Force believes this revised rule strikes an appropriate balance between mandating </w:t>
      </w:r>
      <w:r w:rsidR="00287E01">
        <w:rPr>
          <w:sz w:val="28"/>
          <w:szCs w:val="28"/>
        </w:rPr>
        <w:t xml:space="preserve">necessary </w:t>
      </w:r>
      <w:r w:rsidR="00526FA9">
        <w:rPr>
          <w:sz w:val="28"/>
          <w:szCs w:val="28"/>
        </w:rPr>
        <w:t xml:space="preserve">content, </w:t>
      </w:r>
      <w:r w:rsidR="00297E74">
        <w:rPr>
          <w:sz w:val="28"/>
          <w:szCs w:val="28"/>
        </w:rPr>
        <w:t xml:space="preserve">while also providing </w:t>
      </w:r>
      <w:r w:rsidR="00526FA9">
        <w:rPr>
          <w:sz w:val="28"/>
          <w:szCs w:val="28"/>
        </w:rPr>
        <w:t xml:space="preserve">flexibility for those who use these forms and </w:t>
      </w:r>
      <w:r w:rsidR="00287E01">
        <w:rPr>
          <w:sz w:val="28"/>
          <w:szCs w:val="28"/>
        </w:rPr>
        <w:t xml:space="preserve">who </w:t>
      </w:r>
      <w:r w:rsidR="00526FA9">
        <w:rPr>
          <w:sz w:val="28"/>
          <w:szCs w:val="28"/>
        </w:rPr>
        <w:t xml:space="preserve">need to adapt </w:t>
      </w:r>
      <w:r w:rsidR="00297E74">
        <w:rPr>
          <w:sz w:val="28"/>
          <w:szCs w:val="28"/>
        </w:rPr>
        <w:t xml:space="preserve">a form </w:t>
      </w:r>
      <w:r w:rsidR="00526FA9">
        <w:rPr>
          <w:sz w:val="28"/>
          <w:szCs w:val="28"/>
        </w:rPr>
        <w:t>to the circumstances of an individual case.</w:t>
      </w:r>
    </w:p>
    <w:p w14:paraId="4BF8E4C1" w14:textId="7721D6C4" w:rsidR="00E82CAE" w:rsidRPr="00F13ABF" w:rsidRDefault="000A200E" w:rsidP="00F72340">
      <w:pPr>
        <w:pStyle w:val="ListParagraph"/>
        <w:numPr>
          <w:ilvl w:val="0"/>
          <w:numId w:val="10"/>
        </w:numPr>
        <w:spacing w:line="480" w:lineRule="auto"/>
        <w:ind w:left="0" w:firstLine="720"/>
        <w:jc w:val="both"/>
        <w:rPr>
          <w:b/>
          <w:sz w:val="28"/>
          <w:szCs w:val="28"/>
          <w:u w:val="single"/>
        </w:rPr>
      </w:pPr>
      <w:r w:rsidRPr="00F05B97">
        <w:rPr>
          <w:b/>
          <w:sz w:val="28"/>
          <w:szCs w:val="28"/>
          <w:u w:val="single"/>
        </w:rPr>
        <w:t>Conclusion.</w:t>
      </w:r>
      <w:r w:rsidR="00F13ABF" w:rsidRPr="00F72340">
        <w:rPr>
          <w:sz w:val="28"/>
          <w:szCs w:val="28"/>
        </w:rPr>
        <w:t xml:space="preserve">  </w:t>
      </w:r>
      <w:r w:rsidR="008C7E73" w:rsidRPr="009C2ED5">
        <w:rPr>
          <w:sz w:val="28"/>
          <w:szCs w:val="28"/>
        </w:rPr>
        <w:t xml:space="preserve">The </w:t>
      </w:r>
      <w:r w:rsidR="008C7E73">
        <w:rPr>
          <w:sz w:val="28"/>
          <w:szCs w:val="28"/>
        </w:rPr>
        <w:t xml:space="preserve">Task Force </w:t>
      </w:r>
      <w:r w:rsidR="00F13ABF">
        <w:rPr>
          <w:sz w:val="28"/>
          <w:szCs w:val="28"/>
        </w:rPr>
        <w:t>requests the Court to</w:t>
      </w:r>
    </w:p>
    <w:p w14:paraId="266CAB30" w14:textId="77777777" w:rsidR="00F13ABF" w:rsidRPr="00F76084" w:rsidRDefault="00F13ABF" w:rsidP="00F13ABF">
      <w:pPr>
        <w:pStyle w:val="ListParagraph"/>
        <w:numPr>
          <w:ilvl w:val="0"/>
          <w:numId w:val="12"/>
        </w:numPr>
        <w:spacing w:line="480" w:lineRule="auto"/>
        <w:jc w:val="both"/>
        <w:rPr>
          <w:b/>
          <w:sz w:val="28"/>
          <w:szCs w:val="28"/>
          <w:u w:val="single"/>
        </w:rPr>
      </w:pPr>
      <w:r w:rsidRPr="00F13ABF">
        <w:rPr>
          <w:b/>
          <w:sz w:val="28"/>
          <w:szCs w:val="28"/>
        </w:rPr>
        <w:t xml:space="preserve"> </w:t>
      </w:r>
      <w:r>
        <w:rPr>
          <w:sz w:val="28"/>
          <w:szCs w:val="28"/>
        </w:rPr>
        <w:t>Abrogate the current Rules of Probate Procedure;</w:t>
      </w:r>
    </w:p>
    <w:p w14:paraId="31F01992" w14:textId="77777777" w:rsidR="00F76084" w:rsidRPr="00F13ABF" w:rsidRDefault="00F76084" w:rsidP="00F13ABF">
      <w:pPr>
        <w:pStyle w:val="ListParagraph"/>
        <w:numPr>
          <w:ilvl w:val="0"/>
          <w:numId w:val="12"/>
        </w:numPr>
        <w:spacing w:line="480" w:lineRule="auto"/>
        <w:jc w:val="both"/>
        <w:rPr>
          <w:b/>
          <w:sz w:val="28"/>
          <w:szCs w:val="28"/>
          <w:u w:val="single"/>
        </w:rPr>
      </w:pPr>
      <w:r w:rsidRPr="00F76084">
        <w:rPr>
          <w:b/>
          <w:sz w:val="28"/>
          <w:szCs w:val="28"/>
        </w:rPr>
        <w:t xml:space="preserve"> </w:t>
      </w:r>
      <w:r>
        <w:rPr>
          <w:sz w:val="28"/>
          <w:szCs w:val="28"/>
        </w:rPr>
        <w:t>Abrogate current Form 10 (“Proof of Restricted Account from Financial Institution”);</w:t>
      </w:r>
    </w:p>
    <w:p w14:paraId="6311B44D" w14:textId="0440E298" w:rsidR="00F13ABF" w:rsidRPr="00F13ABF" w:rsidRDefault="00F13ABF" w:rsidP="00F13ABF">
      <w:pPr>
        <w:pStyle w:val="ListParagraph"/>
        <w:numPr>
          <w:ilvl w:val="0"/>
          <w:numId w:val="12"/>
        </w:numPr>
        <w:spacing w:line="480" w:lineRule="auto"/>
        <w:jc w:val="both"/>
        <w:rPr>
          <w:b/>
          <w:sz w:val="28"/>
          <w:szCs w:val="28"/>
          <w:u w:val="single"/>
        </w:rPr>
      </w:pPr>
      <w:r w:rsidRPr="00F13ABF">
        <w:rPr>
          <w:b/>
          <w:sz w:val="28"/>
          <w:szCs w:val="28"/>
        </w:rPr>
        <w:t xml:space="preserve"> </w:t>
      </w:r>
      <w:r>
        <w:rPr>
          <w:sz w:val="28"/>
          <w:szCs w:val="28"/>
        </w:rPr>
        <w:t>Adopt the proposed Rules of Probate Procedure</w:t>
      </w:r>
      <w:r w:rsidR="00591B70">
        <w:rPr>
          <w:sz w:val="28"/>
          <w:szCs w:val="28"/>
        </w:rPr>
        <w:t>,</w:t>
      </w:r>
      <w:r>
        <w:rPr>
          <w:sz w:val="28"/>
          <w:szCs w:val="28"/>
        </w:rPr>
        <w:t xml:space="preserve"> including the cross-reference table</w:t>
      </w:r>
      <w:bookmarkStart w:id="2" w:name="_GoBack"/>
      <w:bookmarkEnd w:id="2"/>
      <w:r w:rsidR="00F76084">
        <w:rPr>
          <w:sz w:val="28"/>
          <w:szCs w:val="28"/>
        </w:rPr>
        <w:t>, as</w:t>
      </w:r>
      <w:r w:rsidR="00F76084" w:rsidRPr="00F76084">
        <w:rPr>
          <w:sz w:val="28"/>
          <w:szCs w:val="28"/>
        </w:rPr>
        <w:t xml:space="preserve"> </w:t>
      </w:r>
      <w:r w:rsidR="00F76084">
        <w:rPr>
          <w:sz w:val="28"/>
          <w:szCs w:val="28"/>
        </w:rPr>
        <w:t xml:space="preserve">shown in Appendix </w:t>
      </w:r>
      <w:r w:rsidR="00EB0385">
        <w:rPr>
          <w:sz w:val="28"/>
          <w:szCs w:val="28"/>
        </w:rPr>
        <w:t>B</w:t>
      </w:r>
      <w:r w:rsidR="00F276FF">
        <w:rPr>
          <w:sz w:val="28"/>
          <w:szCs w:val="28"/>
        </w:rPr>
        <w:t>-R</w:t>
      </w:r>
      <w:r>
        <w:rPr>
          <w:sz w:val="28"/>
          <w:szCs w:val="28"/>
        </w:rPr>
        <w:t>;</w:t>
      </w:r>
    </w:p>
    <w:p w14:paraId="393EEC01" w14:textId="6249B67D" w:rsidR="00F13ABF" w:rsidRPr="00F76084" w:rsidRDefault="00F13ABF" w:rsidP="00F13ABF">
      <w:pPr>
        <w:pStyle w:val="ListParagraph"/>
        <w:numPr>
          <w:ilvl w:val="0"/>
          <w:numId w:val="12"/>
        </w:numPr>
        <w:spacing w:line="480" w:lineRule="auto"/>
        <w:jc w:val="both"/>
        <w:rPr>
          <w:b/>
          <w:sz w:val="28"/>
          <w:szCs w:val="28"/>
          <w:u w:val="single"/>
        </w:rPr>
      </w:pPr>
      <w:r>
        <w:rPr>
          <w:b/>
          <w:sz w:val="28"/>
          <w:szCs w:val="28"/>
        </w:rPr>
        <w:t xml:space="preserve"> </w:t>
      </w:r>
      <w:r>
        <w:rPr>
          <w:sz w:val="28"/>
          <w:szCs w:val="28"/>
        </w:rPr>
        <w:t xml:space="preserve">Approve for posting on the Arizona Judicial Branch self-service webpage </w:t>
      </w:r>
      <w:r w:rsidR="00F76084">
        <w:rPr>
          <w:sz w:val="28"/>
          <w:szCs w:val="28"/>
        </w:rPr>
        <w:t>Form 2-S (</w:t>
      </w:r>
      <w:r w:rsidR="007B619D">
        <w:rPr>
          <w:sz w:val="28"/>
          <w:szCs w:val="28"/>
        </w:rPr>
        <w:t>“</w:t>
      </w:r>
      <w:r w:rsidR="00F76084">
        <w:rPr>
          <w:sz w:val="28"/>
          <w:szCs w:val="28"/>
        </w:rPr>
        <w:t xml:space="preserve">Supplemental Order to Guardian with Inpatient Psychiatric Treatment Authority and Acknowledgement”), Form 10 (“Proof of Restricted Account from Financial Institution”), Form 11 (“Probate Information Form for Decedent’s Estate”), Form 12 (“Probate Information Form for Guardianship/Conservatorship”), Form 13 (“Notice of Change of Fiduciary’s </w:t>
      </w:r>
      <w:r w:rsidR="00F76084">
        <w:rPr>
          <w:sz w:val="28"/>
          <w:szCs w:val="28"/>
        </w:rPr>
        <w:lastRenderedPageBreak/>
        <w:t xml:space="preserve">Contact Information”), Form 14 (“Notice of Change of Ward’s Contact Information”), and Form 15 (“Authorization to Obtain Certified Copy of a Sealed Document”), as shown in Appendix </w:t>
      </w:r>
      <w:r w:rsidR="003E1F2F">
        <w:rPr>
          <w:sz w:val="28"/>
          <w:szCs w:val="28"/>
        </w:rPr>
        <w:t>C</w:t>
      </w:r>
      <w:r w:rsidR="00F276FF">
        <w:rPr>
          <w:sz w:val="28"/>
          <w:szCs w:val="28"/>
        </w:rPr>
        <w:t>-R</w:t>
      </w:r>
      <w:r w:rsidR="0025510E">
        <w:rPr>
          <w:sz w:val="28"/>
          <w:szCs w:val="28"/>
        </w:rPr>
        <w:t>.</w:t>
      </w:r>
    </w:p>
    <w:p w14:paraId="3DF0A9C5" w14:textId="679298CB" w:rsidR="00F76084" w:rsidRPr="003E1F2F" w:rsidRDefault="00F76084" w:rsidP="00F13ABF">
      <w:pPr>
        <w:pStyle w:val="ListParagraph"/>
        <w:numPr>
          <w:ilvl w:val="0"/>
          <w:numId w:val="12"/>
        </w:numPr>
        <w:spacing w:line="480" w:lineRule="auto"/>
        <w:jc w:val="both"/>
        <w:rPr>
          <w:b/>
          <w:sz w:val="28"/>
          <w:szCs w:val="28"/>
          <w:u w:val="single"/>
        </w:rPr>
      </w:pPr>
      <w:r>
        <w:rPr>
          <w:sz w:val="28"/>
          <w:szCs w:val="28"/>
        </w:rPr>
        <w:t xml:space="preserve"> </w:t>
      </w:r>
      <w:r w:rsidR="00591B70">
        <w:rPr>
          <w:sz w:val="28"/>
          <w:szCs w:val="28"/>
        </w:rPr>
        <w:t>Reject</w:t>
      </w:r>
      <w:r>
        <w:rPr>
          <w:sz w:val="28"/>
          <w:szCs w:val="28"/>
        </w:rPr>
        <w:t xml:space="preserve"> Rule Petition </w:t>
      </w:r>
      <w:r w:rsidR="003E1F2F">
        <w:rPr>
          <w:sz w:val="28"/>
          <w:szCs w:val="28"/>
        </w:rPr>
        <w:t>No.</w:t>
      </w:r>
      <w:r>
        <w:rPr>
          <w:sz w:val="28"/>
          <w:szCs w:val="28"/>
        </w:rPr>
        <w:t xml:space="preserve"> R-18-0039</w:t>
      </w:r>
      <w:r w:rsidR="00591B70">
        <w:rPr>
          <w:sz w:val="28"/>
          <w:szCs w:val="28"/>
        </w:rPr>
        <w:t xml:space="preserve"> as moot</w:t>
      </w:r>
      <w:r>
        <w:rPr>
          <w:sz w:val="28"/>
          <w:szCs w:val="28"/>
        </w:rPr>
        <w:t>.</w:t>
      </w:r>
    </w:p>
    <w:p w14:paraId="54ADC860" w14:textId="1B9BF64C" w:rsidR="003E1F2F" w:rsidRDefault="003E1F2F" w:rsidP="003E1F2F">
      <w:pPr>
        <w:pStyle w:val="ListParagraph"/>
        <w:spacing w:line="480" w:lineRule="auto"/>
        <w:ind w:left="0" w:firstLine="750"/>
        <w:jc w:val="both"/>
        <w:rPr>
          <w:sz w:val="28"/>
          <w:szCs w:val="28"/>
        </w:rPr>
      </w:pPr>
      <w:r>
        <w:rPr>
          <w:sz w:val="28"/>
          <w:szCs w:val="28"/>
        </w:rPr>
        <w:t xml:space="preserve">Task Force members appreciate the opportunity </w:t>
      </w:r>
      <w:r w:rsidR="00591B70">
        <w:rPr>
          <w:sz w:val="28"/>
          <w:szCs w:val="28"/>
        </w:rPr>
        <w:t>to</w:t>
      </w:r>
      <w:r w:rsidR="00EB0385">
        <w:rPr>
          <w:sz w:val="28"/>
          <w:szCs w:val="28"/>
        </w:rPr>
        <w:t xml:space="preserve"> serv</w:t>
      </w:r>
      <w:r w:rsidR="00591B70">
        <w:rPr>
          <w:sz w:val="28"/>
          <w:szCs w:val="28"/>
        </w:rPr>
        <w:t>e</w:t>
      </w:r>
      <w:r>
        <w:rPr>
          <w:sz w:val="28"/>
          <w:szCs w:val="28"/>
        </w:rPr>
        <w:t xml:space="preserve"> on this </w:t>
      </w:r>
      <w:r w:rsidR="00591B70">
        <w:rPr>
          <w:sz w:val="28"/>
          <w:szCs w:val="28"/>
        </w:rPr>
        <w:t>Task Force</w:t>
      </w:r>
      <w:r>
        <w:rPr>
          <w:sz w:val="28"/>
          <w:szCs w:val="28"/>
        </w:rPr>
        <w:t xml:space="preserve"> and </w:t>
      </w:r>
      <w:r w:rsidR="00591B70">
        <w:rPr>
          <w:sz w:val="28"/>
          <w:szCs w:val="28"/>
        </w:rPr>
        <w:t xml:space="preserve">to </w:t>
      </w:r>
      <w:r w:rsidR="00EB0385">
        <w:rPr>
          <w:sz w:val="28"/>
          <w:szCs w:val="28"/>
        </w:rPr>
        <w:t>participat</w:t>
      </w:r>
      <w:r w:rsidR="00591B70">
        <w:rPr>
          <w:sz w:val="28"/>
          <w:szCs w:val="28"/>
        </w:rPr>
        <w:t>e</w:t>
      </w:r>
      <w:r w:rsidR="00EB0385">
        <w:rPr>
          <w:sz w:val="28"/>
          <w:szCs w:val="28"/>
        </w:rPr>
        <w:t xml:space="preserve"> in the </w:t>
      </w:r>
      <w:r w:rsidR="00591B70">
        <w:rPr>
          <w:sz w:val="28"/>
          <w:szCs w:val="28"/>
        </w:rPr>
        <w:t xml:space="preserve">probate </w:t>
      </w:r>
      <w:r w:rsidR="00EB0385">
        <w:rPr>
          <w:sz w:val="28"/>
          <w:szCs w:val="28"/>
        </w:rPr>
        <w:t xml:space="preserve">rules project </w:t>
      </w:r>
      <w:r w:rsidR="00F906A5">
        <w:rPr>
          <w:sz w:val="28"/>
          <w:szCs w:val="28"/>
        </w:rPr>
        <w:t>to further</w:t>
      </w:r>
      <w:r w:rsidR="00EB0385">
        <w:rPr>
          <w:sz w:val="28"/>
          <w:szCs w:val="28"/>
        </w:rPr>
        <w:t xml:space="preserve"> the Court’s Strategic Agenda of Advancing Justice Together.</w:t>
      </w:r>
    </w:p>
    <w:p w14:paraId="29ECF49A" w14:textId="77777777" w:rsidR="00EB0385" w:rsidRPr="00955A09" w:rsidRDefault="00EB0385" w:rsidP="00EB0385">
      <w:pPr>
        <w:spacing w:line="480" w:lineRule="auto"/>
        <w:ind w:firstLine="720"/>
        <w:jc w:val="both"/>
        <w:rPr>
          <w:sz w:val="28"/>
          <w:szCs w:val="28"/>
        </w:rPr>
      </w:pPr>
      <w:r>
        <w:rPr>
          <w:sz w:val="28"/>
          <w:szCs w:val="28"/>
        </w:rPr>
        <w:t>RESPECTFULLY SUBMITTED this 14</w:t>
      </w:r>
      <w:r w:rsidRPr="00EB0385">
        <w:rPr>
          <w:sz w:val="28"/>
          <w:szCs w:val="28"/>
          <w:vertAlign w:val="superscript"/>
        </w:rPr>
        <w:t>th</w:t>
      </w:r>
      <w:r>
        <w:rPr>
          <w:sz w:val="28"/>
          <w:szCs w:val="28"/>
        </w:rPr>
        <w:t xml:space="preserve"> </w:t>
      </w:r>
      <w:r w:rsidRPr="00955A09">
        <w:rPr>
          <w:sz w:val="28"/>
          <w:szCs w:val="28"/>
        </w:rPr>
        <w:t xml:space="preserve">day of </w:t>
      </w:r>
      <w:r>
        <w:rPr>
          <w:sz w:val="28"/>
          <w:szCs w:val="28"/>
        </w:rPr>
        <w:t>June 2019.</w:t>
      </w:r>
    </w:p>
    <w:p w14:paraId="027076BD" w14:textId="77777777" w:rsidR="00EB0385" w:rsidRPr="005638CC" w:rsidRDefault="00EB0385" w:rsidP="00EB0385">
      <w:pPr>
        <w:keepNext/>
        <w:jc w:val="both"/>
        <w:rPr>
          <w:sz w:val="28"/>
          <w:szCs w:val="28"/>
          <w:u w:val="thick"/>
        </w:rPr>
      </w:pPr>
    </w:p>
    <w:p w14:paraId="2F87EC61" w14:textId="77777777" w:rsidR="00EB0385" w:rsidRDefault="00EB0385" w:rsidP="00EB0385">
      <w:pPr>
        <w:keepNext/>
        <w:ind w:left="2880" w:firstLine="720"/>
        <w:jc w:val="both"/>
        <w:rPr>
          <w:sz w:val="28"/>
          <w:szCs w:val="28"/>
        </w:rPr>
      </w:pPr>
    </w:p>
    <w:p w14:paraId="0C84162B" w14:textId="09703925" w:rsidR="00EB0385" w:rsidRPr="0076259F" w:rsidRDefault="00EB0385" w:rsidP="00EB0385">
      <w:pPr>
        <w:keepNext/>
        <w:ind w:left="2880" w:firstLine="720"/>
        <w:jc w:val="both"/>
        <w:rPr>
          <w:sz w:val="28"/>
          <w:szCs w:val="28"/>
          <w:u w:val="single"/>
        </w:rPr>
      </w:pPr>
      <w:r>
        <w:rPr>
          <w:sz w:val="28"/>
          <w:szCs w:val="28"/>
        </w:rPr>
        <w:t xml:space="preserve">By </w:t>
      </w:r>
      <w:r w:rsidR="005638CC" w:rsidRPr="005638CC">
        <w:rPr>
          <w:sz w:val="28"/>
          <w:szCs w:val="28"/>
          <w:u w:val="thick"/>
        </w:rPr>
        <w:t>/s/ Rebecca White Berch</w:t>
      </w:r>
      <w:r w:rsidR="005638CC" w:rsidRPr="005638CC">
        <w:rPr>
          <w:sz w:val="28"/>
          <w:szCs w:val="28"/>
          <w:u w:val="thick"/>
        </w:rPr>
        <w:tab/>
      </w:r>
      <w:r w:rsidR="005638CC" w:rsidRPr="005638CC">
        <w:rPr>
          <w:sz w:val="28"/>
          <w:szCs w:val="28"/>
          <w:u w:val="thick"/>
        </w:rPr>
        <w:tab/>
      </w:r>
      <w:r w:rsidR="005638CC" w:rsidRPr="005638CC">
        <w:rPr>
          <w:sz w:val="28"/>
          <w:szCs w:val="28"/>
          <w:u w:val="thick"/>
        </w:rPr>
        <w:tab/>
      </w:r>
    </w:p>
    <w:p w14:paraId="0925F6E3" w14:textId="11C581C4" w:rsidR="00EB0385" w:rsidRPr="003E1F2F" w:rsidRDefault="00EB0385" w:rsidP="00F72340">
      <w:pPr>
        <w:keepNext/>
        <w:ind w:left="3945"/>
        <w:jc w:val="both"/>
        <w:rPr>
          <w:sz w:val="28"/>
          <w:szCs w:val="28"/>
        </w:rPr>
      </w:pPr>
      <w:r>
        <w:rPr>
          <w:sz w:val="28"/>
          <w:szCs w:val="28"/>
        </w:rPr>
        <w:t xml:space="preserve">Rebecca White Berch (Justice, ret.), Chair, Probate Rules </w:t>
      </w:r>
      <w:r w:rsidR="001660A7">
        <w:rPr>
          <w:sz w:val="28"/>
          <w:szCs w:val="28"/>
        </w:rPr>
        <w:t>Task Force</w:t>
      </w:r>
    </w:p>
    <w:sectPr w:rsidR="00EB0385" w:rsidRPr="003E1F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6225" w14:textId="77777777" w:rsidR="00E3333B" w:rsidRDefault="00E3333B" w:rsidP="00E82CAE">
      <w:r>
        <w:separator/>
      </w:r>
    </w:p>
    <w:p w14:paraId="727BCD7D" w14:textId="77777777" w:rsidR="00B90AEC" w:rsidRDefault="00B90AEC"/>
  </w:endnote>
  <w:endnote w:type="continuationSeparator" w:id="0">
    <w:p w14:paraId="0B3E875E" w14:textId="77777777" w:rsidR="00E3333B" w:rsidRDefault="00E3333B" w:rsidP="00E82CAE">
      <w:r>
        <w:continuationSeparator/>
      </w:r>
    </w:p>
    <w:p w14:paraId="41DF8AAC" w14:textId="77777777" w:rsidR="00B90AEC" w:rsidRDefault="00B90AEC"/>
  </w:endnote>
  <w:endnote w:type="continuationNotice" w:id="1">
    <w:p w14:paraId="71FB8AB8" w14:textId="77777777" w:rsidR="00FA5914" w:rsidRDefault="00FA5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63938"/>
      <w:docPartObj>
        <w:docPartGallery w:val="Page Numbers (Bottom of Page)"/>
        <w:docPartUnique/>
      </w:docPartObj>
    </w:sdtPr>
    <w:sdtEndPr>
      <w:rPr>
        <w:noProof/>
      </w:rPr>
    </w:sdtEndPr>
    <w:sdtContent>
      <w:p w14:paraId="0F545FB0" w14:textId="6A0C0308" w:rsidR="005E444D" w:rsidRDefault="005E444D">
        <w:pPr>
          <w:pStyle w:val="Footer"/>
          <w:jc w:val="center"/>
        </w:pPr>
        <w:r>
          <w:fldChar w:fldCharType="begin"/>
        </w:r>
        <w:r>
          <w:instrText xml:space="preserve"> PAGE   \* MERGEFORMAT </w:instrText>
        </w:r>
        <w:r>
          <w:fldChar w:fldCharType="separate"/>
        </w:r>
        <w:r w:rsidR="00487F9F">
          <w:rPr>
            <w:noProof/>
          </w:rPr>
          <w:t>24</w:t>
        </w:r>
        <w:r>
          <w:rPr>
            <w:noProof/>
          </w:rPr>
          <w:fldChar w:fldCharType="end"/>
        </w:r>
      </w:p>
    </w:sdtContent>
  </w:sdt>
  <w:p w14:paraId="32E7A673" w14:textId="77777777" w:rsidR="005E444D" w:rsidRDefault="005E444D">
    <w:pPr>
      <w:pStyle w:val="Footer"/>
    </w:pPr>
  </w:p>
  <w:p w14:paraId="368EF97D" w14:textId="77777777" w:rsidR="00B90AEC" w:rsidRDefault="00B90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21031" w14:textId="77777777" w:rsidR="00E3333B" w:rsidRDefault="00E3333B" w:rsidP="00E82CAE">
      <w:r>
        <w:separator/>
      </w:r>
    </w:p>
    <w:p w14:paraId="3BC304D0" w14:textId="77777777" w:rsidR="00B90AEC" w:rsidRDefault="00B90AEC"/>
  </w:footnote>
  <w:footnote w:type="continuationSeparator" w:id="0">
    <w:p w14:paraId="43B297B8" w14:textId="77777777" w:rsidR="00E3333B" w:rsidRDefault="00E3333B" w:rsidP="00E82CAE">
      <w:r>
        <w:continuationSeparator/>
      </w:r>
    </w:p>
    <w:p w14:paraId="6191AEFB" w14:textId="77777777" w:rsidR="00B90AEC" w:rsidRDefault="00B90AEC"/>
  </w:footnote>
  <w:footnote w:type="continuationNotice" w:id="1">
    <w:p w14:paraId="4F6D3119" w14:textId="77777777" w:rsidR="00FA5914" w:rsidRDefault="00FA5914"/>
  </w:footnote>
  <w:footnote w:id="2">
    <w:p w14:paraId="11DA12CB" w14:textId="76D2615F" w:rsidR="005E444D" w:rsidRPr="009C2ED5" w:rsidRDefault="005E444D" w:rsidP="004D6295">
      <w:pPr>
        <w:pStyle w:val="FootnoteText"/>
        <w:jc w:val="both"/>
        <w:rPr>
          <w:sz w:val="28"/>
          <w:szCs w:val="28"/>
        </w:rPr>
      </w:pPr>
      <w:r w:rsidRPr="009C2ED5">
        <w:rPr>
          <w:rStyle w:val="FootnoteReference"/>
          <w:sz w:val="24"/>
          <w:szCs w:val="24"/>
        </w:rPr>
        <w:footnoteRef/>
      </w:r>
      <w:r w:rsidRPr="009C2ED5">
        <w:rPr>
          <w:sz w:val="24"/>
          <w:szCs w:val="24"/>
        </w:rPr>
        <w:t xml:space="preserve"> </w:t>
      </w:r>
      <w:r>
        <w:rPr>
          <w:sz w:val="28"/>
          <w:szCs w:val="28"/>
        </w:rPr>
        <w:t>The Editorial Group was led by the Task Force Chair, Justice Rebecca White Berch (ret.). It included Judge Patricia K. Norris (ret.), Judge Jay Polk, and Mark Meltzer.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7289"/>
    <w:multiLevelType w:val="hybridMultilevel"/>
    <w:tmpl w:val="1730CB92"/>
    <w:lvl w:ilvl="0" w:tplc="A01259C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A6190"/>
    <w:multiLevelType w:val="hybridMultilevel"/>
    <w:tmpl w:val="D9C05708"/>
    <w:lvl w:ilvl="0" w:tplc="84A4EB34">
      <w:numFmt w:val="bullet"/>
      <w:lvlText w:val="-"/>
      <w:lvlJc w:val="left"/>
      <w:pPr>
        <w:ind w:left="1526" w:hanging="360"/>
      </w:pPr>
      <w:rPr>
        <w:rFonts w:ascii="Book Antiqua" w:eastAsiaTheme="minorHAnsi" w:hAnsi="Book Antiqua" w:cstheme="minorBidi"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15:restartNumberingAfterBreak="0">
    <w:nsid w:val="0EF03567"/>
    <w:multiLevelType w:val="hybridMultilevel"/>
    <w:tmpl w:val="3D565774"/>
    <w:lvl w:ilvl="0" w:tplc="88F20D1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578F9"/>
    <w:multiLevelType w:val="hybridMultilevel"/>
    <w:tmpl w:val="6B68132C"/>
    <w:lvl w:ilvl="0" w:tplc="D3BC5C18">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5B575C"/>
    <w:multiLevelType w:val="hybridMultilevel"/>
    <w:tmpl w:val="E7F2C9D6"/>
    <w:lvl w:ilvl="0" w:tplc="CEA8B25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366D"/>
    <w:multiLevelType w:val="hybridMultilevel"/>
    <w:tmpl w:val="4E7EA826"/>
    <w:lvl w:ilvl="0" w:tplc="8EB08D04">
      <w:start w:val="1"/>
      <w:numFmt w:val="upperLetter"/>
      <w:lvlText w:val="(%1)"/>
      <w:lvlJc w:val="left"/>
      <w:pPr>
        <w:ind w:left="750" w:hanging="39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11C6F"/>
    <w:multiLevelType w:val="hybridMultilevel"/>
    <w:tmpl w:val="6868EFE4"/>
    <w:lvl w:ilvl="0" w:tplc="EC0658DE">
      <w:start w:val="1"/>
      <w:numFmt w:val="upperLetter"/>
      <w:lvlText w:val="(%1)"/>
      <w:lvlJc w:val="left"/>
      <w:pPr>
        <w:ind w:left="1440" w:hanging="360"/>
      </w:pPr>
      <w:rPr>
        <w:rFonts w:ascii="Times New Roman Bold" w:hAnsi="Times New Roman Bold" w:hint="default"/>
        <w:b/>
        <w:i/>
        <w:caps w:val="0"/>
        <w:strike w:val="0"/>
        <w:dstrike w:val="0"/>
        <w:vanish w:val="0"/>
        <w:color w:val="auto"/>
        <w:sz w:val="28"/>
        <w:szCs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EB4D93"/>
    <w:multiLevelType w:val="hybridMultilevel"/>
    <w:tmpl w:val="922E94BA"/>
    <w:lvl w:ilvl="0" w:tplc="F1223E0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987"/>
    <w:multiLevelType w:val="hybridMultilevel"/>
    <w:tmpl w:val="6CECF490"/>
    <w:lvl w:ilvl="0" w:tplc="DFA43FE0">
      <w:start w:val="2"/>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4FB5131F"/>
    <w:multiLevelType w:val="hybridMultilevel"/>
    <w:tmpl w:val="DEB41890"/>
    <w:lvl w:ilvl="0" w:tplc="D4740D34">
      <w:start w:val="1"/>
      <w:numFmt w:val="decimal"/>
      <w:lvlText w:val="%1."/>
      <w:lvlJc w:val="left"/>
      <w:pPr>
        <w:ind w:left="1166" w:hanging="360"/>
      </w:pPr>
      <w:rPr>
        <w:rFonts w:hint="default"/>
        <w:b/>
        <w:i w:val="0"/>
        <w:sz w:val="24"/>
        <w:szCs w:val="24"/>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542724E9"/>
    <w:multiLevelType w:val="hybridMultilevel"/>
    <w:tmpl w:val="7F56AB00"/>
    <w:lvl w:ilvl="0" w:tplc="B62EA69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567229"/>
    <w:multiLevelType w:val="hybridMultilevel"/>
    <w:tmpl w:val="2B560FBE"/>
    <w:lvl w:ilvl="0" w:tplc="41F01918">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A11ACC"/>
    <w:multiLevelType w:val="hybridMultilevel"/>
    <w:tmpl w:val="91E46FE6"/>
    <w:lvl w:ilvl="0" w:tplc="DC229A78">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522A69"/>
    <w:multiLevelType w:val="hybridMultilevel"/>
    <w:tmpl w:val="3AE85140"/>
    <w:lvl w:ilvl="0" w:tplc="B8029540">
      <w:start w:val="1"/>
      <w:numFmt w:val="upperLetter"/>
      <w:lvlText w:val="(%1)"/>
      <w:lvlJc w:val="left"/>
      <w:pPr>
        <w:ind w:left="1095" w:hanging="375"/>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62299B"/>
    <w:multiLevelType w:val="hybridMultilevel"/>
    <w:tmpl w:val="16B8D348"/>
    <w:lvl w:ilvl="0" w:tplc="B644F28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
  </w:num>
  <w:num w:numId="4">
    <w:abstractNumId w:val="3"/>
  </w:num>
  <w:num w:numId="5">
    <w:abstractNumId w:val="4"/>
  </w:num>
  <w:num w:numId="6">
    <w:abstractNumId w:val="11"/>
  </w:num>
  <w:num w:numId="7">
    <w:abstractNumId w:val="9"/>
  </w:num>
  <w:num w:numId="8">
    <w:abstractNumId w:val="1"/>
  </w:num>
  <w:num w:numId="9">
    <w:abstractNumId w:val="0"/>
  </w:num>
  <w:num w:numId="10">
    <w:abstractNumId w:val="8"/>
  </w:num>
  <w:num w:numId="11">
    <w:abstractNumId w:val="13"/>
  </w:num>
  <w:num w:numId="12">
    <w:abstractNumId w:val="5"/>
  </w:num>
  <w:num w:numId="13">
    <w:abstractNumId w:val="10"/>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36E"/>
    <w:rsid w:val="00010462"/>
    <w:rsid w:val="000121CE"/>
    <w:rsid w:val="00016272"/>
    <w:rsid w:val="000253A8"/>
    <w:rsid w:val="0003585F"/>
    <w:rsid w:val="000375F7"/>
    <w:rsid w:val="00060D08"/>
    <w:rsid w:val="00090D52"/>
    <w:rsid w:val="000A1274"/>
    <w:rsid w:val="000A200E"/>
    <w:rsid w:val="000A7810"/>
    <w:rsid w:val="000B4EBA"/>
    <w:rsid w:val="000B76FD"/>
    <w:rsid w:val="000C46A8"/>
    <w:rsid w:val="000F7CA2"/>
    <w:rsid w:val="00104DDA"/>
    <w:rsid w:val="00114A98"/>
    <w:rsid w:val="00116E66"/>
    <w:rsid w:val="00117C9A"/>
    <w:rsid w:val="00122DEC"/>
    <w:rsid w:val="00125F90"/>
    <w:rsid w:val="001660A7"/>
    <w:rsid w:val="00167D8C"/>
    <w:rsid w:val="001858A9"/>
    <w:rsid w:val="001B7870"/>
    <w:rsid w:val="001B7CE7"/>
    <w:rsid w:val="001C412E"/>
    <w:rsid w:val="001D14B6"/>
    <w:rsid w:val="001D2F16"/>
    <w:rsid w:val="001E07B6"/>
    <w:rsid w:val="001E39D3"/>
    <w:rsid w:val="001E5E8F"/>
    <w:rsid w:val="00201946"/>
    <w:rsid w:val="00206B33"/>
    <w:rsid w:val="00211539"/>
    <w:rsid w:val="0023400D"/>
    <w:rsid w:val="00242E9C"/>
    <w:rsid w:val="00244D5A"/>
    <w:rsid w:val="0025510E"/>
    <w:rsid w:val="00280D7C"/>
    <w:rsid w:val="00287E01"/>
    <w:rsid w:val="0029126F"/>
    <w:rsid w:val="00297E74"/>
    <w:rsid w:val="002A1F73"/>
    <w:rsid w:val="002A3C78"/>
    <w:rsid w:val="002B6A9A"/>
    <w:rsid w:val="002D0109"/>
    <w:rsid w:val="002D4CC8"/>
    <w:rsid w:val="003010AF"/>
    <w:rsid w:val="00310221"/>
    <w:rsid w:val="003322F5"/>
    <w:rsid w:val="00341A63"/>
    <w:rsid w:val="00347816"/>
    <w:rsid w:val="00354C5E"/>
    <w:rsid w:val="00382558"/>
    <w:rsid w:val="00391FD6"/>
    <w:rsid w:val="003958C0"/>
    <w:rsid w:val="003974AE"/>
    <w:rsid w:val="003A57C4"/>
    <w:rsid w:val="003B1DD1"/>
    <w:rsid w:val="003B45F5"/>
    <w:rsid w:val="003B5B49"/>
    <w:rsid w:val="003E111F"/>
    <w:rsid w:val="003E1F2F"/>
    <w:rsid w:val="003E21DE"/>
    <w:rsid w:val="003F17EC"/>
    <w:rsid w:val="003F4785"/>
    <w:rsid w:val="003F572A"/>
    <w:rsid w:val="004071E3"/>
    <w:rsid w:val="0041650B"/>
    <w:rsid w:val="004267F9"/>
    <w:rsid w:val="00445876"/>
    <w:rsid w:val="004476F9"/>
    <w:rsid w:val="00466B8A"/>
    <w:rsid w:val="00471CEA"/>
    <w:rsid w:val="004734C7"/>
    <w:rsid w:val="00486F4D"/>
    <w:rsid w:val="00487F9F"/>
    <w:rsid w:val="00492736"/>
    <w:rsid w:val="00496408"/>
    <w:rsid w:val="00496B47"/>
    <w:rsid w:val="004A2C20"/>
    <w:rsid w:val="004B1870"/>
    <w:rsid w:val="004B6638"/>
    <w:rsid w:val="004B72D1"/>
    <w:rsid w:val="004C31BE"/>
    <w:rsid w:val="004D28A1"/>
    <w:rsid w:val="004D3644"/>
    <w:rsid w:val="004D6295"/>
    <w:rsid w:val="004E17E7"/>
    <w:rsid w:val="004F2193"/>
    <w:rsid w:val="004F48C5"/>
    <w:rsid w:val="0050332D"/>
    <w:rsid w:val="0050679B"/>
    <w:rsid w:val="00526FA9"/>
    <w:rsid w:val="0053064A"/>
    <w:rsid w:val="00532AD5"/>
    <w:rsid w:val="005466BC"/>
    <w:rsid w:val="0055097A"/>
    <w:rsid w:val="005526F7"/>
    <w:rsid w:val="0055787F"/>
    <w:rsid w:val="005638CC"/>
    <w:rsid w:val="0057538F"/>
    <w:rsid w:val="00591B70"/>
    <w:rsid w:val="005A710C"/>
    <w:rsid w:val="005B6F80"/>
    <w:rsid w:val="005C16C1"/>
    <w:rsid w:val="005C7E22"/>
    <w:rsid w:val="005E444D"/>
    <w:rsid w:val="005F543F"/>
    <w:rsid w:val="00607C14"/>
    <w:rsid w:val="00646EF6"/>
    <w:rsid w:val="00657015"/>
    <w:rsid w:val="00673D90"/>
    <w:rsid w:val="00673EFF"/>
    <w:rsid w:val="00681093"/>
    <w:rsid w:val="00686725"/>
    <w:rsid w:val="00695476"/>
    <w:rsid w:val="006C09DC"/>
    <w:rsid w:val="006C3547"/>
    <w:rsid w:val="006D1B8F"/>
    <w:rsid w:val="00701392"/>
    <w:rsid w:val="00702B36"/>
    <w:rsid w:val="00705075"/>
    <w:rsid w:val="00720EFB"/>
    <w:rsid w:val="00737719"/>
    <w:rsid w:val="007405B2"/>
    <w:rsid w:val="007453E9"/>
    <w:rsid w:val="00745EBA"/>
    <w:rsid w:val="0074700C"/>
    <w:rsid w:val="00753773"/>
    <w:rsid w:val="007551FB"/>
    <w:rsid w:val="007704A5"/>
    <w:rsid w:val="0077377E"/>
    <w:rsid w:val="00777982"/>
    <w:rsid w:val="0078036E"/>
    <w:rsid w:val="00780784"/>
    <w:rsid w:val="00791B73"/>
    <w:rsid w:val="007944FF"/>
    <w:rsid w:val="00797E5C"/>
    <w:rsid w:val="007A4560"/>
    <w:rsid w:val="007A75EA"/>
    <w:rsid w:val="007A7BF3"/>
    <w:rsid w:val="007B42A0"/>
    <w:rsid w:val="007B619D"/>
    <w:rsid w:val="007D716F"/>
    <w:rsid w:val="007E620E"/>
    <w:rsid w:val="007F1077"/>
    <w:rsid w:val="00803A2A"/>
    <w:rsid w:val="0080546F"/>
    <w:rsid w:val="008056ED"/>
    <w:rsid w:val="008121F3"/>
    <w:rsid w:val="008131E0"/>
    <w:rsid w:val="00865AB5"/>
    <w:rsid w:val="008676DE"/>
    <w:rsid w:val="00873540"/>
    <w:rsid w:val="00874C81"/>
    <w:rsid w:val="0089565B"/>
    <w:rsid w:val="008A6506"/>
    <w:rsid w:val="008C0467"/>
    <w:rsid w:val="008C2891"/>
    <w:rsid w:val="008C7E73"/>
    <w:rsid w:val="008D39F3"/>
    <w:rsid w:val="008D3BAE"/>
    <w:rsid w:val="008D7F5A"/>
    <w:rsid w:val="008F134E"/>
    <w:rsid w:val="008F742B"/>
    <w:rsid w:val="00917158"/>
    <w:rsid w:val="00931C45"/>
    <w:rsid w:val="00933195"/>
    <w:rsid w:val="00933D9A"/>
    <w:rsid w:val="00935782"/>
    <w:rsid w:val="009462BB"/>
    <w:rsid w:val="00954131"/>
    <w:rsid w:val="009643A3"/>
    <w:rsid w:val="009738B1"/>
    <w:rsid w:val="009819B9"/>
    <w:rsid w:val="00990EA7"/>
    <w:rsid w:val="009A2E04"/>
    <w:rsid w:val="009C2ED5"/>
    <w:rsid w:val="009F2D91"/>
    <w:rsid w:val="009F6496"/>
    <w:rsid w:val="009F7B72"/>
    <w:rsid w:val="00A001DC"/>
    <w:rsid w:val="00A050DF"/>
    <w:rsid w:val="00A21AC6"/>
    <w:rsid w:val="00A2266D"/>
    <w:rsid w:val="00A2624A"/>
    <w:rsid w:val="00A300D7"/>
    <w:rsid w:val="00A32178"/>
    <w:rsid w:val="00A33EE4"/>
    <w:rsid w:val="00A345B8"/>
    <w:rsid w:val="00A34952"/>
    <w:rsid w:val="00A43D10"/>
    <w:rsid w:val="00A70AED"/>
    <w:rsid w:val="00A76878"/>
    <w:rsid w:val="00A85F69"/>
    <w:rsid w:val="00A86236"/>
    <w:rsid w:val="00A90E2E"/>
    <w:rsid w:val="00A96D4F"/>
    <w:rsid w:val="00AC0D38"/>
    <w:rsid w:val="00AE4EBC"/>
    <w:rsid w:val="00B023EA"/>
    <w:rsid w:val="00B15187"/>
    <w:rsid w:val="00B16B06"/>
    <w:rsid w:val="00B312F3"/>
    <w:rsid w:val="00B45A07"/>
    <w:rsid w:val="00B6256F"/>
    <w:rsid w:val="00B66D54"/>
    <w:rsid w:val="00B90AEC"/>
    <w:rsid w:val="00BA3B98"/>
    <w:rsid w:val="00BC36AD"/>
    <w:rsid w:val="00BD434F"/>
    <w:rsid w:val="00BE362F"/>
    <w:rsid w:val="00BF3FEE"/>
    <w:rsid w:val="00C0595B"/>
    <w:rsid w:val="00C117D7"/>
    <w:rsid w:val="00C12280"/>
    <w:rsid w:val="00C338C9"/>
    <w:rsid w:val="00C40470"/>
    <w:rsid w:val="00C8185C"/>
    <w:rsid w:val="00C87D9C"/>
    <w:rsid w:val="00C9441C"/>
    <w:rsid w:val="00CA48D5"/>
    <w:rsid w:val="00CB3511"/>
    <w:rsid w:val="00CB4FBA"/>
    <w:rsid w:val="00CC0183"/>
    <w:rsid w:val="00CD525D"/>
    <w:rsid w:val="00CE6415"/>
    <w:rsid w:val="00CF4A7B"/>
    <w:rsid w:val="00D64FAF"/>
    <w:rsid w:val="00D73DCB"/>
    <w:rsid w:val="00D837E7"/>
    <w:rsid w:val="00D90AD4"/>
    <w:rsid w:val="00DA0C7B"/>
    <w:rsid w:val="00DA59E0"/>
    <w:rsid w:val="00DC0C1E"/>
    <w:rsid w:val="00DC18C4"/>
    <w:rsid w:val="00DD0AF4"/>
    <w:rsid w:val="00DD3706"/>
    <w:rsid w:val="00DD49F3"/>
    <w:rsid w:val="00DD7656"/>
    <w:rsid w:val="00DD7A88"/>
    <w:rsid w:val="00DE24E9"/>
    <w:rsid w:val="00E2209E"/>
    <w:rsid w:val="00E3333B"/>
    <w:rsid w:val="00E52A86"/>
    <w:rsid w:val="00E540F2"/>
    <w:rsid w:val="00E561C8"/>
    <w:rsid w:val="00E62B21"/>
    <w:rsid w:val="00E63152"/>
    <w:rsid w:val="00E82624"/>
    <w:rsid w:val="00E82CAE"/>
    <w:rsid w:val="00E90386"/>
    <w:rsid w:val="00E923E6"/>
    <w:rsid w:val="00EA08A0"/>
    <w:rsid w:val="00EB0385"/>
    <w:rsid w:val="00EC0121"/>
    <w:rsid w:val="00EC25C9"/>
    <w:rsid w:val="00EC476F"/>
    <w:rsid w:val="00ED2529"/>
    <w:rsid w:val="00ED34DC"/>
    <w:rsid w:val="00ED7C83"/>
    <w:rsid w:val="00EE14AA"/>
    <w:rsid w:val="00EE4CFD"/>
    <w:rsid w:val="00EF5377"/>
    <w:rsid w:val="00EF6334"/>
    <w:rsid w:val="00EF6C11"/>
    <w:rsid w:val="00F05B97"/>
    <w:rsid w:val="00F06D86"/>
    <w:rsid w:val="00F13ABF"/>
    <w:rsid w:val="00F16F34"/>
    <w:rsid w:val="00F276FF"/>
    <w:rsid w:val="00F35B86"/>
    <w:rsid w:val="00F60BF0"/>
    <w:rsid w:val="00F6620C"/>
    <w:rsid w:val="00F72340"/>
    <w:rsid w:val="00F75A5F"/>
    <w:rsid w:val="00F76084"/>
    <w:rsid w:val="00F818C6"/>
    <w:rsid w:val="00F842ED"/>
    <w:rsid w:val="00F85F81"/>
    <w:rsid w:val="00F906A5"/>
    <w:rsid w:val="00F92AF4"/>
    <w:rsid w:val="00F9642A"/>
    <w:rsid w:val="00F97235"/>
    <w:rsid w:val="00FA3CDB"/>
    <w:rsid w:val="00FA5914"/>
    <w:rsid w:val="00FD3F88"/>
    <w:rsid w:val="00FD6949"/>
    <w:rsid w:val="00FE4F6A"/>
    <w:rsid w:val="00FF0CF7"/>
    <w:rsid w:val="00FF5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A1AA12"/>
  <w15:chartTrackingRefBased/>
  <w15:docId w15:val="{B01D59DB-E339-42F3-B6B1-5DDFE7B1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imes New Roman"/>
        <w:snapToGrid w:val="0"/>
        <w:sz w:val="24"/>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6E"/>
    <w:pPr>
      <w:spacing w:after="0" w:line="240" w:lineRule="auto"/>
      <w:ind w:firstLine="0"/>
      <w:contextualSpacing/>
      <w:jc w:val="left"/>
    </w:pPr>
    <w:rPr>
      <w:rFonts w:ascii="Times New Roman" w:eastAsia="Calibri" w:hAnsi="Times New Roman"/>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29126F"/>
    <w:pPr>
      <w:ind w:left="720"/>
    </w:pPr>
  </w:style>
  <w:style w:type="paragraph" w:styleId="Header">
    <w:name w:val="header"/>
    <w:basedOn w:val="Normal"/>
    <w:link w:val="HeaderChar"/>
    <w:uiPriority w:val="99"/>
    <w:unhideWhenUsed/>
    <w:rsid w:val="00E82CAE"/>
    <w:pPr>
      <w:tabs>
        <w:tab w:val="center" w:pos="4680"/>
        <w:tab w:val="right" w:pos="9360"/>
      </w:tabs>
    </w:pPr>
  </w:style>
  <w:style w:type="character" w:customStyle="1" w:styleId="HeaderChar">
    <w:name w:val="Header Char"/>
    <w:basedOn w:val="DefaultParagraphFont"/>
    <w:link w:val="Header"/>
    <w:uiPriority w:val="99"/>
    <w:rsid w:val="00E82CAE"/>
    <w:rPr>
      <w:rFonts w:ascii="Times New Roman" w:eastAsia="Calibri" w:hAnsi="Times New Roman"/>
      <w:snapToGrid/>
      <w:szCs w:val="22"/>
    </w:rPr>
  </w:style>
  <w:style w:type="paragraph" w:styleId="Footer">
    <w:name w:val="footer"/>
    <w:basedOn w:val="Normal"/>
    <w:link w:val="FooterChar"/>
    <w:uiPriority w:val="99"/>
    <w:unhideWhenUsed/>
    <w:rsid w:val="00E82CAE"/>
    <w:pPr>
      <w:tabs>
        <w:tab w:val="center" w:pos="4680"/>
        <w:tab w:val="right" w:pos="9360"/>
      </w:tabs>
    </w:pPr>
  </w:style>
  <w:style w:type="character" w:customStyle="1" w:styleId="FooterChar">
    <w:name w:val="Footer Char"/>
    <w:basedOn w:val="DefaultParagraphFont"/>
    <w:link w:val="Footer"/>
    <w:uiPriority w:val="99"/>
    <w:rsid w:val="00E82CAE"/>
    <w:rPr>
      <w:rFonts w:ascii="Times New Roman" w:eastAsia="Calibri" w:hAnsi="Times New Roman"/>
      <w:snapToGrid/>
      <w:szCs w:val="22"/>
    </w:rPr>
  </w:style>
  <w:style w:type="paragraph" w:styleId="BalloonText">
    <w:name w:val="Balloon Text"/>
    <w:basedOn w:val="Normal"/>
    <w:link w:val="BalloonTextChar"/>
    <w:uiPriority w:val="99"/>
    <w:semiHidden/>
    <w:unhideWhenUsed/>
    <w:rsid w:val="00EF6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C11"/>
    <w:rPr>
      <w:rFonts w:ascii="Segoe UI" w:eastAsia="Calibri" w:hAnsi="Segoe UI" w:cs="Segoe UI"/>
      <w:snapToGrid/>
      <w:sz w:val="18"/>
      <w:szCs w:val="18"/>
    </w:rPr>
  </w:style>
  <w:style w:type="character" w:styleId="CommentReference">
    <w:name w:val="annotation reference"/>
    <w:basedOn w:val="DefaultParagraphFont"/>
    <w:uiPriority w:val="99"/>
    <w:semiHidden/>
    <w:unhideWhenUsed/>
    <w:rsid w:val="000F7CA2"/>
    <w:rPr>
      <w:sz w:val="16"/>
      <w:szCs w:val="16"/>
    </w:rPr>
  </w:style>
  <w:style w:type="paragraph" w:styleId="CommentText">
    <w:name w:val="annotation text"/>
    <w:basedOn w:val="Normal"/>
    <w:link w:val="CommentTextChar"/>
    <w:uiPriority w:val="99"/>
    <w:semiHidden/>
    <w:unhideWhenUsed/>
    <w:rsid w:val="000F7CA2"/>
    <w:rPr>
      <w:sz w:val="20"/>
      <w:szCs w:val="20"/>
    </w:rPr>
  </w:style>
  <w:style w:type="character" w:customStyle="1" w:styleId="CommentTextChar">
    <w:name w:val="Comment Text Char"/>
    <w:basedOn w:val="DefaultParagraphFont"/>
    <w:link w:val="CommentText"/>
    <w:uiPriority w:val="99"/>
    <w:semiHidden/>
    <w:rsid w:val="000F7CA2"/>
    <w:rPr>
      <w:rFonts w:ascii="Times New Roman" w:eastAsia="Calibri" w:hAnsi="Times New Roman"/>
      <w:snapToGrid/>
      <w:sz w:val="20"/>
    </w:rPr>
  </w:style>
  <w:style w:type="paragraph" w:styleId="CommentSubject">
    <w:name w:val="annotation subject"/>
    <w:basedOn w:val="CommentText"/>
    <w:next w:val="CommentText"/>
    <w:link w:val="CommentSubjectChar"/>
    <w:uiPriority w:val="99"/>
    <w:semiHidden/>
    <w:unhideWhenUsed/>
    <w:rsid w:val="000F7CA2"/>
    <w:rPr>
      <w:b/>
      <w:bCs/>
    </w:rPr>
  </w:style>
  <w:style w:type="character" w:customStyle="1" w:styleId="CommentSubjectChar">
    <w:name w:val="Comment Subject Char"/>
    <w:basedOn w:val="CommentTextChar"/>
    <w:link w:val="CommentSubject"/>
    <w:uiPriority w:val="99"/>
    <w:semiHidden/>
    <w:rsid w:val="000F7CA2"/>
    <w:rPr>
      <w:rFonts w:ascii="Times New Roman" w:eastAsia="Calibri" w:hAnsi="Times New Roman"/>
      <w:b/>
      <w:bCs/>
      <w:snapToGrid/>
      <w:sz w:val="20"/>
    </w:rPr>
  </w:style>
  <w:style w:type="paragraph" w:styleId="Revision">
    <w:name w:val="Revision"/>
    <w:hidden/>
    <w:uiPriority w:val="99"/>
    <w:semiHidden/>
    <w:rsid w:val="00C9441C"/>
    <w:pPr>
      <w:spacing w:after="0" w:line="240" w:lineRule="auto"/>
      <w:ind w:firstLine="0"/>
      <w:jc w:val="left"/>
    </w:pPr>
    <w:rPr>
      <w:rFonts w:ascii="Times New Roman" w:eastAsia="Calibri" w:hAnsi="Times New Roman"/>
      <w:snapToGrid/>
      <w:szCs w:val="22"/>
    </w:rPr>
  </w:style>
  <w:style w:type="paragraph" w:styleId="FootnoteText">
    <w:name w:val="footnote text"/>
    <w:basedOn w:val="Normal"/>
    <w:link w:val="FootnoteTextChar"/>
    <w:uiPriority w:val="99"/>
    <w:semiHidden/>
    <w:unhideWhenUsed/>
    <w:rsid w:val="003974AE"/>
    <w:rPr>
      <w:sz w:val="20"/>
      <w:szCs w:val="20"/>
    </w:rPr>
  </w:style>
  <w:style w:type="character" w:customStyle="1" w:styleId="FootnoteTextChar">
    <w:name w:val="Footnote Text Char"/>
    <w:basedOn w:val="DefaultParagraphFont"/>
    <w:link w:val="FootnoteText"/>
    <w:uiPriority w:val="99"/>
    <w:semiHidden/>
    <w:rsid w:val="003974AE"/>
    <w:rPr>
      <w:rFonts w:ascii="Times New Roman" w:eastAsia="Calibri" w:hAnsi="Times New Roman"/>
      <w:snapToGrid/>
      <w:sz w:val="20"/>
    </w:rPr>
  </w:style>
  <w:style w:type="character" w:styleId="FootnoteReference">
    <w:name w:val="footnote reference"/>
    <w:basedOn w:val="DefaultParagraphFont"/>
    <w:uiPriority w:val="99"/>
    <w:semiHidden/>
    <w:unhideWhenUsed/>
    <w:rsid w:val="003974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56116">
      <w:bodyDiv w:val="1"/>
      <w:marLeft w:val="0"/>
      <w:marRight w:val="0"/>
      <w:marTop w:val="0"/>
      <w:marBottom w:val="0"/>
      <w:divBdr>
        <w:top w:val="none" w:sz="0" w:space="0" w:color="auto"/>
        <w:left w:val="none" w:sz="0" w:space="0" w:color="auto"/>
        <w:bottom w:val="none" w:sz="0" w:space="0" w:color="auto"/>
        <w:right w:val="none" w:sz="0" w:space="0" w:color="auto"/>
      </w:divBdr>
    </w:div>
    <w:div w:id="1247885963">
      <w:bodyDiv w:val="1"/>
      <w:marLeft w:val="0"/>
      <w:marRight w:val="0"/>
      <w:marTop w:val="0"/>
      <w:marBottom w:val="0"/>
      <w:divBdr>
        <w:top w:val="none" w:sz="0" w:space="0" w:color="auto"/>
        <w:left w:val="none" w:sz="0" w:space="0" w:color="auto"/>
        <w:bottom w:val="none" w:sz="0" w:space="0" w:color="auto"/>
        <w:right w:val="none" w:sz="0" w:space="0" w:color="auto"/>
      </w:divBdr>
    </w:div>
    <w:div w:id="21261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F269-62B6-4FE4-9932-DB3FA5F2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5201</Words>
  <Characters>29647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12</cp:revision>
  <cp:lastPrinted>2019-05-29T16:03:00Z</cp:lastPrinted>
  <dcterms:created xsi:type="dcterms:W3CDTF">2019-06-11T18:08:00Z</dcterms:created>
  <dcterms:modified xsi:type="dcterms:W3CDTF">2019-06-13T22:36:00Z</dcterms:modified>
</cp:coreProperties>
</file>