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0157BB" w14:textId="415615D2" w:rsidR="00BF4ED1" w:rsidRPr="0095461F" w:rsidRDefault="003B385F" w:rsidP="00BF4ED1">
      <w:pPr>
        <w:jc w:val="both"/>
        <w:rPr>
          <w:sz w:val="28"/>
          <w:szCs w:val="28"/>
        </w:rPr>
      </w:pPr>
      <w:r w:rsidRPr="0095461F">
        <w:rPr>
          <w:sz w:val="28"/>
          <w:szCs w:val="28"/>
        </w:rPr>
        <w:t>Hon. Joseph Welty,</w:t>
      </w:r>
      <w:r w:rsidR="00F81C85">
        <w:rPr>
          <w:sz w:val="28"/>
          <w:szCs w:val="28"/>
        </w:rPr>
        <w:t xml:space="preserve"> Chair</w:t>
      </w:r>
    </w:p>
    <w:p w14:paraId="0F8F821E" w14:textId="77777777" w:rsidR="00BF4ED1" w:rsidRPr="0095461F" w:rsidRDefault="00BF4ED1" w:rsidP="00BF4ED1">
      <w:pPr>
        <w:jc w:val="both"/>
        <w:rPr>
          <w:sz w:val="28"/>
          <w:szCs w:val="28"/>
        </w:rPr>
      </w:pPr>
      <w:r w:rsidRPr="0095461F">
        <w:rPr>
          <w:sz w:val="28"/>
          <w:szCs w:val="28"/>
        </w:rPr>
        <w:t xml:space="preserve">Task Force on </w:t>
      </w:r>
      <w:r w:rsidR="003B385F" w:rsidRPr="0095461F">
        <w:rPr>
          <w:sz w:val="28"/>
          <w:szCs w:val="28"/>
        </w:rPr>
        <w:t>Rule 32, Ariz. R. Crim. P.</w:t>
      </w:r>
      <w:r w:rsidRPr="0095461F">
        <w:rPr>
          <w:sz w:val="28"/>
          <w:szCs w:val="28"/>
        </w:rPr>
        <w:t>, Petitioner</w:t>
      </w:r>
    </w:p>
    <w:p w14:paraId="0F7F82EE" w14:textId="77777777" w:rsidR="00BF4ED1" w:rsidRPr="0095461F" w:rsidRDefault="00BF4ED1" w:rsidP="00BF4ED1">
      <w:pPr>
        <w:jc w:val="both"/>
        <w:rPr>
          <w:sz w:val="28"/>
          <w:szCs w:val="28"/>
        </w:rPr>
      </w:pPr>
      <w:r w:rsidRPr="0095461F">
        <w:rPr>
          <w:sz w:val="28"/>
          <w:szCs w:val="28"/>
        </w:rPr>
        <w:t>1501 W. Washington St.</w:t>
      </w:r>
    </w:p>
    <w:p w14:paraId="29CEA99F" w14:textId="77777777" w:rsidR="00BF4ED1" w:rsidRPr="0095461F" w:rsidRDefault="00BF4ED1" w:rsidP="00BF4ED1">
      <w:pPr>
        <w:jc w:val="both"/>
        <w:rPr>
          <w:sz w:val="28"/>
          <w:szCs w:val="28"/>
        </w:rPr>
      </w:pPr>
      <w:r w:rsidRPr="0095461F">
        <w:rPr>
          <w:sz w:val="28"/>
          <w:szCs w:val="28"/>
        </w:rPr>
        <w:t>Phoenix, AZ 85007</w:t>
      </w:r>
    </w:p>
    <w:p w14:paraId="784E0556" w14:textId="77777777" w:rsidR="00BF4ED1" w:rsidRPr="0095461F" w:rsidRDefault="00BF4ED1" w:rsidP="00BF4ED1">
      <w:pPr>
        <w:jc w:val="both"/>
        <w:rPr>
          <w:sz w:val="28"/>
          <w:szCs w:val="28"/>
        </w:rPr>
      </w:pPr>
    </w:p>
    <w:p w14:paraId="642FA682" w14:textId="77777777" w:rsidR="00BF4ED1" w:rsidRPr="0095461F" w:rsidRDefault="00BF4ED1" w:rsidP="00BF4ED1">
      <w:pPr>
        <w:spacing w:line="480" w:lineRule="auto"/>
        <w:jc w:val="both"/>
        <w:rPr>
          <w:sz w:val="28"/>
          <w:szCs w:val="28"/>
        </w:rPr>
      </w:pPr>
    </w:p>
    <w:p w14:paraId="1313A338" w14:textId="77777777" w:rsidR="00BF4ED1" w:rsidRPr="0095461F" w:rsidRDefault="00BF4ED1" w:rsidP="00BF4ED1">
      <w:pPr>
        <w:spacing w:line="480" w:lineRule="auto"/>
        <w:jc w:val="both"/>
        <w:rPr>
          <w:sz w:val="28"/>
          <w:szCs w:val="28"/>
          <w:u w:val="single"/>
        </w:rPr>
      </w:pPr>
    </w:p>
    <w:p w14:paraId="73695496" w14:textId="77777777" w:rsidR="00BF4ED1" w:rsidRPr="0095461F" w:rsidRDefault="00BF4ED1" w:rsidP="00BF4ED1">
      <w:pPr>
        <w:ind w:left="2160" w:firstLine="720"/>
        <w:jc w:val="both"/>
        <w:rPr>
          <w:sz w:val="28"/>
          <w:szCs w:val="28"/>
        </w:rPr>
      </w:pPr>
      <w:r w:rsidRPr="0095461F">
        <w:rPr>
          <w:sz w:val="28"/>
          <w:szCs w:val="28"/>
        </w:rPr>
        <w:t>SUPREME COURT OF ARIZONA</w:t>
      </w:r>
    </w:p>
    <w:p w14:paraId="2ADEF601" w14:textId="77777777" w:rsidR="00BF4ED1" w:rsidRPr="0095461F" w:rsidRDefault="00BF4ED1" w:rsidP="00BF4ED1">
      <w:pPr>
        <w:jc w:val="both"/>
        <w:rPr>
          <w:sz w:val="28"/>
          <w:szCs w:val="28"/>
        </w:rPr>
      </w:pPr>
    </w:p>
    <w:p w14:paraId="4690536A" w14:textId="77777777" w:rsidR="00BF4ED1" w:rsidRPr="0095461F" w:rsidRDefault="00BF4ED1" w:rsidP="00BF4ED1">
      <w:pPr>
        <w:jc w:val="both"/>
        <w:rPr>
          <w:sz w:val="28"/>
          <w:szCs w:val="28"/>
        </w:rPr>
      </w:pPr>
    </w:p>
    <w:p w14:paraId="29DCD530" w14:textId="1C274131" w:rsidR="00BF4ED1" w:rsidRPr="0095461F" w:rsidRDefault="00BF4ED1" w:rsidP="00BF4ED1">
      <w:pPr>
        <w:jc w:val="both"/>
        <w:rPr>
          <w:sz w:val="28"/>
          <w:szCs w:val="28"/>
        </w:rPr>
      </w:pPr>
      <w:r w:rsidRPr="0095461F">
        <w:rPr>
          <w:sz w:val="28"/>
          <w:szCs w:val="28"/>
        </w:rPr>
        <w:t xml:space="preserve">PETITION TO </w:t>
      </w:r>
      <w:r w:rsidR="003B385F" w:rsidRPr="0095461F">
        <w:rPr>
          <w:sz w:val="28"/>
          <w:szCs w:val="28"/>
        </w:rPr>
        <w:t>AMEND RULE 32</w:t>
      </w:r>
      <w:r w:rsidR="000D78D4" w:rsidRPr="0095461F">
        <w:rPr>
          <w:sz w:val="28"/>
          <w:szCs w:val="28"/>
        </w:rPr>
        <w:t>;</w:t>
      </w:r>
      <w:r w:rsidR="00E16B85" w:rsidRPr="0095461F">
        <w:rPr>
          <w:sz w:val="28"/>
          <w:szCs w:val="28"/>
        </w:rPr>
        <w:tab/>
        <w:t>) Supreme</w:t>
      </w:r>
      <w:r w:rsidRPr="0095461F">
        <w:rPr>
          <w:sz w:val="28"/>
          <w:szCs w:val="28"/>
        </w:rPr>
        <w:t xml:space="preserve"> Court No. R-</w:t>
      </w:r>
      <w:r w:rsidR="003B385F" w:rsidRPr="0095461F">
        <w:rPr>
          <w:sz w:val="28"/>
          <w:szCs w:val="28"/>
        </w:rPr>
        <w:t>19-</w:t>
      </w:r>
      <w:r w:rsidR="006C299A">
        <w:rPr>
          <w:sz w:val="28"/>
          <w:szCs w:val="28"/>
        </w:rPr>
        <w:t>0012</w:t>
      </w:r>
    </w:p>
    <w:p w14:paraId="17EB5773" w14:textId="005A7743" w:rsidR="0071490F" w:rsidRPr="0095461F" w:rsidRDefault="00A87ABD" w:rsidP="00BF4ED1">
      <w:pPr>
        <w:jc w:val="both"/>
        <w:rPr>
          <w:sz w:val="28"/>
          <w:szCs w:val="28"/>
        </w:rPr>
      </w:pPr>
      <w:r w:rsidRPr="0095461F">
        <w:rPr>
          <w:sz w:val="28"/>
          <w:szCs w:val="28"/>
        </w:rPr>
        <w:t xml:space="preserve">TO ADOPT </w:t>
      </w:r>
      <w:r w:rsidR="0071490F" w:rsidRPr="0095461F">
        <w:rPr>
          <w:sz w:val="28"/>
          <w:szCs w:val="28"/>
        </w:rPr>
        <w:t xml:space="preserve">A NEW </w:t>
      </w:r>
      <w:r w:rsidRPr="0095461F">
        <w:rPr>
          <w:sz w:val="28"/>
          <w:szCs w:val="28"/>
        </w:rPr>
        <w:t>RULE 33</w:t>
      </w:r>
      <w:r w:rsidR="000D78D4" w:rsidRPr="0095461F">
        <w:rPr>
          <w:sz w:val="28"/>
          <w:szCs w:val="28"/>
        </w:rPr>
        <w:t>;</w:t>
      </w:r>
      <w:r w:rsidR="00E11521">
        <w:rPr>
          <w:sz w:val="28"/>
          <w:szCs w:val="28"/>
        </w:rPr>
        <w:tab/>
      </w:r>
      <w:r w:rsidR="0071490F" w:rsidRPr="0095461F">
        <w:rPr>
          <w:sz w:val="28"/>
          <w:szCs w:val="28"/>
        </w:rPr>
        <w:tab/>
        <w:t>)</w:t>
      </w:r>
    </w:p>
    <w:p w14:paraId="3A86956B" w14:textId="30E7BE80" w:rsidR="00A87ABD" w:rsidRPr="0095461F" w:rsidRDefault="0071490F" w:rsidP="00BF4ED1">
      <w:pPr>
        <w:jc w:val="both"/>
        <w:rPr>
          <w:sz w:val="28"/>
          <w:szCs w:val="28"/>
        </w:rPr>
      </w:pPr>
      <w:r w:rsidRPr="0095461F">
        <w:rPr>
          <w:sz w:val="28"/>
          <w:szCs w:val="28"/>
        </w:rPr>
        <w:t xml:space="preserve">TO </w:t>
      </w:r>
      <w:r w:rsidR="0091188E" w:rsidRPr="0095461F">
        <w:rPr>
          <w:sz w:val="28"/>
          <w:szCs w:val="28"/>
        </w:rPr>
        <w:t xml:space="preserve">AMEND </w:t>
      </w:r>
      <w:r w:rsidR="00E809F3" w:rsidRPr="0095461F">
        <w:rPr>
          <w:sz w:val="28"/>
          <w:szCs w:val="28"/>
        </w:rPr>
        <w:t xml:space="preserve">VARIOUS </w:t>
      </w:r>
      <w:r w:rsidR="0091188E" w:rsidRPr="0095461F">
        <w:rPr>
          <w:sz w:val="28"/>
          <w:szCs w:val="28"/>
        </w:rPr>
        <w:t>RULE 41</w:t>
      </w:r>
      <w:r w:rsidR="00E16B85" w:rsidRPr="0095461F">
        <w:rPr>
          <w:sz w:val="28"/>
          <w:szCs w:val="28"/>
        </w:rPr>
        <w:tab/>
        <w:t>)</w:t>
      </w:r>
      <w:r w:rsidR="006C299A">
        <w:rPr>
          <w:sz w:val="28"/>
          <w:szCs w:val="28"/>
        </w:rPr>
        <w:t xml:space="preserve"> </w:t>
      </w:r>
      <w:r w:rsidR="00103ED1">
        <w:rPr>
          <w:sz w:val="28"/>
          <w:szCs w:val="28"/>
        </w:rPr>
        <w:t>R</w:t>
      </w:r>
      <w:r w:rsidR="00AB73C8">
        <w:rPr>
          <w:sz w:val="28"/>
          <w:szCs w:val="28"/>
        </w:rPr>
        <w:t>EPLY</w:t>
      </w:r>
    </w:p>
    <w:p w14:paraId="581EFE04" w14:textId="29E51E6B" w:rsidR="00961C78" w:rsidRPr="0095461F" w:rsidRDefault="0091188E" w:rsidP="006A713A">
      <w:pPr>
        <w:ind w:left="720" w:hanging="720"/>
        <w:jc w:val="both"/>
        <w:rPr>
          <w:sz w:val="28"/>
          <w:szCs w:val="28"/>
        </w:rPr>
      </w:pPr>
      <w:r w:rsidRPr="0095461F">
        <w:rPr>
          <w:sz w:val="28"/>
          <w:szCs w:val="28"/>
        </w:rPr>
        <w:t xml:space="preserve">FORMS AND </w:t>
      </w:r>
      <w:r w:rsidR="003F00FD">
        <w:rPr>
          <w:sz w:val="28"/>
          <w:szCs w:val="28"/>
        </w:rPr>
        <w:t xml:space="preserve">TO </w:t>
      </w:r>
      <w:r w:rsidR="00E809F3" w:rsidRPr="0095461F">
        <w:rPr>
          <w:sz w:val="28"/>
          <w:szCs w:val="28"/>
        </w:rPr>
        <w:t>ADOPT NEW</w:t>
      </w:r>
      <w:r w:rsidR="00961C78" w:rsidRPr="0095461F">
        <w:rPr>
          <w:sz w:val="28"/>
          <w:szCs w:val="28"/>
        </w:rPr>
        <w:tab/>
        <w:t>)</w:t>
      </w:r>
    </w:p>
    <w:p w14:paraId="3803B89E" w14:textId="77777777" w:rsidR="0091188E" w:rsidRPr="0095461F" w:rsidRDefault="00E809F3" w:rsidP="00BF4ED1">
      <w:pPr>
        <w:jc w:val="both"/>
        <w:rPr>
          <w:sz w:val="28"/>
          <w:szCs w:val="28"/>
        </w:rPr>
      </w:pPr>
      <w:r w:rsidRPr="0095461F">
        <w:rPr>
          <w:sz w:val="28"/>
          <w:szCs w:val="28"/>
        </w:rPr>
        <w:t>FORMS</w:t>
      </w:r>
      <w:r w:rsidR="003F00FD">
        <w:rPr>
          <w:sz w:val="28"/>
          <w:szCs w:val="28"/>
        </w:rPr>
        <w:t>;</w:t>
      </w:r>
      <w:r w:rsidRPr="0095461F">
        <w:rPr>
          <w:sz w:val="28"/>
          <w:szCs w:val="28"/>
        </w:rPr>
        <w:t xml:space="preserve"> TO RENUMBER</w:t>
      </w:r>
      <w:r w:rsidR="000D78D4" w:rsidRPr="0095461F">
        <w:rPr>
          <w:sz w:val="28"/>
          <w:szCs w:val="28"/>
        </w:rPr>
        <w:tab/>
      </w:r>
      <w:r w:rsidR="00547A49">
        <w:rPr>
          <w:sz w:val="28"/>
          <w:szCs w:val="28"/>
        </w:rPr>
        <w:tab/>
      </w:r>
      <w:r w:rsidR="0091188E" w:rsidRPr="0095461F">
        <w:rPr>
          <w:sz w:val="28"/>
          <w:szCs w:val="28"/>
        </w:rPr>
        <w:t>)</w:t>
      </w:r>
    </w:p>
    <w:p w14:paraId="01CE6516" w14:textId="299DF260" w:rsidR="00AA02E4" w:rsidRPr="0095461F" w:rsidRDefault="00961C78" w:rsidP="006A713A">
      <w:pPr>
        <w:jc w:val="both"/>
        <w:rPr>
          <w:sz w:val="28"/>
          <w:szCs w:val="28"/>
        </w:rPr>
      </w:pPr>
      <w:r w:rsidRPr="0095461F">
        <w:rPr>
          <w:sz w:val="28"/>
          <w:szCs w:val="28"/>
        </w:rPr>
        <w:t xml:space="preserve">RULE 33, </w:t>
      </w:r>
      <w:r w:rsidR="0091188E" w:rsidRPr="0095461F">
        <w:rPr>
          <w:sz w:val="28"/>
          <w:szCs w:val="28"/>
        </w:rPr>
        <w:t>ARIZONA RULES OF</w:t>
      </w:r>
      <w:r w:rsidR="00AA02E4" w:rsidRPr="0095461F">
        <w:rPr>
          <w:sz w:val="28"/>
          <w:szCs w:val="28"/>
        </w:rPr>
        <w:tab/>
        <w:t>)</w:t>
      </w:r>
    </w:p>
    <w:p w14:paraId="6608AEBE" w14:textId="2B6806B9" w:rsidR="00547A49" w:rsidRDefault="0091188E" w:rsidP="00BF4ED1">
      <w:pPr>
        <w:ind w:left="4320" w:hanging="4320"/>
        <w:jc w:val="both"/>
        <w:rPr>
          <w:sz w:val="28"/>
          <w:szCs w:val="28"/>
        </w:rPr>
      </w:pPr>
      <w:r w:rsidRPr="0095461F">
        <w:rPr>
          <w:sz w:val="28"/>
          <w:szCs w:val="28"/>
        </w:rPr>
        <w:t>CRIMINAL PROCEDURE</w:t>
      </w:r>
      <w:r w:rsidR="003F00FD">
        <w:rPr>
          <w:sz w:val="28"/>
          <w:szCs w:val="28"/>
        </w:rPr>
        <w:t>;</w:t>
      </w:r>
      <w:r w:rsidR="00547A49">
        <w:rPr>
          <w:sz w:val="28"/>
          <w:szCs w:val="28"/>
        </w:rPr>
        <w:t xml:space="preserve"> AND</w:t>
      </w:r>
      <w:r w:rsidR="00547A49">
        <w:rPr>
          <w:sz w:val="28"/>
          <w:szCs w:val="28"/>
        </w:rPr>
        <w:tab/>
        <w:t>)</w:t>
      </w:r>
    </w:p>
    <w:p w14:paraId="7624A03D" w14:textId="50D6B1C3" w:rsidR="00547A49" w:rsidRDefault="00547A49" w:rsidP="00BF4ED1">
      <w:pPr>
        <w:ind w:left="4320" w:hanging="4320"/>
        <w:jc w:val="both"/>
        <w:rPr>
          <w:sz w:val="28"/>
          <w:szCs w:val="28"/>
        </w:rPr>
      </w:pPr>
      <w:r>
        <w:rPr>
          <w:sz w:val="28"/>
          <w:szCs w:val="28"/>
        </w:rPr>
        <w:t xml:space="preserve">TO ADOPT A </w:t>
      </w:r>
      <w:r w:rsidRPr="00FF0C36">
        <w:rPr>
          <w:sz w:val="28"/>
          <w:szCs w:val="28"/>
        </w:rPr>
        <w:t>CONFORMING</w:t>
      </w:r>
      <w:r>
        <w:rPr>
          <w:sz w:val="28"/>
          <w:szCs w:val="28"/>
        </w:rPr>
        <w:tab/>
        <w:t>)</w:t>
      </w:r>
    </w:p>
    <w:p w14:paraId="7624469B" w14:textId="77777777" w:rsidR="00773295" w:rsidRDefault="00547A49" w:rsidP="00BF4ED1">
      <w:pPr>
        <w:ind w:left="4320" w:hanging="4320"/>
        <w:jc w:val="both"/>
        <w:rPr>
          <w:sz w:val="28"/>
          <w:szCs w:val="28"/>
        </w:rPr>
      </w:pPr>
      <w:r>
        <w:rPr>
          <w:sz w:val="28"/>
          <w:szCs w:val="28"/>
        </w:rPr>
        <w:t>CHANGE TO RULE 17.1(e)</w:t>
      </w:r>
      <w:r w:rsidR="00773295">
        <w:rPr>
          <w:sz w:val="28"/>
          <w:szCs w:val="28"/>
        </w:rPr>
        <w:t>,</w:t>
      </w:r>
      <w:r w:rsidR="00773295">
        <w:rPr>
          <w:sz w:val="28"/>
          <w:szCs w:val="28"/>
        </w:rPr>
        <w:tab/>
        <w:t>)</w:t>
      </w:r>
    </w:p>
    <w:p w14:paraId="68B5B1A6" w14:textId="77777777" w:rsidR="00773295" w:rsidRDefault="00773295" w:rsidP="00BF4ED1">
      <w:pPr>
        <w:ind w:left="4320" w:hanging="4320"/>
        <w:jc w:val="both"/>
        <w:rPr>
          <w:sz w:val="28"/>
          <w:szCs w:val="28"/>
        </w:rPr>
      </w:pPr>
      <w:r>
        <w:rPr>
          <w:sz w:val="28"/>
          <w:szCs w:val="28"/>
        </w:rPr>
        <w:t>ARIZONA RULES OF CRIMINAL</w:t>
      </w:r>
      <w:r>
        <w:rPr>
          <w:sz w:val="28"/>
          <w:szCs w:val="28"/>
        </w:rPr>
        <w:tab/>
        <w:t>)</w:t>
      </w:r>
    </w:p>
    <w:p w14:paraId="1D6D2B90" w14:textId="46D58E62" w:rsidR="00BF4ED1" w:rsidRPr="0095461F" w:rsidRDefault="00773295" w:rsidP="00BF4ED1">
      <w:pPr>
        <w:ind w:left="4320" w:hanging="4320"/>
        <w:jc w:val="both"/>
        <w:rPr>
          <w:sz w:val="28"/>
          <w:szCs w:val="28"/>
        </w:rPr>
      </w:pPr>
      <w:r>
        <w:rPr>
          <w:sz w:val="28"/>
          <w:szCs w:val="28"/>
        </w:rPr>
        <w:t>PROCEDURE</w:t>
      </w:r>
      <w:r w:rsidR="00AA02E4" w:rsidRPr="0095461F">
        <w:rPr>
          <w:sz w:val="28"/>
          <w:szCs w:val="28"/>
        </w:rPr>
        <w:tab/>
      </w:r>
      <w:r w:rsidR="002B2E28">
        <w:rPr>
          <w:sz w:val="28"/>
          <w:szCs w:val="28"/>
        </w:rPr>
        <w:t>)</w:t>
      </w:r>
    </w:p>
    <w:p w14:paraId="002CE944" w14:textId="77777777" w:rsidR="00773295" w:rsidRDefault="00BF4ED1" w:rsidP="00BF4ED1">
      <w:pPr>
        <w:jc w:val="both"/>
        <w:rPr>
          <w:sz w:val="28"/>
          <w:szCs w:val="28"/>
        </w:rPr>
      </w:pPr>
      <w:r w:rsidRPr="0095461F">
        <w:rPr>
          <w:sz w:val="28"/>
          <w:szCs w:val="28"/>
        </w:rPr>
        <w:t>________________________</w:t>
      </w:r>
      <w:r w:rsidR="00773295">
        <w:rPr>
          <w:sz w:val="28"/>
          <w:szCs w:val="28"/>
        </w:rPr>
        <w:t>_____</w:t>
      </w:r>
      <w:r w:rsidR="00773295">
        <w:rPr>
          <w:sz w:val="28"/>
          <w:szCs w:val="28"/>
        </w:rPr>
        <w:tab/>
        <w:t>)</w:t>
      </w:r>
    </w:p>
    <w:p w14:paraId="55FD80C9" w14:textId="56AAFB0C" w:rsidR="00BF4ED1" w:rsidRPr="0095461F" w:rsidRDefault="00BF4ED1" w:rsidP="00BF4ED1">
      <w:pPr>
        <w:jc w:val="both"/>
        <w:rPr>
          <w:sz w:val="28"/>
          <w:szCs w:val="28"/>
        </w:rPr>
      </w:pPr>
    </w:p>
    <w:p w14:paraId="794289DE" w14:textId="77777777" w:rsidR="00532AD5" w:rsidRPr="006A713A" w:rsidRDefault="00532AD5" w:rsidP="00BF4ED1">
      <w:pPr>
        <w:rPr>
          <w:sz w:val="28"/>
          <w:szCs w:val="28"/>
        </w:rPr>
      </w:pPr>
    </w:p>
    <w:p w14:paraId="587BFE55" w14:textId="3B30E8BB" w:rsidR="00A91B31" w:rsidRDefault="00750AAC" w:rsidP="00E11521">
      <w:pPr>
        <w:spacing w:line="480" w:lineRule="auto"/>
        <w:ind w:firstLine="720"/>
        <w:jc w:val="both"/>
        <w:rPr>
          <w:sz w:val="28"/>
          <w:szCs w:val="28"/>
        </w:rPr>
      </w:pPr>
      <w:r w:rsidRPr="0095461F">
        <w:rPr>
          <w:sz w:val="28"/>
          <w:szCs w:val="28"/>
        </w:rPr>
        <w:t>Petitioner</w:t>
      </w:r>
      <w:r w:rsidR="006C299A">
        <w:rPr>
          <w:sz w:val="28"/>
          <w:szCs w:val="28"/>
        </w:rPr>
        <w:t>,</w:t>
      </w:r>
      <w:r w:rsidRPr="0095461F">
        <w:rPr>
          <w:sz w:val="28"/>
          <w:szCs w:val="28"/>
        </w:rPr>
        <w:t xml:space="preserve"> the Task Force on Rule 32 of the Arizona Rules of Criminal Procedure</w:t>
      </w:r>
      <w:r w:rsidR="00EB15C6">
        <w:rPr>
          <w:sz w:val="28"/>
          <w:szCs w:val="28"/>
        </w:rPr>
        <w:t xml:space="preserve"> (“Task Force”)</w:t>
      </w:r>
      <w:r w:rsidRPr="0095461F">
        <w:rPr>
          <w:sz w:val="28"/>
          <w:szCs w:val="28"/>
        </w:rPr>
        <w:t>, submit</w:t>
      </w:r>
      <w:r w:rsidR="000F32DE">
        <w:rPr>
          <w:sz w:val="28"/>
          <w:szCs w:val="28"/>
        </w:rPr>
        <w:t xml:space="preserve">s </w:t>
      </w:r>
      <w:r w:rsidRPr="0095461F">
        <w:rPr>
          <w:sz w:val="28"/>
          <w:szCs w:val="28"/>
        </w:rPr>
        <w:t xml:space="preserve">this </w:t>
      </w:r>
      <w:r w:rsidR="00AB73C8">
        <w:rPr>
          <w:sz w:val="28"/>
          <w:szCs w:val="28"/>
        </w:rPr>
        <w:t>R</w:t>
      </w:r>
      <w:r w:rsidR="00103ED1">
        <w:rPr>
          <w:sz w:val="28"/>
          <w:szCs w:val="28"/>
        </w:rPr>
        <w:t xml:space="preserve">eply </w:t>
      </w:r>
      <w:r w:rsidR="00E037C4">
        <w:rPr>
          <w:sz w:val="28"/>
          <w:szCs w:val="28"/>
        </w:rPr>
        <w:t>pursuant to</w:t>
      </w:r>
      <w:r w:rsidR="006C299A">
        <w:rPr>
          <w:sz w:val="28"/>
          <w:szCs w:val="28"/>
        </w:rPr>
        <w:t xml:space="preserve"> th</w:t>
      </w:r>
      <w:r w:rsidR="003922AE">
        <w:rPr>
          <w:sz w:val="28"/>
          <w:szCs w:val="28"/>
        </w:rPr>
        <w:t xml:space="preserve">e </w:t>
      </w:r>
      <w:r w:rsidR="006C299A">
        <w:rPr>
          <w:sz w:val="28"/>
          <w:szCs w:val="28"/>
        </w:rPr>
        <w:t xml:space="preserve">Court’s </w:t>
      </w:r>
      <w:r w:rsidR="00A37884">
        <w:rPr>
          <w:sz w:val="28"/>
          <w:szCs w:val="28"/>
        </w:rPr>
        <w:t xml:space="preserve">January 15, 2019 </w:t>
      </w:r>
      <w:r w:rsidR="006C299A">
        <w:rPr>
          <w:sz w:val="28"/>
          <w:szCs w:val="28"/>
        </w:rPr>
        <w:t>Order authorizing a modified comment period</w:t>
      </w:r>
      <w:r w:rsidRPr="0095461F">
        <w:rPr>
          <w:sz w:val="28"/>
          <w:szCs w:val="28"/>
        </w:rPr>
        <w:t>.</w:t>
      </w:r>
    </w:p>
    <w:p w14:paraId="0C664504" w14:textId="320B0B6B" w:rsidR="00C911F5" w:rsidRDefault="00250E95" w:rsidP="00A91B31">
      <w:pPr>
        <w:spacing w:line="480" w:lineRule="auto"/>
        <w:ind w:firstLine="720"/>
        <w:jc w:val="both"/>
        <w:rPr>
          <w:sz w:val="28"/>
          <w:szCs w:val="28"/>
        </w:rPr>
      </w:pPr>
      <w:r w:rsidRPr="00EF0940">
        <w:rPr>
          <w:b/>
          <w:sz w:val="28"/>
          <w:szCs w:val="28"/>
          <w:u w:val="single"/>
        </w:rPr>
        <w:t>1.</w:t>
      </w:r>
      <w:r w:rsidRPr="00EF0940">
        <w:rPr>
          <w:sz w:val="28"/>
          <w:szCs w:val="28"/>
          <w:u w:val="single"/>
        </w:rPr>
        <w:t xml:space="preserve"> </w:t>
      </w:r>
      <w:r w:rsidRPr="00EF0940">
        <w:rPr>
          <w:b/>
          <w:sz w:val="28"/>
          <w:szCs w:val="28"/>
          <w:u w:val="single"/>
        </w:rPr>
        <w:t>Introduction</w:t>
      </w:r>
      <w:r w:rsidR="00B23C87">
        <w:rPr>
          <w:b/>
          <w:sz w:val="28"/>
          <w:szCs w:val="28"/>
          <w:u w:val="single"/>
        </w:rPr>
        <w:t xml:space="preserve"> and Summary</w:t>
      </w:r>
      <w:r w:rsidRPr="00250E95">
        <w:rPr>
          <w:b/>
          <w:sz w:val="28"/>
          <w:szCs w:val="28"/>
          <w:u w:val="single"/>
        </w:rPr>
        <w:t>.</w:t>
      </w:r>
    </w:p>
    <w:p w14:paraId="52BF9691" w14:textId="7F592338" w:rsidR="00A91B31" w:rsidRDefault="00C911F5" w:rsidP="00A91B31">
      <w:pPr>
        <w:spacing w:line="480" w:lineRule="auto"/>
        <w:ind w:firstLine="720"/>
        <w:jc w:val="both"/>
        <w:rPr>
          <w:sz w:val="28"/>
          <w:szCs w:val="28"/>
        </w:rPr>
      </w:pPr>
      <w:r w:rsidRPr="00C911F5">
        <w:rPr>
          <w:b/>
          <w:i/>
          <w:sz w:val="28"/>
          <w:szCs w:val="28"/>
        </w:rPr>
        <w:t>(A) Introduction.</w:t>
      </w:r>
      <w:r>
        <w:rPr>
          <w:sz w:val="28"/>
          <w:szCs w:val="28"/>
        </w:rPr>
        <w:t xml:space="preserve">  </w:t>
      </w:r>
      <w:r w:rsidR="00A91B31">
        <w:rPr>
          <w:sz w:val="28"/>
          <w:szCs w:val="28"/>
        </w:rPr>
        <w:t>The Task Force me</w:t>
      </w:r>
      <w:r w:rsidR="000F32DE">
        <w:rPr>
          <w:sz w:val="28"/>
          <w:szCs w:val="28"/>
        </w:rPr>
        <w:t>t</w:t>
      </w:r>
      <w:r w:rsidR="00A91B31">
        <w:rPr>
          <w:sz w:val="28"/>
          <w:szCs w:val="28"/>
        </w:rPr>
        <w:t xml:space="preserve"> on May 10, 201</w:t>
      </w:r>
      <w:r w:rsidR="000F32DE">
        <w:rPr>
          <w:sz w:val="28"/>
          <w:szCs w:val="28"/>
        </w:rPr>
        <w:t xml:space="preserve">9, shortly after the close of the second comment period. </w:t>
      </w:r>
      <w:r w:rsidR="00B23C87">
        <w:rPr>
          <w:sz w:val="28"/>
          <w:szCs w:val="28"/>
        </w:rPr>
        <w:t xml:space="preserve"> </w:t>
      </w:r>
      <w:r w:rsidR="00327445">
        <w:rPr>
          <w:sz w:val="28"/>
          <w:szCs w:val="28"/>
        </w:rPr>
        <w:t>Its May 10 discussion of</w:t>
      </w:r>
      <w:r w:rsidR="00A91B31">
        <w:rPr>
          <w:sz w:val="28"/>
          <w:szCs w:val="28"/>
        </w:rPr>
        <w:t xml:space="preserve"> the second </w:t>
      </w:r>
      <w:r>
        <w:rPr>
          <w:sz w:val="28"/>
          <w:szCs w:val="28"/>
        </w:rPr>
        <w:t xml:space="preserve">round of </w:t>
      </w:r>
      <w:r w:rsidR="00A91B31">
        <w:rPr>
          <w:sz w:val="28"/>
          <w:szCs w:val="28"/>
        </w:rPr>
        <w:t>commen</w:t>
      </w:r>
      <w:r>
        <w:rPr>
          <w:sz w:val="28"/>
          <w:szCs w:val="28"/>
        </w:rPr>
        <w:t>ts</w:t>
      </w:r>
      <w:r w:rsidR="00327445">
        <w:rPr>
          <w:sz w:val="28"/>
          <w:szCs w:val="28"/>
        </w:rPr>
        <w:t xml:space="preserve"> </w:t>
      </w:r>
      <w:r w:rsidR="00A91B31">
        <w:rPr>
          <w:sz w:val="28"/>
          <w:szCs w:val="28"/>
        </w:rPr>
        <w:t xml:space="preserve">is summarized in Part </w:t>
      </w:r>
      <w:r w:rsidR="00B23C87">
        <w:rPr>
          <w:sz w:val="28"/>
          <w:szCs w:val="28"/>
        </w:rPr>
        <w:t>2</w:t>
      </w:r>
      <w:r w:rsidR="00A91B31">
        <w:rPr>
          <w:sz w:val="28"/>
          <w:szCs w:val="28"/>
        </w:rPr>
        <w:t xml:space="preserve"> of this </w:t>
      </w:r>
      <w:r w:rsidR="00AB73C8">
        <w:rPr>
          <w:sz w:val="28"/>
          <w:szCs w:val="28"/>
        </w:rPr>
        <w:t>R</w:t>
      </w:r>
      <w:r w:rsidR="00A91B31">
        <w:rPr>
          <w:sz w:val="28"/>
          <w:szCs w:val="28"/>
        </w:rPr>
        <w:t xml:space="preserve">eply.  </w:t>
      </w:r>
      <w:r w:rsidR="000E0818">
        <w:rPr>
          <w:sz w:val="28"/>
          <w:szCs w:val="28"/>
        </w:rPr>
        <w:t xml:space="preserve">The Task Force also discussed </w:t>
      </w:r>
      <w:r w:rsidR="00A91B31">
        <w:rPr>
          <w:sz w:val="28"/>
          <w:szCs w:val="28"/>
        </w:rPr>
        <w:lastRenderedPageBreak/>
        <w:t xml:space="preserve">changes to Rules 17.1, 32, and </w:t>
      </w:r>
      <w:r w:rsidR="00250E95">
        <w:rPr>
          <w:sz w:val="28"/>
          <w:szCs w:val="28"/>
        </w:rPr>
        <w:t>33 that</w:t>
      </w:r>
      <w:r w:rsidR="00A91B31">
        <w:rPr>
          <w:sz w:val="28"/>
          <w:szCs w:val="28"/>
        </w:rPr>
        <w:t xml:space="preserve"> the Task Force</w:t>
      </w:r>
      <w:r>
        <w:rPr>
          <w:sz w:val="28"/>
          <w:szCs w:val="28"/>
        </w:rPr>
        <w:t xml:space="preserve"> made on its own</w:t>
      </w:r>
      <w:r w:rsidR="00A91B31">
        <w:rPr>
          <w:sz w:val="28"/>
          <w:szCs w:val="28"/>
        </w:rPr>
        <w:t xml:space="preserve"> initiative</w:t>
      </w:r>
      <w:r w:rsidR="00327445">
        <w:rPr>
          <w:sz w:val="28"/>
          <w:szCs w:val="28"/>
        </w:rPr>
        <w:t xml:space="preserve">; </w:t>
      </w:r>
      <w:r w:rsidR="000E0818">
        <w:rPr>
          <w:sz w:val="28"/>
          <w:szCs w:val="28"/>
        </w:rPr>
        <w:t>Part 3 of this Reply</w:t>
      </w:r>
      <w:r w:rsidR="00327445">
        <w:rPr>
          <w:sz w:val="28"/>
          <w:szCs w:val="28"/>
        </w:rPr>
        <w:t xml:space="preserve"> summarizes that discussion</w:t>
      </w:r>
      <w:r w:rsidR="00A91B31">
        <w:rPr>
          <w:sz w:val="28"/>
          <w:szCs w:val="28"/>
        </w:rPr>
        <w:t xml:space="preserve">.  Part </w:t>
      </w:r>
      <w:r w:rsidR="00B23C87">
        <w:rPr>
          <w:sz w:val="28"/>
          <w:szCs w:val="28"/>
        </w:rPr>
        <w:t>4</w:t>
      </w:r>
      <w:r w:rsidR="00A91B31">
        <w:rPr>
          <w:sz w:val="28"/>
          <w:szCs w:val="28"/>
        </w:rPr>
        <w:t xml:space="preserve"> </w:t>
      </w:r>
      <w:r w:rsidR="000E0818">
        <w:rPr>
          <w:sz w:val="28"/>
          <w:szCs w:val="28"/>
        </w:rPr>
        <w:t xml:space="preserve">of the Reply </w:t>
      </w:r>
      <w:r>
        <w:rPr>
          <w:sz w:val="28"/>
          <w:szCs w:val="28"/>
        </w:rPr>
        <w:t>discusses the Task Force’s</w:t>
      </w:r>
      <w:r w:rsidR="00A91B31">
        <w:rPr>
          <w:sz w:val="28"/>
          <w:szCs w:val="28"/>
        </w:rPr>
        <w:t xml:space="preserve"> </w:t>
      </w:r>
      <w:r w:rsidR="00327445">
        <w:rPr>
          <w:sz w:val="28"/>
          <w:szCs w:val="28"/>
        </w:rPr>
        <w:t xml:space="preserve">most recent </w:t>
      </w:r>
      <w:r w:rsidR="00A91B31">
        <w:rPr>
          <w:sz w:val="28"/>
          <w:szCs w:val="28"/>
        </w:rPr>
        <w:t xml:space="preserve">revisions to </w:t>
      </w:r>
      <w:r w:rsidR="000F32DE">
        <w:rPr>
          <w:sz w:val="28"/>
          <w:szCs w:val="28"/>
        </w:rPr>
        <w:t xml:space="preserve">the six proposed </w:t>
      </w:r>
      <w:r w:rsidR="00A91B31">
        <w:rPr>
          <w:sz w:val="28"/>
          <w:szCs w:val="28"/>
        </w:rPr>
        <w:t>forms.</w:t>
      </w:r>
    </w:p>
    <w:p w14:paraId="08AFF2A0" w14:textId="6912DC68" w:rsidR="00961C78" w:rsidRDefault="00775C52" w:rsidP="00E245B3">
      <w:pPr>
        <w:spacing w:line="480" w:lineRule="auto"/>
        <w:ind w:firstLine="720"/>
        <w:jc w:val="both"/>
        <w:rPr>
          <w:sz w:val="28"/>
          <w:szCs w:val="28"/>
        </w:rPr>
      </w:pPr>
      <w:r>
        <w:rPr>
          <w:sz w:val="28"/>
          <w:szCs w:val="28"/>
        </w:rPr>
        <w:t>Th</w:t>
      </w:r>
      <w:r w:rsidR="00C911F5">
        <w:rPr>
          <w:sz w:val="28"/>
          <w:szCs w:val="28"/>
        </w:rPr>
        <w:t>is</w:t>
      </w:r>
      <w:r>
        <w:rPr>
          <w:sz w:val="28"/>
          <w:szCs w:val="28"/>
        </w:rPr>
        <w:t xml:space="preserve"> </w:t>
      </w:r>
      <w:r w:rsidR="00AB73C8">
        <w:rPr>
          <w:sz w:val="28"/>
          <w:szCs w:val="28"/>
        </w:rPr>
        <w:t>R</w:t>
      </w:r>
      <w:r w:rsidR="00103ED1">
        <w:rPr>
          <w:sz w:val="28"/>
          <w:szCs w:val="28"/>
        </w:rPr>
        <w:t xml:space="preserve">eply </w:t>
      </w:r>
      <w:r w:rsidR="00754454">
        <w:rPr>
          <w:sz w:val="28"/>
          <w:szCs w:val="28"/>
        </w:rPr>
        <w:t xml:space="preserve">includes </w:t>
      </w:r>
      <w:r w:rsidR="00E11521">
        <w:rPr>
          <w:sz w:val="28"/>
          <w:szCs w:val="28"/>
        </w:rPr>
        <w:t>five</w:t>
      </w:r>
      <w:r w:rsidR="00754454">
        <w:rPr>
          <w:sz w:val="28"/>
          <w:szCs w:val="28"/>
        </w:rPr>
        <w:t xml:space="preserve"> appendices, each of which </w:t>
      </w:r>
      <w:r w:rsidR="009E519C">
        <w:rPr>
          <w:sz w:val="28"/>
          <w:szCs w:val="28"/>
        </w:rPr>
        <w:t>is</w:t>
      </w:r>
      <w:r w:rsidR="00754454">
        <w:rPr>
          <w:sz w:val="28"/>
          <w:szCs w:val="28"/>
        </w:rPr>
        <w:t xml:space="preserve"> designated with a number followed by “</w:t>
      </w:r>
      <w:r w:rsidR="00103ED1">
        <w:rPr>
          <w:sz w:val="28"/>
          <w:szCs w:val="28"/>
        </w:rPr>
        <w:t>R</w:t>
      </w:r>
      <w:r w:rsidR="00754454">
        <w:rPr>
          <w:sz w:val="28"/>
          <w:szCs w:val="28"/>
        </w:rPr>
        <w:t>” (“</w:t>
      </w:r>
      <w:r w:rsidR="00103ED1">
        <w:rPr>
          <w:sz w:val="28"/>
          <w:szCs w:val="28"/>
        </w:rPr>
        <w:t>reply</w:t>
      </w:r>
      <w:r w:rsidR="00754454">
        <w:rPr>
          <w:sz w:val="28"/>
          <w:szCs w:val="28"/>
        </w:rPr>
        <w:t>”)</w:t>
      </w:r>
      <w:r w:rsidR="00103ED1">
        <w:rPr>
          <w:sz w:val="28"/>
          <w:szCs w:val="28"/>
        </w:rPr>
        <w:t xml:space="preserve"> to distinguish </w:t>
      </w:r>
      <w:r w:rsidR="00C911F5">
        <w:rPr>
          <w:sz w:val="28"/>
          <w:szCs w:val="28"/>
        </w:rPr>
        <w:t>these</w:t>
      </w:r>
      <w:r w:rsidR="00103ED1">
        <w:rPr>
          <w:sz w:val="28"/>
          <w:szCs w:val="28"/>
        </w:rPr>
        <w:t xml:space="preserve"> appendi</w:t>
      </w:r>
      <w:r w:rsidR="00C911F5">
        <w:rPr>
          <w:sz w:val="28"/>
          <w:szCs w:val="28"/>
        </w:rPr>
        <w:t>ces</w:t>
      </w:r>
      <w:r w:rsidR="00103ED1">
        <w:rPr>
          <w:sz w:val="28"/>
          <w:szCs w:val="28"/>
        </w:rPr>
        <w:t xml:space="preserve"> from versions </w:t>
      </w:r>
      <w:r w:rsidR="00E037C4">
        <w:rPr>
          <w:sz w:val="28"/>
          <w:szCs w:val="28"/>
        </w:rPr>
        <w:t>that were</w:t>
      </w:r>
      <w:r w:rsidR="00103ED1">
        <w:rPr>
          <w:sz w:val="28"/>
          <w:szCs w:val="28"/>
        </w:rPr>
        <w:t xml:space="preserve"> </w:t>
      </w:r>
      <w:r w:rsidR="00C911F5">
        <w:rPr>
          <w:sz w:val="28"/>
          <w:szCs w:val="28"/>
        </w:rPr>
        <w:t xml:space="preserve">previously </w:t>
      </w:r>
      <w:r w:rsidR="00103ED1">
        <w:rPr>
          <w:sz w:val="28"/>
          <w:szCs w:val="28"/>
        </w:rPr>
        <w:t>filed with the petition and amended petition</w:t>
      </w:r>
      <w:r w:rsidR="00754454">
        <w:rPr>
          <w:sz w:val="28"/>
          <w:szCs w:val="28"/>
        </w:rPr>
        <w:t>.</w:t>
      </w:r>
      <w:r w:rsidR="00C911F5">
        <w:rPr>
          <w:sz w:val="28"/>
          <w:szCs w:val="28"/>
        </w:rPr>
        <w:t xml:space="preserve"> </w:t>
      </w:r>
      <w:r w:rsidR="00E11521">
        <w:rPr>
          <w:sz w:val="28"/>
          <w:szCs w:val="28"/>
        </w:rPr>
        <w:t xml:space="preserve"> </w:t>
      </w:r>
      <w:r w:rsidR="006C299A" w:rsidRPr="00103ED1">
        <w:rPr>
          <w:sz w:val="28"/>
          <w:szCs w:val="28"/>
          <w:u w:val="single"/>
        </w:rPr>
        <w:t>Appendix 1-</w:t>
      </w:r>
      <w:r w:rsidR="00103ED1" w:rsidRPr="00103ED1">
        <w:rPr>
          <w:sz w:val="28"/>
          <w:szCs w:val="28"/>
          <w:u w:val="single"/>
        </w:rPr>
        <w:t>R</w:t>
      </w:r>
      <w:r w:rsidR="006C299A">
        <w:rPr>
          <w:sz w:val="28"/>
          <w:szCs w:val="28"/>
        </w:rPr>
        <w:t xml:space="preserve"> shows</w:t>
      </w:r>
      <w:r w:rsidR="00547A49">
        <w:rPr>
          <w:sz w:val="28"/>
          <w:szCs w:val="28"/>
        </w:rPr>
        <w:t xml:space="preserve"> </w:t>
      </w:r>
      <w:r w:rsidR="000F32DE">
        <w:rPr>
          <w:sz w:val="28"/>
          <w:szCs w:val="28"/>
        </w:rPr>
        <w:t xml:space="preserve">recent </w:t>
      </w:r>
      <w:r w:rsidR="00103ED1">
        <w:rPr>
          <w:sz w:val="28"/>
          <w:szCs w:val="28"/>
        </w:rPr>
        <w:t>changes to</w:t>
      </w:r>
      <w:r w:rsidR="00547A49">
        <w:rPr>
          <w:sz w:val="28"/>
          <w:szCs w:val="28"/>
        </w:rPr>
        <w:t xml:space="preserve"> </w:t>
      </w:r>
      <w:r w:rsidR="003922AE">
        <w:rPr>
          <w:sz w:val="28"/>
          <w:szCs w:val="28"/>
        </w:rPr>
        <w:t xml:space="preserve">Criminal </w:t>
      </w:r>
      <w:r w:rsidR="00547A49">
        <w:rPr>
          <w:sz w:val="28"/>
          <w:szCs w:val="28"/>
        </w:rPr>
        <w:t>Rule 17.1(e)</w:t>
      </w:r>
      <w:r w:rsidR="000F32DE">
        <w:rPr>
          <w:sz w:val="28"/>
          <w:szCs w:val="28"/>
        </w:rPr>
        <w:t>.</w:t>
      </w:r>
      <w:r w:rsidR="00327445">
        <w:rPr>
          <w:sz w:val="28"/>
          <w:szCs w:val="28"/>
        </w:rPr>
        <w:t xml:space="preserve">  </w:t>
      </w:r>
      <w:r w:rsidRPr="00103ED1">
        <w:rPr>
          <w:sz w:val="28"/>
          <w:szCs w:val="28"/>
          <w:u w:val="single"/>
        </w:rPr>
        <w:t>Appendix</w:t>
      </w:r>
      <w:r w:rsidR="006C299A" w:rsidRPr="00103ED1">
        <w:rPr>
          <w:sz w:val="28"/>
          <w:szCs w:val="28"/>
          <w:u w:val="single"/>
        </w:rPr>
        <w:t xml:space="preserve"> 2-</w:t>
      </w:r>
      <w:r w:rsidR="00103ED1" w:rsidRPr="00103ED1">
        <w:rPr>
          <w:sz w:val="28"/>
          <w:szCs w:val="28"/>
          <w:u w:val="single"/>
        </w:rPr>
        <w:t>R</w:t>
      </w:r>
      <w:r w:rsidR="006C299A">
        <w:rPr>
          <w:sz w:val="28"/>
          <w:szCs w:val="28"/>
        </w:rPr>
        <w:t xml:space="preserve"> shows </w:t>
      </w:r>
      <w:r w:rsidR="000F32DE">
        <w:rPr>
          <w:sz w:val="28"/>
          <w:szCs w:val="28"/>
        </w:rPr>
        <w:t xml:space="preserve">the Task Force’s </w:t>
      </w:r>
      <w:r w:rsidR="006C299A">
        <w:rPr>
          <w:sz w:val="28"/>
          <w:szCs w:val="28"/>
        </w:rPr>
        <w:t xml:space="preserve">redline changes to </w:t>
      </w:r>
      <w:r w:rsidR="00327445">
        <w:rPr>
          <w:sz w:val="28"/>
          <w:szCs w:val="28"/>
        </w:rPr>
        <w:t xml:space="preserve">the </w:t>
      </w:r>
      <w:r w:rsidR="006C299A">
        <w:rPr>
          <w:sz w:val="28"/>
          <w:szCs w:val="28"/>
        </w:rPr>
        <w:t>version of Rule 3</w:t>
      </w:r>
      <w:r w:rsidR="006C299A" w:rsidRPr="00327445">
        <w:rPr>
          <w:sz w:val="28"/>
          <w:szCs w:val="28"/>
          <w:u w:val="single"/>
        </w:rPr>
        <w:t>2</w:t>
      </w:r>
      <w:r w:rsidR="00103ED1">
        <w:rPr>
          <w:sz w:val="28"/>
          <w:szCs w:val="28"/>
        </w:rPr>
        <w:t xml:space="preserve"> </w:t>
      </w:r>
      <w:r w:rsidR="006C299A">
        <w:rPr>
          <w:sz w:val="28"/>
          <w:szCs w:val="28"/>
        </w:rPr>
        <w:t xml:space="preserve">that </w:t>
      </w:r>
      <w:r w:rsidR="00327445">
        <w:rPr>
          <w:sz w:val="28"/>
          <w:szCs w:val="28"/>
        </w:rPr>
        <w:t>was</w:t>
      </w:r>
      <w:r w:rsidR="006C299A">
        <w:rPr>
          <w:sz w:val="28"/>
          <w:szCs w:val="28"/>
        </w:rPr>
        <w:t xml:space="preserve"> filed with the </w:t>
      </w:r>
      <w:r w:rsidR="00103ED1">
        <w:rPr>
          <w:sz w:val="28"/>
          <w:szCs w:val="28"/>
        </w:rPr>
        <w:t>amended</w:t>
      </w:r>
      <w:r w:rsidR="006C299A">
        <w:rPr>
          <w:sz w:val="28"/>
          <w:szCs w:val="28"/>
        </w:rPr>
        <w:t xml:space="preserve"> petition</w:t>
      </w:r>
      <w:r w:rsidR="00E14801" w:rsidRPr="00E14801">
        <w:rPr>
          <w:sz w:val="28"/>
          <w:szCs w:val="28"/>
        </w:rPr>
        <w:t xml:space="preserve"> </w:t>
      </w:r>
      <w:r w:rsidR="00E14801">
        <w:rPr>
          <w:sz w:val="28"/>
          <w:szCs w:val="28"/>
        </w:rPr>
        <w:t>in April</w:t>
      </w:r>
      <w:r w:rsidR="006C299A">
        <w:rPr>
          <w:sz w:val="28"/>
          <w:szCs w:val="28"/>
        </w:rPr>
        <w:t>.</w:t>
      </w:r>
      <w:r w:rsidR="00327445">
        <w:rPr>
          <w:sz w:val="28"/>
          <w:szCs w:val="28"/>
        </w:rPr>
        <w:t xml:space="preserve">  </w:t>
      </w:r>
      <w:r w:rsidR="00C71D20" w:rsidRPr="00103ED1">
        <w:rPr>
          <w:sz w:val="28"/>
          <w:szCs w:val="28"/>
          <w:u w:val="single"/>
        </w:rPr>
        <w:t xml:space="preserve">Appendix </w:t>
      </w:r>
      <w:r w:rsidR="00C71D20">
        <w:rPr>
          <w:sz w:val="28"/>
          <w:szCs w:val="28"/>
          <w:u w:val="single"/>
        </w:rPr>
        <w:t>3</w:t>
      </w:r>
      <w:r w:rsidR="00C71D20" w:rsidRPr="00103ED1">
        <w:rPr>
          <w:sz w:val="28"/>
          <w:szCs w:val="28"/>
          <w:u w:val="single"/>
        </w:rPr>
        <w:t>-R</w:t>
      </w:r>
      <w:r w:rsidR="00C71D20">
        <w:rPr>
          <w:sz w:val="28"/>
          <w:szCs w:val="28"/>
        </w:rPr>
        <w:t xml:space="preserve"> shows the Task Force’s redline changes to </w:t>
      </w:r>
      <w:r w:rsidR="00327445">
        <w:rPr>
          <w:sz w:val="28"/>
          <w:szCs w:val="28"/>
        </w:rPr>
        <w:t xml:space="preserve">the </w:t>
      </w:r>
      <w:r w:rsidR="00C71D20">
        <w:rPr>
          <w:sz w:val="28"/>
          <w:szCs w:val="28"/>
        </w:rPr>
        <w:t>version of Rule 3</w:t>
      </w:r>
      <w:r w:rsidR="00327445" w:rsidRPr="00327445">
        <w:rPr>
          <w:sz w:val="28"/>
          <w:szCs w:val="28"/>
          <w:u w:val="single"/>
        </w:rPr>
        <w:t>3</w:t>
      </w:r>
      <w:r w:rsidR="00327445">
        <w:rPr>
          <w:sz w:val="28"/>
          <w:szCs w:val="28"/>
        </w:rPr>
        <w:t xml:space="preserve"> </w:t>
      </w:r>
      <w:r w:rsidR="00C71D20">
        <w:rPr>
          <w:sz w:val="28"/>
          <w:szCs w:val="28"/>
        </w:rPr>
        <w:t xml:space="preserve">that </w:t>
      </w:r>
      <w:r w:rsidR="00327445">
        <w:rPr>
          <w:sz w:val="28"/>
          <w:szCs w:val="28"/>
        </w:rPr>
        <w:t>was</w:t>
      </w:r>
      <w:r w:rsidR="00C71D20">
        <w:rPr>
          <w:sz w:val="28"/>
          <w:szCs w:val="28"/>
        </w:rPr>
        <w:t xml:space="preserve"> filed with the amended petition</w:t>
      </w:r>
      <w:r w:rsidR="00C71D20" w:rsidRPr="00E14801">
        <w:rPr>
          <w:sz w:val="28"/>
          <w:szCs w:val="28"/>
        </w:rPr>
        <w:t xml:space="preserve"> </w:t>
      </w:r>
      <w:r w:rsidR="00C71D20">
        <w:rPr>
          <w:sz w:val="28"/>
          <w:szCs w:val="28"/>
        </w:rPr>
        <w:t>in April.</w:t>
      </w:r>
      <w:r w:rsidR="00327445">
        <w:rPr>
          <w:sz w:val="28"/>
          <w:szCs w:val="28"/>
        </w:rPr>
        <w:t xml:space="preserve">  </w:t>
      </w:r>
      <w:r w:rsidR="008E083C">
        <w:rPr>
          <w:sz w:val="28"/>
          <w:szCs w:val="28"/>
        </w:rPr>
        <w:t>The change</w:t>
      </w:r>
      <w:r w:rsidR="002C4409">
        <w:rPr>
          <w:sz w:val="28"/>
          <w:szCs w:val="28"/>
        </w:rPr>
        <w:t>s</w:t>
      </w:r>
      <w:r w:rsidR="008E083C">
        <w:rPr>
          <w:sz w:val="28"/>
          <w:szCs w:val="28"/>
        </w:rPr>
        <w:t xml:space="preserve"> in Appendi</w:t>
      </w:r>
      <w:r w:rsidR="00103ED1">
        <w:rPr>
          <w:sz w:val="28"/>
          <w:szCs w:val="28"/>
        </w:rPr>
        <w:t xml:space="preserve">ces </w:t>
      </w:r>
      <w:r w:rsidR="008E083C">
        <w:rPr>
          <w:sz w:val="28"/>
          <w:szCs w:val="28"/>
        </w:rPr>
        <w:t>2-</w:t>
      </w:r>
      <w:r w:rsidR="00103ED1">
        <w:rPr>
          <w:sz w:val="28"/>
          <w:szCs w:val="28"/>
        </w:rPr>
        <w:t>R</w:t>
      </w:r>
      <w:r w:rsidR="00C71D20">
        <w:rPr>
          <w:sz w:val="28"/>
          <w:szCs w:val="28"/>
        </w:rPr>
        <w:t xml:space="preserve"> and 3-R</w:t>
      </w:r>
      <w:r w:rsidR="00103ED1">
        <w:rPr>
          <w:sz w:val="28"/>
          <w:szCs w:val="28"/>
        </w:rPr>
        <w:t xml:space="preserve"> </w:t>
      </w:r>
      <w:r w:rsidR="008E083C">
        <w:rPr>
          <w:sz w:val="28"/>
          <w:szCs w:val="28"/>
        </w:rPr>
        <w:t>have been highlighted in yellow</w:t>
      </w:r>
      <w:r w:rsidR="00177E91">
        <w:rPr>
          <w:sz w:val="28"/>
          <w:szCs w:val="28"/>
        </w:rPr>
        <w:t xml:space="preserve"> to make them easier to locate.</w:t>
      </w:r>
      <w:r w:rsidR="00327445">
        <w:rPr>
          <w:sz w:val="28"/>
          <w:szCs w:val="28"/>
        </w:rPr>
        <w:t xml:space="preserve">  </w:t>
      </w:r>
      <w:r w:rsidR="00103ED1" w:rsidRPr="00E245B3">
        <w:rPr>
          <w:sz w:val="28"/>
          <w:szCs w:val="28"/>
          <w:u w:val="single"/>
        </w:rPr>
        <w:t xml:space="preserve">Appendix </w:t>
      </w:r>
      <w:r w:rsidR="00C71D20">
        <w:rPr>
          <w:sz w:val="28"/>
          <w:szCs w:val="28"/>
          <w:u w:val="single"/>
        </w:rPr>
        <w:t>4</w:t>
      </w:r>
      <w:r w:rsidR="00103ED1" w:rsidRPr="00E245B3">
        <w:rPr>
          <w:sz w:val="28"/>
          <w:szCs w:val="28"/>
          <w:u w:val="single"/>
        </w:rPr>
        <w:t>-R</w:t>
      </w:r>
      <w:r w:rsidR="00103ED1">
        <w:rPr>
          <w:sz w:val="28"/>
          <w:szCs w:val="28"/>
        </w:rPr>
        <w:t xml:space="preserve"> contains versions of the </w:t>
      </w:r>
      <w:r w:rsidR="00327445">
        <w:rPr>
          <w:sz w:val="28"/>
          <w:szCs w:val="28"/>
        </w:rPr>
        <w:t>Rules 32 and 33 without redlines</w:t>
      </w:r>
      <w:r w:rsidR="006B38A3">
        <w:rPr>
          <w:sz w:val="28"/>
          <w:szCs w:val="28"/>
        </w:rPr>
        <w:t>.</w:t>
      </w:r>
      <w:r w:rsidR="00327445">
        <w:rPr>
          <w:sz w:val="28"/>
          <w:szCs w:val="28"/>
        </w:rPr>
        <w:t xml:space="preserve">  </w:t>
      </w:r>
      <w:r w:rsidR="006C299A" w:rsidRPr="00E245B3">
        <w:rPr>
          <w:sz w:val="28"/>
          <w:szCs w:val="28"/>
          <w:u w:val="single"/>
        </w:rPr>
        <w:t xml:space="preserve">Appendix </w:t>
      </w:r>
      <w:r w:rsidR="00C71D20">
        <w:rPr>
          <w:sz w:val="28"/>
          <w:szCs w:val="28"/>
          <w:u w:val="single"/>
        </w:rPr>
        <w:t>5</w:t>
      </w:r>
      <w:r w:rsidR="006C299A" w:rsidRPr="00E245B3">
        <w:rPr>
          <w:sz w:val="28"/>
          <w:szCs w:val="28"/>
          <w:u w:val="single"/>
        </w:rPr>
        <w:t>-</w:t>
      </w:r>
      <w:r w:rsidR="00103ED1" w:rsidRPr="00E245B3">
        <w:rPr>
          <w:sz w:val="28"/>
          <w:szCs w:val="28"/>
          <w:u w:val="single"/>
        </w:rPr>
        <w:t>R</w:t>
      </w:r>
      <w:r w:rsidR="006C299A">
        <w:rPr>
          <w:sz w:val="28"/>
          <w:szCs w:val="28"/>
        </w:rPr>
        <w:t xml:space="preserve"> contains </w:t>
      </w:r>
      <w:r w:rsidR="00E14801">
        <w:rPr>
          <w:sz w:val="28"/>
          <w:szCs w:val="28"/>
        </w:rPr>
        <w:t>final</w:t>
      </w:r>
      <w:r w:rsidR="00103ED1">
        <w:rPr>
          <w:sz w:val="28"/>
          <w:szCs w:val="28"/>
        </w:rPr>
        <w:t xml:space="preserve"> versions of </w:t>
      </w:r>
      <w:r w:rsidR="000F32DE">
        <w:rPr>
          <w:sz w:val="28"/>
          <w:szCs w:val="28"/>
        </w:rPr>
        <w:t>the</w:t>
      </w:r>
      <w:r>
        <w:rPr>
          <w:sz w:val="28"/>
          <w:szCs w:val="28"/>
        </w:rPr>
        <w:t xml:space="preserve"> </w:t>
      </w:r>
      <w:r w:rsidR="00E037C4">
        <w:rPr>
          <w:sz w:val="28"/>
          <w:szCs w:val="28"/>
        </w:rPr>
        <w:t xml:space="preserve">six </w:t>
      </w:r>
      <w:r w:rsidR="00A37884">
        <w:rPr>
          <w:sz w:val="28"/>
          <w:szCs w:val="28"/>
        </w:rPr>
        <w:t>proposed</w:t>
      </w:r>
      <w:r w:rsidR="006C299A">
        <w:rPr>
          <w:sz w:val="28"/>
          <w:szCs w:val="28"/>
        </w:rPr>
        <w:t xml:space="preserve"> forms.</w:t>
      </w:r>
    </w:p>
    <w:p w14:paraId="782F4E0C" w14:textId="3DD94218" w:rsidR="00FF0C36" w:rsidRDefault="00C911F5" w:rsidP="00FF0C36">
      <w:pPr>
        <w:spacing w:line="480" w:lineRule="auto"/>
        <w:ind w:firstLine="720"/>
        <w:jc w:val="both"/>
        <w:rPr>
          <w:sz w:val="28"/>
          <w:szCs w:val="28"/>
        </w:rPr>
      </w:pPr>
      <w:r>
        <w:rPr>
          <w:b/>
          <w:i/>
          <w:sz w:val="28"/>
          <w:szCs w:val="28"/>
        </w:rPr>
        <w:t>(B) Summary.</w:t>
      </w:r>
      <w:r w:rsidRPr="00E11521">
        <w:rPr>
          <w:sz w:val="28"/>
          <w:szCs w:val="28"/>
        </w:rPr>
        <w:t xml:space="preserve">  </w:t>
      </w:r>
      <w:r w:rsidR="000F32DE" w:rsidRPr="00250E95">
        <w:rPr>
          <w:sz w:val="28"/>
          <w:szCs w:val="28"/>
        </w:rPr>
        <w:t xml:space="preserve">Supreme Court Administrative Order </w:t>
      </w:r>
      <w:r w:rsidR="006B38A3">
        <w:rPr>
          <w:sz w:val="28"/>
          <w:szCs w:val="28"/>
        </w:rPr>
        <w:t xml:space="preserve">No. </w:t>
      </w:r>
      <w:r w:rsidR="000F32DE" w:rsidRPr="00250E95">
        <w:rPr>
          <w:sz w:val="28"/>
          <w:szCs w:val="28"/>
        </w:rPr>
        <w:t>2018-07 established this Task Force</w:t>
      </w:r>
      <w:r w:rsidR="00E245B3">
        <w:rPr>
          <w:sz w:val="28"/>
          <w:szCs w:val="28"/>
        </w:rPr>
        <w:t xml:space="preserve"> and</w:t>
      </w:r>
      <w:r w:rsidR="000F32DE" w:rsidRPr="00250E95">
        <w:rPr>
          <w:sz w:val="28"/>
          <w:szCs w:val="28"/>
        </w:rPr>
        <w:t xml:space="preserve"> directed it to “identify possible substantive changes that improve upon the objectives of Rule 32 and the post-conviction relief process.”  </w:t>
      </w:r>
      <w:r w:rsidR="00E037C4">
        <w:rPr>
          <w:sz w:val="28"/>
          <w:szCs w:val="28"/>
        </w:rPr>
        <w:t>T</w:t>
      </w:r>
      <w:r w:rsidR="000F32DE" w:rsidRPr="00250E95">
        <w:rPr>
          <w:sz w:val="28"/>
          <w:szCs w:val="28"/>
        </w:rPr>
        <w:t>he Task Force</w:t>
      </w:r>
      <w:r w:rsidR="003B5815" w:rsidRPr="00250E95">
        <w:rPr>
          <w:sz w:val="28"/>
          <w:szCs w:val="28"/>
        </w:rPr>
        <w:t xml:space="preserve"> </w:t>
      </w:r>
      <w:r w:rsidR="00E037C4">
        <w:rPr>
          <w:sz w:val="28"/>
          <w:szCs w:val="28"/>
        </w:rPr>
        <w:t xml:space="preserve">subsequently </w:t>
      </w:r>
      <w:r w:rsidR="000F32DE" w:rsidRPr="00250E95">
        <w:rPr>
          <w:sz w:val="28"/>
          <w:szCs w:val="28"/>
        </w:rPr>
        <w:t xml:space="preserve">identified dozens of </w:t>
      </w:r>
      <w:r w:rsidR="00E245B3">
        <w:rPr>
          <w:sz w:val="28"/>
          <w:szCs w:val="28"/>
        </w:rPr>
        <w:t xml:space="preserve">changes </w:t>
      </w:r>
      <w:r w:rsidR="00E037C4">
        <w:rPr>
          <w:sz w:val="28"/>
          <w:szCs w:val="28"/>
        </w:rPr>
        <w:t>to</w:t>
      </w:r>
      <w:r w:rsidR="000F32DE" w:rsidRPr="00250E95">
        <w:rPr>
          <w:sz w:val="28"/>
          <w:szCs w:val="28"/>
        </w:rPr>
        <w:t xml:space="preserve"> </w:t>
      </w:r>
      <w:r w:rsidR="00E245B3">
        <w:rPr>
          <w:sz w:val="28"/>
          <w:szCs w:val="28"/>
        </w:rPr>
        <w:t>Rule 32</w:t>
      </w:r>
      <w:r w:rsidR="00E037C4">
        <w:rPr>
          <w:sz w:val="28"/>
          <w:szCs w:val="28"/>
        </w:rPr>
        <w:t xml:space="preserve"> that</w:t>
      </w:r>
      <w:r w:rsidR="000F32DE" w:rsidRPr="00250E95">
        <w:rPr>
          <w:sz w:val="28"/>
          <w:szCs w:val="28"/>
        </w:rPr>
        <w:t xml:space="preserve"> </w:t>
      </w:r>
      <w:r w:rsidR="00D37612">
        <w:rPr>
          <w:sz w:val="28"/>
          <w:szCs w:val="28"/>
        </w:rPr>
        <w:t>sh</w:t>
      </w:r>
      <w:r w:rsidR="000F32DE" w:rsidRPr="00250E95">
        <w:rPr>
          <w:sz w:val="28"/>
          <w:szCs w:val="28"/>
        </w:rPr>
        <w:t>ould improve post-conviction proceedings</w:t>
      </w:r>
      <w:r w:rsidR="00E037C4">
        <w:rPr>
          <w:sz w:val="28"/>
          <w:szCs w:val="28"/>
        </w:rPr>
        <w:t xml:space="preserve"> or clarify the process</w:t>
      </w:r>
      <w:r w:rsidR="000F32DE" w:rsidRPr="00250E95">
        <w:rPr>
          <w:sz w:val="28"/>
          <w:szCs w:val="28"/>
        </w:rPr>
        <w:t>.</w:t>
      </w:r>
    </w:p>
    <w:p w14:paraId="309074F6" w14:textId="0B75990A" w:rsidR="00E245B3" w:rsidRDefault="000F32DE" w:rsidP="00FF0C36">
      <w:pPr>
        <w:spacing w:line="480" w:lineRule="auto"/>
        <w:ind w:firstLine="720"/>
        <w:jc w:val="both"/>
        <w:rPr>
          <w:sz w:val="28"/>
          <w:szCs w:val="28"/>
        </w:rPr>
      </w:pPr>
      <w:r>
        <w:rPr>
          <w:sz w:val="28"/>
          <w:szCs w:val="28"/>
        </w:rPr>
        <w:t>As detailed in the January rule petition, the most significant change</w:t>
      </w:r>
      <w:r w:rsidR="00E245B3">
        <w:rPr>
          <w:sz w:val="28"/>
          <w:szCs w:val="28"/>
        </w:rPr>
        <w:t xml:space="preserve"> proposed by the Task Force</w:t>
      </w:r>
      <w:r>
        <w:rPr>
          <w:sz w:val="28"/>
          <w:szCs w:val="28"/>
        </w:rPr>
        <w:t xml:space="preserve"> </w:t>
      </w:r>
      <w:r w:rsidR="00E037C4">
        <w:rPr>
          <w:sz w:val="28"/>
          <w:szCs w:val="28"/>
        </w:rPr>
        <w:t>w</w:t>
      </w:r>
      <w:r w:rsidR="0052017D">
        <w:rPr>
          <w:sz w:val="28"/>
          <w:szCs w:val="28"/>
        </w:rPr>
        <w:t>as</w:t>
      </w:r>
      <w:r w:rsidR="00E037C4">
        <w:rPr>
          <w:sz w:val="28"/>
          <w:szCs w:val="28"/>
        </w:rPr>
        <w:t xml:space="preserve"> eliminating</w:t>
      </w:r>
      <w:r w:rsidR="003B5815">
        <w:rPr>
          <w:sz w:val="28"/>
          <w:szCs w:val="28"/>
        </w:rPr>
        <w:t xml:space="preserve"> </w:t>
      </w:r>
      <w:r>
        <w:rPr>
          <w:sz w:val="28"/>
          <w:szCs w:val="28"/>
        </w:rPr>
        <w:t>the term “of</w:t>
      </w:r>
      <w:r w:rsidR="00897A28">
        <w:rPr>
          <w:sz w:val="28"/>
          <w:szCs w:val="28"/>
        </w:rPr>
        <w:t>-</w:t>
      </w:r>
      <w:r>
        <w:rPr>
          <w:sz w:val="28"/>
          <w:szCs w:val="28"/>
        </w:rPr>
        <w:t xml:space="preserve">right petition,” </w:t>
      </w:r>
      <w:r w:rsidR="0052017D">
        <w:rPr>
          <w:sz w:val="28"/>
          <w:szCs w:val="28"/>
        </w:rPr>
        <w:t>along with</w:t>
      </w:r>
      <w:r>
        <w:rPr>
          <w:sz w:val="28"/>
          <w:szCs w:val="28"/>
        </w:rPr>
        <w:t xml:space="preserve"> the </w:t>
      </w:r>
      <w:r>
        <w:rPr>
          <w:sz w:val="28"/>
          <w:szCs w:val="28"/>
        </w:rPr>
        <w:lastRenderedPageBreak/>
        <w:t>companion terms of “pleading defendant” and “non-pleading defendant”</w:t>
      </w:r>
      <w:r w:rsidR="0052017D">
        <w:rPr>
          <w:sz w:val="28"/>
          <w:szCs w:val="28"/>
        </w:rPr>
        <w:t xml:space="preserve"> that</w:t>
      </w:r>
      <w:r w:rsidR="00586CAC">
        <w:rPr>
          <w:sz w:val="28"/>
          <w:szCs w:val="28"/>
        </w:rPr>
        <w:t xml:space="preserve"> </w:t>
      </w:r>
      <w:r w:rsidR="00C911F5">
        <w:rPr>
          <w:sz w:val="28"/>
          <w:szCs w:val="28"/>
        </w:rPr>
        <w:t xml:space="preserve">are </w:t>
      </w:r>
      <w:r w:rsidR="0052017D">
        <w:rPr>
          <w:sz w:val="28"/>
          <w:szCs w:val="28"/>
        </w:rPr>
        <w:t>part of the current nomenclature</w:t>
      </w:r>
      <w:r w:rsidR="00586CAC">
        <w:rPr>
          <w:sz w:val="28"/>
          <w:szCs w:val="28"/>
        </w:rPr>
        <w:t>.</w:t>
      </w:r>
      <w:r>
        <w:rPr>
          <w:sz w:val="28"/>
          <w:szCs w:val="28"/>
        </w:rPr>
        <w:t xml:space="preserve"> </w:t>
      </w:r>
      <w:r w:rsidR="00E11521">
        <w:rPr>
          <w:sz w:val="28"/>
          <w:szCs w:val="28"/>
        </w:rPr>
        <w:t xml:space="preserve"> </w:t>
      </w:r>
      <w:r>
        <w:rPr>
          <w:sz w:val="28"/>
          <w:szCs w:val="28"/>
        </w:rPr>
        <w:t>The Task Force accomplished th</w:t>
      </w:r>
      <w:r w:rsidR="0052017D">
        <w:rPr>
          <w:sz w:val="28"/>
          <w:szCs w:val="28"/>
        </w:rPr>
        <w:t>is</w:t>
      </w:r>
      <w:r w:rsidR="00E037C4">
        <w:rPr>
          <w:sz w:val="28"/>
          <w:szCs w:val="28"/>
        </w:rPr>
        <w:t xml:space="preserve"> objective</w:t>
      </w:r>
      <w:r>
        <w:rPr>
          <w:sz w:val="28"/>
          <w:szCs w:val="28"/>
        </w:rPr>
        <w:t xml:space="preserve"> by separating</w:t>
      </w:r>
      <w:r w:rsidR="00E245B3">
        <w:rPr>
          <w:sz w:val="28"/>
          <w:szCs w:val="28"/>
        </w:rPr>
        <w:t xml:space="preserve"> Rule 32</w:t>
      </w:r>
      <w:r w:rsidR="003B5815">
        <w:rPr>
          <w:sz w:val="28"/>
          <w:szCs w:val="28"/>
        </w:rPr>
        <w:t xml:space="preserve"> into two rules – Rule 32 and a new Rule 33</w:t>
      </w:r>
      <w:r w:rsidR="00E245B3">
        <w:rPr>
          <w:sz w:val="28"/>
          <w:szCs w:val="28"/>
        </w:rPr>
        <w:t>.</w:t>
      </w:r>
      <w:r w:rsidR="003B5815">
        <w:rPr>
          <w:sz w:val="28"/>
          <w:szCs w:val="28"/>
        </w:rPr>
        <w:t xml:space="preserve"> </w:t>
      </w:r>
      <w:r w:rsidR="00E245B3">
        <w:rPr>
          <w:sz w:val="28"/>
          <w:szCs w:val="28"/>
        </w:rPr>
        <w:t xml:space="preserve"> Revised Rule 32 contains </w:t>
      </w:r>
      <w:r w:rsidR="003B5815">
        <w:rPr>
          <w:sz w:val="28"/>
          <w:szCs w:val="28"/>
        </w:rPr>
        <w:t xml:space="preserve">post-conviction provisions </w:t>
      </w:r>
      <w:r w:rsidR="00E245B3">
        <w:rPr>
          <w:sz w:val="28"/>
          <w:szCs w:val="28"/>
        </w:rPr>
        <w:t xml:space="preserve">only </w:t>
      </w:r>
      <w:r w:rsidR="003B5815">
        <w:rPr>
          <w:sz w:val="28"/>
          <w:szCs w:val="28"/>
        </w:rPr>
        <w:t>for defendants who proceed</w:t>
      </w:r>
      <w:r w:rsidR="00E037C4">
        <w:rPr>
          <w:sz w:val="28"/>
          <w:szCs w:val="28"/>
        </w:rPr>
        <w:t>ed</w:t>
      </w:r>
      <w:r w:rsidR="003B5815">
        <w:rPr>
          <w:sz w:val="28"/>
          <w:szCs w:val="28"/>
        </w:rPr>
        <w:t xml:space="preserve"> to trial, or who ha</w:t>
      </w:r>
      <w:r w:rsidR="00E245B3">
        <w:rPr>
          <w:sz w:val="28"/>
          <w:szCs w:val="28"/>
        </w:rPr>
        <w:t>d</w:t>
      </w:r>
      <w:r w:rsidR="003B5815">
        <w:rPr>
          <w:sz w:val="28"/>
          <w:szCs w:val="28"/>
        </w:rPr>
        <w:t xml:space="preserve"> a probation violation hearing</w:t>
      </w:r>
      <w:r w:rsidR="00E245B3">
        <w:rPr>
          <w:sz w:val="28"/>
          <w:szCs w:val="28"/>
        </w:rPr>
        <w:t xml:space="preserve">.  </w:t>
      </w:r>
      <w:r w:rsidR="00E037C4">
        <w:rPr>
          <w:sz w:val="28"/>
          <w:szCs w:val="28"/>
        </w:rPr>
        <w:t>By comparison, n</w:t>
      </w:r>
      <w:r w:rsidR="00E245B3">
        <w:rPr>
          <w:sz w:val="28"/>
          <w:szCs w:val="28"/>
        </w:rPr>
        <w:t>ew Rule 33 is exclusively for</w:t>
      </w:r>
      <w:r w:rsidR="003B5815">
        <w:rPr>
          <w:sz w:val="28"/>
          <w:szCs w:val="28"/>
        </w:rPr>
        <w:t xml:space="preserve"> defendants who enter</w:t>
      </w:r>
      <w:r w:rsidR="00E245B3">
        <w:rPr>
          <w:sz w:val="28"/>
          <w:szCs w:val="28"/>
        </w:rPr>
        <w:t>ed</w:t>
      </w:r>
      <w:r w:rsidR="003B5815">
        <w:rPr>
          <w:sz w:val="28"/>
          <w:szCs w:val="28"/>
        </w:rPr>
        <w:t xml:space="preserve"> a </w:t>
      </w:r>
      <w:r w:rsidR="00E245B3">
        <w:rPr>
          <w:sz w:val="28"/>
          <w:szCs w:val="28"/>
        </w:rPr>
        <w:t>plea of guilty or no contest,</w:t>
      </w:r>
      <w:r w:rsidR="003B5815">
        <w:rPr>
          <w:sz w:val="28"/>
          <w:szCs w:val="28"/>
        </w:rPr>
        <w:t xml:space="preserve"> who admit</w:t>
      </w:r>
      <w:r w:rsidR="00E245B3">
        <w:rPr>
          <w:sz w:val="28"/>
          <w:szCs w:val="28"/>
        </w:rPr>
        <w:t>ted</w:t>
      </w:r>
      <w:r w:rsidR="003B5815">
        <w:rPr>
          <w:sz w:val="28"/>
          <w:szCs w:val="28"/>
        </w:rPr>
        <w:t xml:space="preserve"> a probation violation</w:t>
      </w:r>
      <w:r w:rsidR="00E245B3">
        <w:rPr>
          <w:sz w:val="28"/>
          <w:szCs w:val="28"/>
        </w:rPr>
        <w:t>, or who had a</w:t>
      </w:r>
      <w:r w:rsidR="00E037C4">
        <w:rPr>
          <w:sz w:val="28"/>
          <w:szCs w:val="28"/>
        </w:rPr>
        <w:t>n automatic</w:t>
      </w:r>
      <w:r w:rsidR="00E245B3">
        <w:rPr>
          <w:sz w:val="28"/>
          <w:szCs w:val="28"/>
        </w:rPr>
        <w:t xml:space="preserve"> probation violation based on a guilty </w:t>
      </w:r>
      <w:r w:rsidR="00586CAC">
        <w:rPr>
          <w:sz w:val="28"/>
          <w:szCs w:val="28"/>
        </w:rPr>
        <w:t xml:space="preserve">or no contest </w:t>
      </w:r>
      <w:r w:rsidR="00E245B3">
        <w:rPr>
          <w:sz w:val="28"/>
          <w:szCs w:val="28"/>
        </w:rPr>
        <w:t>plea in another case</w:t>
      </w:r>
      <w:r w:rsidR="003B5815">
        <w:rPr>
          <w:sz w:val="28"/>
          <w:szCs w:val="28"/>
        </w:rPr>
        <w:t xml:space="preserve">.  </w:t>
      </w:r>
      <w:r w:rsidR="00586CAC">
        <w:rPr>
          <w:sz w:val="28"/>
          <w:szCs w:val="28"/>
        </w:rPr>
        <w:t xml:space="preserve">Rule 32 and Rule 33 are both </w:t>
      </w:r>
      <w:r w:rsidR="00E245B3">
        <w:rPr>
          <w:sz w:val="28"/>
          <w:szCs w:val="28"/>
        </w:rPr>
        <w:t>self-contained</w:t>
      </w:r>
      <w:r w:rsidR="00586CAC">
        <w:rPr>
          <w:sz w:val="28"/>
          <w:szCs w:val="28"/>
        </w:rPr>
        <w:t xml:space="preserve">. </w:t>
      </w:r>
      <w:r w:rsidR="00B23C87">
        <w:rPr>
          <w:sz w:val="28"/>
          <w:szCs w:val="28"/>
        </w:rPr>
        <w:t xml:space="preserve"> </w:t>
      </w:r>
      <w:r w:rsidR="0052017D">
        <w:rPr>
          <w:sz w:val="28"/>
          <w:szCs w:val="28"/>
        </w:rPr>
        <w:t>A defendant will have no need to consult the companion rule during the process of requesting post-conviction relief because e</w:t>
      </w:r>
      <w:r w:rsidR="00586CAC">
        <w:rPr>
          <w:sz w:val="28"/>
          <w:szCs w:val="28"/>
        </w:rPr>
        <w:t xml:space="preserve">ach rule </w:t>
      </w:r>
      <w:r w:rsidR="00B23C87">
        <w:rPr>
          <w:sz w:val="28"/>
          <w:szCs w:val="28"/>
        </w:rPr>
        <w:t xml:space="preserve">provides the </w:t>
      </w:r>
      <w:r w:rsidR="00D37612">
        <w:rPr>
          <w:sz w:val="28"/>
          <w:szCs w:val="28"/>
        </w:rPr>
        <w:t xml:space="preserve">necessary </w:t>
      </w:r>
      <w:r w:rsidR="00B23C87">
        <w:rPr>
          <w:sz w:val="28"/>
          <w:szCs w:val="28"/>
        </w:rPr>
        <w:t xml:space="preserve">provisions for a defendant </w:t>
      </w:r>
      <w:r w:rsidR="00D37612">
        <w:rPr>
          <w:sz w:val="28"/>
          <w:szCs w:val="28"/>
        </w:rPr>
        <w:t>to initiate and progress through a post-conviction proceeding</w:t>
      </w:r>
      <w:r w:rsidR="00E037C4">
        <w:rPr>
          <w:sz w:val="28"/>
          <w:szCs w:val="28"/>
        </w:rPr>
        <w:t xml:space="preserve">.  </w:t>
      </w:r>
    </w:p>
    <w:p w14:paraId="43E3A219" w14:textId="360F4468" w:rsidR="003452DF" w:rsidRDefault="003B5815" w:rsidP="003B5815">
      <w:pPr>
        <w:pStyle w:val="ListParagraph"/>
        <w:spacing w:line="480" w:lineRule="auto"/>
        <w:ind w:left="0" w:firstLine="720"/>
        <w:rPr>
          <w:rFonts w:ascii="Times New Roman" w:hAnsi="Times New Roman" w:cs="Times New Roman"/>
          <w:sz w:val="28"/>
          <w:szCs w:val="28"/>
        </w:rPr>
      </w:pPr>
      <w:r>
        <w:rPr>
          <w:rFonts w:ascii="Times New Roman" w:hAnsi="Times New Roman" w:cs="Times New Roman"/>
          <w:sz w:val="28"/>
          <w:szCs w:val="28"/>
        </w:rPr>
        <w:t xml:space="preserve">The Task Force proposed other </w:t>
      </w:r>
      <w:r w:rsidR="00E037C4">
        <w:rPr>
          <w:rFonts w:ascii="Times New Roman" w:hAnsi="Times New Roman" w:cs="Times New Roman"/>
          <w:sz w:val="28"/>
          <w:szCs w:val="28"/>
        </w:rPr>
        <w:t xml:space="preserve">significant </w:t>
      </w:r>
      <w:r>
        <w:rPr>
          <w:rFonts w:ascii="Times New Roman" w:hAnsi="Times New Roman" w:cs="Times New Roman"/>
          <w:sz w:val="28"/>
          <w:szCs w:val="28"/>
        </w:rPr>
        <w:t>substantive changes</w:t>
      </w:r>
      <w:r w:rsidR="00352898">
        <w:rPr>
          <w:rFonts w:ascii="Times New Roman" w:hAnsi="Times New Roman" w:cs="Times New Roman"/>
          <w:sz w:val="28"/>
          <w:szCs w:val="28"/>
        </w:rPr>
        <w:t>—</w:t>
      </w:r>
      <w:r w:rsidR="003667CC">
        <w:rPr>
          <w:rFonts w:ascii="Times New Roman" w:hAnsi="Times New Roman" w:cs="Times New Roman"/>
          <w:sz w:val="28"/>
          <w:szCs w:val="28"/>
        </w:rPr>
        <w:t>described in greater detail in the petition and the amended petition</w:t>
      </w:r>
      <w:r w:rsidR="00352898">
        <w:rPr>
          <w:rFonts w:ascii="Times New Roman" w:hAnsi="Times New Roman" w:cs="Times New Roman"/>
          <w:sz w:val="28"/>
          <w:szCs w:val="28"/>
        </w:rPr>
        <w:t>—</w:t>
      </w:r>
      <w:r>
        <w:rPr>
          <w:rFonts w:ascii="Times New Roman" w:hAnsi="Times New Roman" w:cs="Times New Roman"/>
          <w:sz w:val="28"/>
          <w:szCs w:val="28"/>
        </w:rPr>
        <w:t>including the following:</w:t>
      </w:r>
    </w:p>
    <w:p w14:paraId="209CBBC3" w14:textId="0A1A5686" w:rsidR="00435065" w:rsidRDefault="003B5815" w:rsidP="00897A28">
      <w:pPr>
        <w:pStyle w:val="ListParagraph"/>
        <w:numPr>
          <w:ilvl w:val="0"/>
          <w:numId w:val="9"/>
        </w:numPr>
        <w:spacing w:line="276" w:lineRule="auto"/>
        <w:rPr>
          <w:rFonts w:ascii="Times New Roman" w:hAnsi="Times New Roman" w:cs="Times New Roman"/>
          <w:sz w:val="28"/>
          <w:szCs w:val="28"/>
        </w:rPr>
      </w:pPr>
      <w:r w:rsidRPr="00E11521">
        <w:rPr>
          <w:rFonts w:ascii="Times New Roman" w:hAnsi="Times New Roman" w:cs="Times New Roman"/>
          <w:sz w:val="28"/>
          <w:szCs w:val="28"/>
        </w:rPr>
        <w:t>It clarified the substantive provisions of Rule 32.1</w:t>
      </w:r>
      <w:r w:rsidR="00586CAC" w:rsidRPr="00E11521">
        <w:rPr>
          <w:rFonts w:ascii="Times New Roman" w:hAnsi="Times New Roman" w:cs="Times New Roman"/>
          <w:sz w:val="28"/>
          <w:szCs w:val="28"/>
        </w:rPr>
        <w:t>(a)-(h)—</w:t>
      </w:r>
      <w:r w:rsidRPr="00E11521">
        <w:rPr>
          <w:rFonts w:ascii="Times New Roman" w:hAnsi="Times New Roman" w:cs="Times New Roman"/>
          <w:sz w:val="28"/>
          <w:szCs w:val="28"/>
        </w:rPr>
        <w:t>and new Rule 33.1</w:t>
      </w:r>
      <w:r w:rsidR="00586CAC" w:rsidRPr="00E11521">
        <w:rPr>
          <w:rFonts w:ascii="Times New Roman" w:hAnsi="Times New Roman" w:cs="Times New Roman"/>
          <w:sz w:val="28"/>
          <w:szCs w:val="28"/>
        </w:rPr>
        <w:t>(a)-(h)—</w:t>
      </w:r>
      <w:r w:rsidRPr="00E11521">
        <w:rPr>
          <w:rFonts w:ascii="Times New Roman" w:hAnsi="Times New Roman" w:cs="Times New Roman"/>
          <w:sz w:val="28"/>
          <w:szCs w:val="28"/>
        </w:rPr>
        <w:t>which con</w:t>
      </w:r>
      <w:r w:rsidR="006B38A3">
        <w:rPr>
          <w:rFonts w:ascii="Times New Roman" w:hAnsi="Times New Roman" w:cs="Times New Roman"/>
          <w:sz w:val="28"/>
          <w:szCs w:val="28"/>
        </w:rPr>
        <w:t>tain</w:t>
      </w:r>
      <w:r w:rsidR="00B23C87" w:rsidRPr="00E11521">
        <w:rPr>
          <w:rFonts w:ascii="Times New Roman" w:hAnsi="Times New Roman" w:cs="Times New Roman"/>
          <w:sz w:val="28"/>
          <w:szCs w:val="28"/>
        </w:rPr>
        <w:t xml:space="preserve"> the</w:t>
      </w:r>
      <w:r w:rsidRPr="00E11521">
        <w:rPr>
          <w:rFonts w:ascii="Times New Roman" w:hAnsi="Times New Roman" w:cs="Times New Roman"/>
          <w:sz w:val="28"/>
          <w:szCs w:val="28"/>
        </w:rPr>
        <w:t xml:space="preserve"> grounds for post-conviction relief.</w:t>
      </w:r>
    </w:p>
    <w:p w14:paraId="2F7617FD" w14:textId="77777777" w:rsidR="0052017D" w:rsidRPr="00E11521" w:rsidRDefault="0052017D" w:rsidP="0052017D">
      <w:pPr>
        <w:pStyle w:val="ListParagraph"/>
        <w:spacing w:line="276" w:lineRule="auto"/>
        <w:ind w:left="1080" w:firstLine="0"/>
        <w:rPr>
          <w:rFonts w:ascii="Times New Roman" w:hAnsi="Times New Roman" w:cs="Times New Roman"/>
          <w:sz w:val="28"/>
          <w:szCs w:val="28"/>
        </w:rPr>
      </w:pPr>
    </w:p>
    <w:p w14:paraId="0C97267A" w14:textId="553D4EF4" w:rsidR="003B5815" w:rsidRDefault="003B5815" w:rsidP="00435065">
      <w:pPr>
        <w:pStyle w:val="ListParagraph"/>
        <w:numPr>
          <w:ilvl w:val="0"/>
          <w:numId w:val="9"/>
        </w:numPr>
        <w:spacing w:line="276" w:lineRule="auto"/>
        <w:rPr>
          <w:rFonts w:ascii="Times New Roman" w:hAnsi="Times New Roman" w:cs="Times New Roman"/>
          <w:sz w:val="28"/>
          <w:szCs w:val="28"/>
        </w:rPr>
      </w:pPr>
      <w:r w:rsidRPr="00250E95">
        <w:rPr>
          <w:rFonts w:ascii="Times New Roman" w:hAnsi="Times New Roman" w:cs="Times New Roman"/>
          <w:sz w:val="28"/>
          <w:szCs w:val="28"/>
        </w:rPr>
        <w:t>It addressed an issue</w:t>
      </w:r>
      <w:r w:rsidR="00E037C4">
        <w:rPr>
          <w:rFonts w:ascii="Times New Roman" w:hAnsi="Times New Roman" w:cs="Times New Roman"/>
          <w:sz w:val="28"/>
          <w:szCs w:val="28"/>
        </w:rPr>
        <w:t xml:space="preserve"> regarding Rule 32.1(h)</w:t>
      </w:r>
      <w:r w:rsidRPr="00250E95">
        <w:rPr>
          <w:rFonts w:ascii="Times New Roman" w:hAnsi="Times New Roman" w:cs="Times New Roman"/>
          <w:sz w:val="28"/>
          <w:szCs w:val="28"/>
        </w:rPr>
        <w:t xml:space="preserve"> noted by the </w:t>
      </w:r>
      <w:r w:rsidR="006B38A3">
        <w:rPr>
          <w:rFonts w:ascii="Times New Roman" w:hAnsi="Times New Roman" w:cs="Times New Roman"/>
          <w:sz w:val="28"/>
          <w:szCs w:val="28"/>
        </w:rPr>
        <w:t xml:space="preserve">Supreme </w:t>
      </w:r>
      <w:r w:rsidRPr="00250E95">
        <w:rPr>
          <w:rFonts w:ascii="Times New Roman" w:hAnsi="Times New Roman" w:cs="Times New Roman"/>
          <w:sz w:val="28"/>
          <w:szCs w:val="28"/>
        </w:rPr>
        <w:t xml:space="preserve">Court in </w:t>
      </w:r>
      <w:r w:rsidRPr="00B23C87">
        <w:rPr>
          <w:rFonts w:ascii="Times New Roman" w:hAnsi="Times New Roman" w:cs="Times New Roman"/>
          <w:i/>
          <w:sz w:val="28"/>
          <w:szCs w:val="28"/>
        </w:rPr>
        <w:t>State v. Miles</w:t>
      </w:r>
      <w:r w:rsidRPr="00250E95">
        <w:rPr>
          <w:rFonts w:ascii="Times New Roman" w:hAnsi="Times New Roman" w:cs="Times New Roman"/>
          <w:sz w:val="28"/>
          <w:szCs w:val="28"/>
        </w:rPr>
        <w:t xml:space="preserve">, </w:t>
      </w:r>
      <w:r w:rsidR="00AB73C8" w:rsidRPr="0095461F">
        <w:rPr>
          <w:rFonts w:ascii="Times New Roman" w:hAnsi="Times New Roman" w:cs="Times New Roman"/>
          <w:sz w:val="28"/>
          <w:szCs w:val="28"/>
        </w:rPr>
        <w:t>243 Ariz. 511 (2018)</w:t>
      </w:r>
      <w:r w:rsidR="00AB73C8">
        <w:rPr>
          <w:rFonts w:ascii="Times New Roman" w:hAnsi="Times New Roman" w:cs="Times New Roman"/>
          <w:sz w:val="28"/>
          <w:szCs w:val="28"/>
        </w:rPr>
        <w:t xml:space="preserve"> </w:t>
      </w:r>
      <w:r w:rsidRPr="00250E95">
        <w:rPr>
          <w:rFonts w:ascii="Times New Roman" w:hAnsi="Times New Roman" w:cs="Times New Roman"/>
          <w:sz w:val="28"/>
          <w:szCs w:val="28"/>
        </w:rPr>
        <w:t>concerning post-conviction relief from a death penalty.</w:t>
      </w:r>
    </w:p>
    <w:p w14:paraId="2B00DB99" w14:textId="77777777" w:rsidR="00435065" w:rsidRPr="00435065" w:rsidRDefault="00435065" w:rsidP="00435065">
      <w:pPr>
        <w:pStyle w:val="ListParagraph"/>
        <w:rPr>
          <w:rFonts w:ascii="Times New Roman" w:hAnsi="Times New Roman" w:cs="Times New Roman"/>
          <w:sz w:val="28"/>
          <w:szCs w:val="28"/>
        </w:rPr>
      </w:pPr>
    </w:p>
    <w:p w14:paraId="1E5EFF61" w14:textId="3ECEE87B" w:rsidR="003B5815" w:rsidRDefault="003B5815" w:rsidP="00435065">
      <w:pPr>
        <w:pStyle w:val="ListParagraph"/>
        <w:numPr>
          <w:ilvl w:val="0"/>
          <w:numId w:val="9"/>
        </w:numPr>
        <w:spacing w:line="276" w:lineRule="auto"/>
        <w:rPr>
          <w:rFonts w:ascii="Times New Roman" w:hAnsi="Times New Roman" w:cs="Times New Roman"/>
          <w:sz w:val="28"/>
          <w:szCs w:val="28"/>
        </w:rPr>
      </w:pPr>
      <w:r w:rsidRPr="00250E95">
        <w:rPr>
          <w:rFonts w:ascii="Times New Roman" w:hAnsi="Times New Roman" w:cs="Times New Roman"/>
          <w:sz w:val="28"/>
          <w:szCs w:val="28"/>
        </w:rPr>
        <w:t xml:space="preserve">It revised the rules on preclusion </w:t>
      </w:r>
      <w:r w:rsidR="00B23C87">
        <w:rPr>
          <w:rFonts w:ascii="Times New Roman" w:hAnsi="Times New Roman" w:cs="Times New Roman"/>
          <w:sz w:val="28"/>
          <w:szCs w:val="28"/>
        </w:rPr>
        <w:t>to</w:t>
      </w:r>
      <w:r w:rsidRPr="00250E95">
        <w:rPr>
          <w:rFonts w:ascii="Times New Roman" w:hAnsi="Times New Roman" w:cs="Times New Roman"/>
          <w:sz w:val="28"/>
          <w:szCs w:val="28"/>
        </w:rPr>
        <w:t xml:space="preserve"> permit trial courts to avoid manifest injustice by considering claims, such as lack of subject matter jurisdiction or an unlawful sentence, </w:t>
      </w:r>
      <w:r w:rsidR="00B23C87">
        <w:rPr>
          <w:rFonts w:ascii="Times New Roman" w:hAnsi="Times New Roman" w:cs="Times New Roman"/>
          <w:sz w:val="28"/>
          <w:szCs w:val="28"/>
        </w:rPr>
        <w:t>which</w:t>
      </w:r>
      <w:r w:rsidRPr="00250E95">
        <w:rPr>
          <w:rFonts w:ascii="Times New Roman" w:hAnsi="Times New Roman" w:cs="Times New Roman"/>
          <w:sz w:val="28"/>
          <w:szCs w:val="28"/>
        </w:rPr>
        <w:t xml:space="preserve"> the defendant did not previously </w:t>
      </w:r>
      <w:r w:rsidR="00586CAC" w:rsidRPr="00250E95">
        <w:rPr>
          <w:rFonts w:ascii="Times New Roman" w:hAnsi="Times New Roman" w:cs="Times New Roman"/>
          <w:sz w:val="28"/>
          <w:szCs w:val="28"/>
        </w:rPr>
        <w:t>raise,</w:t>
      </w:r>
      <w:r w:rsidRPr="00250E95">
        <w:rPr>
          <w:rFonts w:ascii="Times New Roman" w:hAnsi="Times New Roman" w:cs="Times New Roman"/>
          <w:sz w:val="28"/>
          <w:szCs w:val="28"/>
        </w:rPr>
        <w:t xml:space="preserve"> and </w:t>
      </w:r>
      <w:r w:rsidR="00586CAC">
        <w:rPr>
          <w:rFonts w:ascii="Times New Roman" w:hAnsi="Times New Roman" w:cs="Times New Roman"/>
          <w:sz w:val="28"/>
          <w:szCs w:val="28"/>
        </w:rPr>
        <w:t>which</w:t>
      </w:r>
      <w:r w:rsidRPr="00250E95">
        <w:rPr>
          <w:rFonts w:ascii="Times New Roman" w:hAnsi="Times New Roman" w:cs="Times New Roman"/>
          <w:sz w:val="28"/>
          <w:szCs w:val="28"/>
        </w:rPr>
        <w:t xml:space="preserve"> current Rule 32 </w:t>
      </w:r>
      <w:r w:rsidR="00B23C87">
        <w:rPr>
          <w:rFonts w:ascii="Times New Roman" w:hAnsi="Times New Roman" w:cs="Times New Roman"/>
          <w:sz w:val="28"/>
          <w:szCs w:val="28"/>
        </w:rPr>
        <w:t xml:space="preserve">might otherwise </w:t>
      </w:r>
      <w:r w:rsidRPr="00250E95">
        <w:rPr>
          <w:rFonts w:ascii="Times New Roman" w:hAnsi="Times New Roman" w:cs="Times New Roman"/>
          <w:sz w:val="28"/>
          <w:szCs w:val="28"/>
        </w:rPr>
        <w:t>preclude.</w:t>
      </w:r>
    </w:p>
    <w:p w14:paraId="52FD3A4F" w14:textId="77777777" w:rsidR="00435065" w:rsidRPr="00435065" w:rsidRDefault="00435065" w:rsidP="00435065">
      <w:pPr>
        <w:pStyle w:val="ListParagraph"/>
        <w:rPr>
          <w:rFonts w:ascii="Times New Roman" w:hAnsi="Times New Roman" w:cs="Times New Roman"/>
          <w:sz w:val="28"/>
          <w:szCs w:val="28"/>
        </w:rPr>
      </w:pPr>
    </w:p>
    <w:p w14:paraId="4FA2DCCF" w14:textId="1BB69355" w:rsidR="003B5815" w:rsidRDefault="00586CAC" w:rsidP="00435065">
      <w:pPr>
        <w:pStyle w:val="ListParagraph"/>
        <w:numPr>
          <w:ilvl w:val="0"/>
          <w:numId w:val="9"/>
        </w:numPr>
        <w:spacing w:line="276" w:lineRule="auto"/>
        <w:rPr>
          <w:rFonts w:ascii="Times New Roman" w:hAnsi="Times New Roman" w:cs="Times New Roman"/>
          <w:sz w:val="28"/>
          <w:szCs w:val="28"/>
        </w:rPr>
      </w:pPr>
      <w:r>
        <w:rPr>
          <w:rFonts w:ascii="Times New Roman" w:hAnsi="Times New Roman" w:cs="Times New Roman"/>
          <w:sz w:val="28"/>
          <w:szCs w:val="28"/>
        </w:rPr>
        <w:lastRenderedPageBreak/>
        <w:t>Although the proposed rules</w:t>
      </w:r>
      <w:r w:rsidR="003B5815" w:rsidRPr="00250E95">
        <w:rPr>
          <w:rFonts w:ascii="Times New Roman" w:hAnsi="Times New Roman" w:cs="Times New Roman"/>
          <w:sz w:val="28"/>
          <w:szCs w:val="28"/>
        </w:rPr>
        <w:t xml:space="preserve"> retain time limits for raising claims under Rule 32.1(a) and 33.1(a)</w:t>
      </w:r>
      <w:r w:rsidR="000C0DC8">
        <w:rPr>
          <w:rFonts w:ascii="Times New Roman" w:hAnsi="Times New Roman" w:cs="Times New Roman"/>
          <w:sz w:val="28"/>
          <w:szCs w:val="28"/>
        </w:rPr>
        <w:t>—</w:t>
      </w:r>
      <w:r w:rsidR="00B23C87">
        <w:rPr>
          <w:rFonts w:ascii="Times New Roman" w:hAnsi="Times New Roman" w:cs="Times New Roman"/>
          <w:sz w:val="28"/>
          <w:szCs w:val="28"/>
        </w:rPr>
        <w:t>the most common claims, for ineffective assistance of counsel, are section (a) claims</w:t>
      </w:r>
      <w:r w:rsidR="000C0DC8">
        <w:rPr>
          <w:rFonts w:ascii="Times New Roman" w:hAnsi="Times New Roman" w:cs="Times New Roman"/>
          <w:sz w:val="28"/>
          <w:szCs w:val="28"/>
        </w:rPr>
        <w:t>—</w:t>
      </w:r>
      <w:r>
        <w:rPr>
          <w:rFonts w:ascii="Times New Roman" w:hAnsi="Times New Roman" w:cs="Times New Roman"/>
          <w:sz w:val="28"/>
          <w:szCs w:val="28"/>
        </w:rPr>
        <w:t>they also</w:t>
      </w:r>
      <w:r w:rsidR="003B5815" w:rsidRPr="00250E95">
        <w:rPr>
          <w:rFonts w:ascii="Times New Roman" w:hAnsi="Times New Roman" w:cs="Times New Roman"/>
          <w:sz w:val="28"/>
          <w:szCs w:val="28"/>
        </w:rPr>
        <w:t xml:space="preserve"> relax the time for filing (b) through (h) claims</w:t>
      </w:r>
      <w:r>
        <w:rPr>
          <w:rFonts w:ascii="Times New Roman" w:hAnsi="Times New Roman" w:cs="Times New Roman"/>
          <w:sz w:val="28"/>
          <w:szCs w:val="28"/>
        </w:rPr>
        <w:t>.  A defendant must file a claim under (b) through (h) within</w:t>
      </w:r>
      <w:r w:rsidR="003B5815" w:rsidRPr="00250E95">
        <w:rPr>
          <w:rFonts w:ascii="Times New Roman" w:hAnsi="Times New Roman" w:cs="Times New Roman"/>
          <w:sz w:val="28"/>
          <w:szCs w:val="28"/>
        </w:rPr>
        <w:t xml:space="preserve"> “a reasonable time” after the defendant becomes aware of the basis of the claim.</w:t>
      </w:r>
    </w:p>
    <w:p w14:paraId="6A90349C" w14:textId="77777777" w:rsidR="00AB73C8" w:rsidRPr="00AB73C8" w:rsidRDefault="00AB73C8" w:rsidP="00AB73C8">
      <w:pPr>
        <w:pStyle w:val="ListParagraph"/>
        <w:rPr>
          <w:rFonts w:ascii="Times New Roman" w:hAnsi="Times New Roman" w:cs="Times New Roman"/>
          <w:sz w:val="28"/>
          <w:szCs w:val="28"/>
        </w:rPr>
      </w:pPr>
    </w:p>
    <w:p w14:paraId="49C97597" w14:textId="50B0FB2B" w:rsidR="00AB73C8" w:rsidRDefault="00AB73C8" w:rsidP="00AB73C8">
      <w:pPr>
        <w:pStyle w:val="ListParagraph"/>
        <w:numPr>
          <w:ilvl w:val="0"/>
          <w:numId w:val="9"/>
        </w:numPr>
        <w:spacing w:line="276" w:lineRule="auto"/>
        <w:rPr>
          <w:rFonts w:ascii="Times New Roman" w:hAnsi="Times New Roman" w:cs="Times New Roman"/>
          <w:sz w:val="28"/>
          <w:szCs w:val="28"/>
        </w:rPr>
      </w:pPr>
      <w:r w:rsidRPr="00250E95">
        <w:rPr>
          <w:rFonts w:ascii="Times New Roman" w:hAnsi="Times New Roman" w:cs="Times New Roman"/>
          <w:sz w:val="28"/>
          <w:szCs w:val="28"/>
        </w:rPr>
        <w:t>It drafted a rule that would allow pre-petition discovery if the defendant met specified requirements.</w:t>
      </w:r>
    </w:p>
    <w:p w14:paraId="1A7DB066" w14:textId="77777777" w:rsidR="00AB73C8" w:rsidRPr="00AB73C8" w:rsidRDefault="00AB73C8" w:rsidP="00AB73C8">
      <w:pPr>
        <w:pStyle w:val="ListParagraph"/>
        <w:rPr>
          <w:rFonts w:ascii="Times New Roman" w:hAnsi="Times New Roman" w:cs="Times New Roman"/>
          <w:sz w:val="28"/>
          <w:szCs w:val="28"/>
        </w:rPr>
      </w:pPr>
    </w:p>
    <w:p w14:paraId="4295093D" w14:textId="75CF1999" w:rsidR="00AB73C8" w:rsidRPr="00AB73C8" w:rsidRDefault="00AB73C8" w:rsidP="00AB73C8">
      <w:pPr>
        <w:pStyle w:val="ListParagraph"/>
        <w:numPr>
          <w:ilvl w:val="0"/>
          <w:numId w:val="9"/>
        </w:numPr>
        <w:spacing w:line="276" w:lineRule="auto"/>
        <w:rPr>
          <w:rFonts w:ascii="Times New Roman" w:hAnsi="Times New Roman" w:cs="Times New Roman"/>
          <w:sz w:val="28"/>
          <w:szCs w:val="28"/>
        </w:rPr>
      </w:pPr>
      <w:r w:rsidRPr="00AB73C8">
        <w:rPr>
          <w:rFonts w:ascii="Times New Roman" w:hAnsi="Times New Roman" w:cs="Times New Roman"/>
          <w:sz w:val="28"/>
          <w:szCs w:val="28"/>
        </w:rPr>
        <w:t xml:space="preserve">It drafted provisions </w:t>
      </w:r>
      <w:r w:rsidR="006B38A3">
        <w:rPr>
          <w:rFonts w:ascii="Times New Roman" w:hAnsi="Times New Roman" w:cs="Times New Roman"/>
          <w:sz w:val="28"/>
          <w:szCs w:val="28"/>
        </w:rPr>
        <w:t>regarding</w:t>
      </w:r>
      <w:r w:rsidRPr="00AB73C8">
        <w:rPr>
          <w:rFonts w:ascii="Times New Roman" w:hAnsi="Times New Roman" w:cs="Times New Roman"/>
          <w:sz w:val="28"/>
          <w:szCs w:val="28"/>
        </w:rPr>
        <w:t xml:space="preserve"> fil</w:t>
      </w:r>
      <w:r w:rsidR="00352898">
        <w:rPr>
          <w:rFonts w:ascii="Times New Roman" w:hAnsi="Times New Roman" w:cs="Times New Roman"/>
          <w:sz w:val="28"/>
          <w:szCs w:val="28"/>
        </w:rPr>
        <w:t>e-</w:t>
      </w:r>
      <w:r w:rsidRPr="00AB73C8">
        <w:rPr>
          <w:rFonts w:ascii="Times New Roman" w:hAnsi="Times New Roman" w:cs="Times New Roman"/>
          <w:sz w:val="28"/>
          <w:szCs w:val="28"/>
        </w:rPr>
        <w:t>sharing and confidentiality when successor PCR counsel appear</w:t>
      </w:r>
      <w:r w:rsidR="000C0DC8">
        <w:rPr>
          <w:rFonts w:ascii="Times New Roman" w:hAnsi="Times New Roman" w:cs="Times New Roman"/>
          <w:sz w:val="28"/>
          <w:szCs w:val="28"/>
        </w:rPr>
        <w:t>s</w:t>
      </w:r>
      <w:r w:rsidRPr="00AB73C8">
        <w:rPr>
          <w:rFonts w:ascii="Times New Roman" w:hAnsi="Times New Roman" w:cs="Times New Roman"/>
          <w:sz w:val="28"/>
          <w:szCs w:val="28"/>
        </w:rPr>
        <w:t xml:space="preserve"> in a </w:t>
      </w:r>
      <w:r w:rsidR="00F97F9F" w:rsidRPr="00AB73C8">
        <w:rPr>
          <w:rFonts w:ascii="Times New Roman" w:hAnsi="Times New Roman" w:cs="Times New Roman"/>
          <w:sz w:val="28"/>
          <w:szCs w:val="28"/>
        </w:rPr>
        <w:t>case</w:t>
      </w:r>
      <w:r w:rsidR="00F97F9F">
        <w:rPr>
          <w:rFonts w:ascii="Times New Roman" w:hAnsi="Times New Roman" w:cs="Times New Roman"/>
          <w:sz w:val="28"/>
          <w:szCs w:val="28"/>
        </w:rPr>
        <w:t>,</w:t>
      </w:r>
      <w:r w:rsidR="00F97F9F" w:rsidRPr="00AB73C8">
        <w:rPr>
          <w:rFonts w:ascii="Times New Roman" w:hAnsi="Times New Roman" w:cs="Times New Roman"/>
          <w:sz w:val="28"/>
          <w:szCs w:val="28"/>
        </w:rPr>
        <w:t xml:space="preserve"> and</w:t>
      </w:r>
      <w:r w:rsidRPr="00AB73C8">
        <w:rPr>
          <w:rFonts w:ascii="Times New Roman" w:hAnsi="Times New Roman" w:cs="Times New Roman"/>
          <w:sz w:val="28"/>
          <w:szCs w:val="28"/>
        </w:rPr>
        <w:t xml:space="preserve"> </w:t>
      </w:r>
      <w:r w:rsidR="00F97F9F">
        <w:rPr>
          <w:rFonts w:ascii="Times New Roman" w:hAnsi="Times New Roman" w:cs="Times New Roman"/>
          <w:sz w:val="28"/>
          <w:szCs w:val="28"/>
        </w:rPr>
        <w:t xml:space="preserve">a provision </w:t>
      </w:r>
      <w:r w:rsidR="006B38A3">
        <w:rPr>
          <w:rFonts w:ascii="Times New Roman" w:hAnsi="Times New Roman" w:cs="Times New Roman"/>
          <w:sz w:val="28"/>
          <w:szCs w:val="28"/>
        </w:rPr>
        <w:t xml:space="preserve">concerning </w:t>
      </w:r>
      <w:r w:rsidRPr="00AB73C8">
        <w:rPr>
          <w:rFonts w:ascii="Times New Roman" w:hAnsi="Times New Roman" w:cs="Times New Roman"/>
          <w:sz w:val="28"/>
          <w:szCs w:val="28"/>
        </w:rPr>
        <w:t xml:space="preserve">waiver of the attorney-client privilege when </w:t>
      </w:r>
      <w:r w:rsidR="00352898">
        <w:rPr>
          <w:rFonts w:ascii="Times New Roman" w:hAnsi="Times New Roman" w:cs="Times New Roman"/>
          <w:sz w:val="28"/>
          <w:szCs w:val="28"/>
        </w:rPr>
        <w:t>the</w:t>
      </w:r>
      <w:r w:rsidRPr="00AB73C8">
        <w:rPr>
          <w:rFonts w:ascii="Times New Roman" w:hAnsi="Times New Roman" w:cs="Times New Roman"/>
          <w:sz w:val="28"/>
          <w:szCs w:val="28"/>
        </w:rPr>
        <w:t xml:space="preserve"> defendant raises a claim of ineffective assistance of counsel.</w:t>
      </w:r>
    </w:p>
    <w:p w14:paraId="40B84781" w14:textId="77777777" w:rsidR="00435065" w:rsidRPr="00435065" w:rsidRDefault="00435065" w:rsidP="00435065">
      <w:pPr>
        <w:pStyle w:val="ListParagraph"/>
        <w:rPr>
          <w:rFonts w:ascii="Times New Roman" w:hAnsi="Times New Roman" w:cs="Times New Roman"/>
          <w:sz w:val="28"/>
          <w:szCs w:val="28"/>
        </w:rPr>
      </w:pPr>
    </w:p>
    <w:p w14:paraId="028098DC" w14:textId="579A1EDF" w:rsidR="003B5815" w:rsidRDefault="00586CAC" w:rsidP="00435065">
      <w:pPr>
        <w:pStyle w:val="ListParagraph"/>
        <w:numPr>
          <w:ilvl w:val="0"/>
          <w:numId w:val="9"/>
        </w:numPr>
        <w:spacing w:line="276" w:lineRule="auto"/>
        <w:rPr>
          <w:rFonts w:ascii="Times New Roman" w:hAnsi="Times New Roman" w:cs="Times New Roman"/>
          <w:sz w:val="28"/>
          <w:szCs w:val="28"/>
        </w:rPr>
      </w:pPr>
      <w:r>
        <w:rPr>
          <w:rFonts w:ascii="Times New Roman" w:hAnsi="Times New Roman" w:cs="Times New Roman"/>
          <w:sz w:val="28"/>
          <w:szCs w:val="28"/>
        </w:rPr>
        <w:t>The Task Force</w:t>
      </w:r>
      <w:r w:rsidR="00250E95" w:rsidRPr="00250E95">
        <w:rPr>
          <w:rFonts w:ascii="Times New Roman" w:hAnsi="Times New Roman" w:cs="Times New Roman"/>
          <w:sz w:val="28"/>
          <w:szCs w:val="28"/>
        </w:rPr>
        <w:t xml:space="preserve"> prepared a list of items appointed counsel must consider </w:t>
      </w:r>
      <w:r w:rsidR="000C0DC8">
        <w:rPr>
          <w:rFonts w:ascii="Times New Roman" w:hAnsi="Times New Roman" w:cs="Times New Roman"/>
          <w:sz w:val="28"/>
          <w:szCs w:val="28"/>
        </w:rPr>
        <w:t>before</w:t>
      </w:r>
      <w:r w:rsidR="00250E95" w:rsidRPr="00250E95">
        <w:rPr>
          <w:rFonts w:ascii="Times New Roman" w:hAnsi="Times New Roman" w:cs="Times New Roman"/>
          <w:sz w:val="28"/>
          <w:szCs w:val="28"/>
        </w:rPr>
        <w:t xml:space="preserve"> filing a notice advising </w:t>
      </w:r>
      <w:r w:rsidR="000C0DC8" w:rsidRPr="00250E95">
        <w:rPr>
          <w:rFonts w:ascii="Times New Roman" w:hAnsi="Times New Roman" w:cs="Times New Roman"/>
          <w:sz w:val="28"/>
          <w:szCs w:val="28"/>
        </w:rPr>
        <w:t xml:space="preserve">the court </w:t>
      </w:r>
      <w:r w:rsidR="00250E95" w:rsidRPr="00250E95">
        <w:rPr>
          <w:rFonts w:ascii="Times New Roman" w:hAnsi="Times New Roman" w:cs="Times New Roman"/>
          <w:sz w:val="28"/>
          <w:szCs w:val="28"/>
        </w:rPr>
        <w:t xml:space="preserve">that counsel </w:t>
      </w:r>
      <w:r w:rsidR="00B23C87">
        <w:rPr>
          <w:rFonts w:ascii="Times New Roman" w:hAnsi="Times New Roman" w:cs="Times New Roman"/>
          <w:sz w:val="28"/>
          <w:szCs w:val="28"/>
        </w:rPr>
        <w:t xml:space="preserve">had reviewed the matter and </w:t>
      </w:r>
      <w:r w:rsidR="00250E95" w:rsidRPr="00250E95">
        <w:rPr>
          <w:rFonts w:ascii="Times New Roman" w:hAnsi="Times New Roman" w:cs="Times New Roman"/>
          <w:sz w:val="28"/>
          <w:szCs w:val="28"/>
        </w:rPr>
        <w:t>found no colorable claims.</w:t>
      </w:r>
    </w:p>
    <w:p w14:paraId="56E1F690" w14:textId="77777777" w:rsidR="00AB73C8" w:rsidRPr="00AB73C8" w:rsidRDefault="00AB73C8" w:rsidP="00AB73C8">
      <w:pPr>
        <w:pStyle w:val="ListParagraph"/>
        <w:rPr>
          <w:rFonts w:ascii="Times New Roman" w:hAnsi="Times New Roman" w:cs="Times New Roman"/>
          <w:sz w:val="28"/>
          <w:szCs w:val="28"/>
        </w:rPr>
      </w:pPr>
    </w:p>
    <w:p w14:paraId="5B2288AB" w14:textId="5D3A6EE6" w:rsidR="00AB73C8" w:rsidRDefault="00AB73C8" w:rsidP="00435065">
      <w:pPr>
        <w:pStyle w:val="ListParagraph"/>
        <w:numPr>
          <w:ilvl w:val="0"/>
          <w:numId w:val="9"/>
        </w:numPr>
        <w:spacing w:line="276" w:lineRule="auto"/>
        <w:rPr>
          <w:rFonts w:ascii="Times New Roman" w:hAnsi="Times New Roman" w:cs="Times New Roman"/>
          <w:sz w:val="28"/>
          <w:szCs w:val="28"/>
        </w:rPr>
      </w:pPr>
      <w:r>
        <w:rPr>
          <w:rFonts w:ascii="Times New Roman" w:hAnsi="Times New Roman" w:cs="Times New Roman"/>
          <w:sz w:val="28"/>
          <w:szCs w:val="28"/>
        </w:rPr>
        <w:t xml:space="preserve">It amended rules </w:t>
      </w:r>
      <w:r w:rsidR="003667CC">
        <w:rPr>
          <w:rFonts w:ascii="Times New Roman" w:hAnsi="Times New Roman" w:cs="Times New Roman"/>
          <w:sz w:val="28"/>
          <w:szCs w:val="28"/>
        </w:rPr>
        <w:t>that address</w:t>
      </w:r>
      <w:r>
        <w:rPr>
          <w:rFonts w:ascii="Times New Roman" w:hAnsi="Times New Roman" w:cs="Times New Roman"/>
          <w:sz w:val="28"/>
          <w:szCs w:val="28"/>
        </w:rPr>
        <w:t xml:space="preserve"> public records requests, a change of judge, and the defendant’s competency</w:t>
      </w:r>
      <w:r w:rsidRPr="00AB73C8">
        <w:rPr>
          <w:rFonts w:ascii="Times New Roman" w:hAnsi="Times New Roman" w:cs="Times New Roman"/>
          <w:sz w:val="28"/>
          <w:szCs w:val="28"/>
        </w:rPr>
        <w:t xml:space="preserve"> </w:t>
      </w:r>
      <w:r>
        <w:rPr>
          <w:rFonts w:ascii="Times New Roman" w:hAnsi="Times New Roman" w:cs="Times New Roman"/>
          <w:sz w:val="28"/>
          <w:szCs w:val="28"/>
        </w:rPr>
        <w:t>in post-conviction proceeding</w:t>
      </w:r>
      <w:r w:rsidR="003667CC">
        <w:rPr>
          <w:rFonts w:ascii="Times New Roman" w:hAnsi="Times New Roman" w:cs="Times New Roman"/>
          <w:sz w:val="28"/>
          <w:szCs w:val="28"/>
        </w:rPr>
        <w:t>s; it amended the rule on DNA testing</w:t>
      </w:r>
      <w:r>
        <w:rPr>
          <w:rFonts w:ascii="Times New Roman" w:hAnsi="Times New Roman" w:cs="Times New Roman"/>
          <w:sz w:val="28"/>
          <w:szCs w:val="28"/>
        </w:rPr>
        <w:t>; i</w:t>
      </w:r>
      <w:r w:rsidR="003667CC">
        <w:rPr>
          <w:rFonts w:ascii="Times New Roman" w:hAnsi="Times New Roman" w:cs="Times New Roman"/>
          <w:sz w:val="28"/>
          <w:szCs w:val="28"/>
        </w:rPr>
        <w:t>t expanded page limits for capital PCR petitions</w:t>
      </w:r>
      <w:r w:rsidR="00352898">
        <w:rPr>
          <w:rFonts w:ascii="Times New Roman" w:hAnsi="Times New Roman" w:cs="Times New Roman"/>
          <w:sz w:val="28"/>
          <w:szCs w:val="28"/>
        </w:rPr>
        <w:t>;</w:t>
      </w:r>
      <w:r w:rsidR="003667CC">
        <w:rPr>
          <w:rFonts w:ascii="Times New Roman" w:hAnsi="Times New Roman" w:cs="Times New Roman"/>
          <w:sz w:val="28"/>
          <w:szCs w:val="28"/>
        </w:rPr>
        <w:t xml:space="preserve"> and </w:t>
      </w:r>
      <w:r w:rsidR="00352898">
        <w:rPr>
          <w:rFonts w:ascii="Times New Roman" w:hAnsi="Times New Roman" w:cs="Times New Roman"/>
          <w:sz w:val="28"/>
          <w:szCs w:val="28"/>
        </w:rPr>
        <w:t xml:space="preserve">it </w:t>
      </w:r>
      <w:r w:rsidR="003667CC">
        <w:rPr>
          <w:rFonts w:ascii="Times New Roman" w:hAnsi="Times New Roman" w:cs="Times New Roman"/>
          <w:sz w:val="28"/>
          <w:szCs w:val="28"/>
        </w:rPr>
        <w:t xml:space="preserve">codified the practice of appointing co-counsel </w:t>
      </w:r>
      <w:r w:rsidR="00352898">
        <w:rPr>
          <w:rFonts w:ascii="Times New Roman" w:hAnsi="Times New Roman" w:cs="Times New Roman"/>
          <w:sz w:val="28"/>
          <w:szCs w:val="28"/>
        </w:rPr>
        <w:t>for</w:t>
      </w:r>
      <w:r w:rsidR="003667CC">
        <w:rPr>
          <w:rFonts w:ascii="Times New Roman" w:hAnsi="Times New Roman" w:cs="Times New Roman"/>
          <w:sz w:val="28"/>
          <w:szCs w:val="28"/>
        </w:rPr>
        <w:t xml:space="preserve"> capital post-conviction proceedings.</w:t>
      </w:r>
    </w:p>
    <w:p w14:paraId="29544D6F" w14:textId="2515EACF" w:rsidR="003B5815" w:rsidRPr="003452DF" w:rsidRDefault="00250E95" w:rsidP="00435065">
      <w:pPr>
        <w:spacing w:before="240" w:line="480" w:lineRule="auto"/>
        <w:ind w:firstLine="720"/>
        <w:jc w:val="both"/>
        <w:rPr>
          <w:b/>
          <w:sz w:val="28"/>
          <w:szCs w:val="28"/>
          <w:u w:val="single"/>
        </w:rPr>
      </w:pPr>
      <w:r>
        <w:rPr>
          <w:sz w:val="28"/>
          <w:szCs w:val="28"/>
        </w:rPr>
        <w:t>The Task Force also reorganized individual rules</w:t>
      </w:r>
      <w:r w:rsidR="00E037C4">
        <w:rPr>
          <w:sz w:val="28"/>
          <w:szCs w:val="28"/>
        </w:rPr>
        <w:t>—</w:t>
      </w:r>
      <w:r>
        <w:rPr>
          <w:sz w:val="28"/>
          <w:szCs w:val="28"/>
        </w:rPr>
        <w:t>including but not limited to rules concerning petitions for review</w:t>
      </w:r>
      <w:r w:rsidR="00E037C4">
        <w:rPr>
          <w:sz w:val="28"/>
          <w:szCs w:val="28"/>
        </w:rPr>
        <w:t>—</w:t>
      </w:r>
      <w:r>
        <w:rPr>
          <w:sz w:val="28"/>
          <w:szCs w:val="28"/>
        </w:rPr>
        <w:t xml:space="preserve">to make them easier to locate and understand.  It eliminated unnecessary comments to the current rules.  And it prepared forms that more clearly </w:t>
      </w:r>
      <w:r w:rsidR="00BC5036">
        <w:rPr>
          <w:sz w:val="28"/>
          <w:szCs w:val="28"/>
        </w:rPr>
        <w:t>advise</w:t>
      </w:r>
      <w:r>
        <w:rPr>
          <w:sz w:val="28"/>
          <w:szCs w:val="28"/>
        </w:rPr>
        <w:t xml:space="preserve"> defendants of their </w:t>
      </w:r>
      <w:r w:rsidR="00BC5036">
        <w:rPr>
          <w:sz w:val="28"/>
          <w:szCs w:val="28"/>
        </w:rPr>
        <w:t xml:space="preserve">post-conviction </w:t>
      </w:r>
      <w:r w:rsidR="00E14801">
        <w:rPr>
          <w:sz w:val="28"/>
          <w:szCs w:val="28"/>
        </w:rPr>
        <w:t>rights and</w:t>
      </w:r>
      <w:r>
        <w:rPr>
          <w:sz w:val="28"/>
          <w:szCs w:val="28"/>
        </w:rPr>
        <w:t xml:space="preserve"> </w:t>
      </w:r>
      <w:r w:rsidR="00BC5036">
        <w:rPr>
          <w:sz w:val="28"/>
          <w:szCs w:val="28"/>
        </w:rPr>
        <w:t>delineate</w:t>
      </w:r>
      <w:r>
        <w:rPr>
          <w:sz w:val="28"/>
          <w:szCs w:val="28"/>
        </w:rPr>
        <w:t xml:space="preserve"> the information they </w:t>
      </w:r>
      <w:r w:rsidR="00435065">
        <w:rPr>
          <w:sz w:val="28"/>
          <w:szCs w:val="28"/>
        </w:rPr>
        <w:t>are required to</w:t>
      </w:r>
      <w:r>
        <w:rPr>
          <w:sz w:val="28"/>
          <w:szCs w:val="28"/>
        </w:rPr>
        <w:t xml:space="preserve"> provide </w:t>
      </w:r>
      <w:r w:rsidR="00435065">
        <w:rPr>
          <w:sz w:val="28"/>
          <w:szCs w:val="28"/>
        </w:rPr>
        <w:t xml:space="preserve">to </w:t>
      </w:r>
      <w:r>
        <w:rPr>
          <w:sz w:val="28"/>
          <w:szCs w:val="28"/>
        </w:rPr>
        <w:t xml:space="preserve">the court </w:t>
      </w:r>
      <w:r w:rsidR="00435065">
        <w:rPr>
          <w:sz w:val="28"/>
          <w:szCs w:val="28"/>
        </w:rPr>
        <w:t>when making a</w:t>
      </w:r>
      <w:r>
        <w:rPr>
          <w:sz w:val="28"/>
          <w:szCs w:val="28"/>
        </w:rPr>
        <w:t xml:space="preserve"> request</w:t>
      </w:r>
      <w:r w:rsidR="00435065">
        <w:rPr>
          <w:sz w:val="28"/>
          <w:szCs w:val="28"/>
        </w:rPr>
        <w:t xml:space="preserve"> for</w:t>
      </w:r>
      <w:r>
        <w:rPr>
          <w:sz w:val="28"/>
          <w:szCs w:val="28"/>
        </w:rPr>
        <w:t xml:space="preserve"> post-conviction relief.</w:t>
      </w:r>
      <w:r w:rsidR="00BC5036">
        <w:rPr>
          <w:sz w:val="28"/>
          <w:szCs w:val="28"/>
        </w:rPr>
        <w:t xml:space="preserve">  </w:t>
      </w:r>
      <w:r w:rsidR="000C0DC8">
        <w:rPr>
          <w:sz w:val="28"/>
          <w:szCs w:val="28"/>
        </w:rPr>
        <w:t>(The</w:t>
      </w:r>
      <w:r w:rsidR="00BC5036">
        <w:rPr>
          <w:sz w:val="28"/>
          <w:szCs w:val="28"/>
        </w:rPr>
        <w:t xml:space="preserve"> </w:t>
      </w:r>
      <w:r w:rsidR="00FF3529">
        <w:rPr>
          <w:sz w:val="28"/>
          <w:szCs w:val="28"/>
        </w:rPr>
        <w:t xml:space="preserve">proposed </w:t>
      </w:r>
      <w:r w:rsidR="00BC5036">
        <w:rPr>
          <w:sz w:val="28"/>
          <w:szCs w:val="28"/>
        </w:rPr>
        <w:t xml:space="preserve">rules and </w:t>
      </w:r>
      <w:r w:rsidR="00FF3529">
        <w:rPr>
          <w:sz w:val="28"/>
          <w:szCs w:val="28"/>
        </w:rPr>
        <w:t>a form</w:t>
      </w:r>
      <w:r w:rsidR="00BC5036">
        <w:rPr>
          <w:sz w:val="28"/>
          <w:szCs w:val="28"/>
        </w:rPr>
        <w:t xml:space="preserve"> no longer use </w:t>
      </w:r>
      <w:r w:rsidR="00BC5036">
        <w:rPr>
          <w:sz w:val="28"/>
          <w:szCs w:val="28"/>
        </w:rPr>
        <w:lastRenderedPageBreak/>
        <w:t xml:space="preserve">the current term “notice </w:t>
      </w:r>
      <w:r w:rsidR="00BC5036" w:rsidRPr="000C0DC8">
        <w:rPr>
          <w:sz w:val="28"/>
          <w:szCs w:val="28"/>
          <w:u w:val="single"/>
        </w:rPr>
        <w:t>of</w:t>
      </w:r>
      <w:r w:rsidR="00BC5036">
        <w:rPr>
          <w:sz w:val="28"/>
          <w:szCs w:val="28"/>
        </w:rPr>
        <w:t xml:space="preserve"> post-conviction relief</w:t>
      </w:r>
      <w:r w:rsidR="00FF3529">
        <w:rPr>
          <w:sz w:val="28"/>
          <w:szCs w:val="28"/>
        </w:rPr>
        <w:t>.</w:t>
      </w:r>
      <w:r w:rsidR="00BC5036">
        <w:rPr>
          <w:sz w:val="28"/>
          <w:szCs w:val="28"/>
        </w:rPr>
        <w:t xml:space="preserve">” </w:t>
      </w:r>
      <w:r w:rsidR="00FF3529">
        <w:rPr>
          <w:sz w:val="28"/>
          <w:szCs w:val="28"/>
        </w:rPr>
        <w:t xml:space="preserve"> </w:t>
      </w:r>
      <w:r w:rsidR="00BC5036">
        <w:rPr>
          <w:sz w:val="28"/>
          <w:szCs w:val="28"/>
        </w:rPr>
        <w:t>See for examples current Rule 32.4 and current Form 24(b)</w:t>
      </w:r>
      <w:r w:rsidR="00FF3529">
        <w:rPr>
          <w:sz w:val="28"/>
          <w:szCs w:val="28"/>
        </w:rPr>
        <w:t>, which use that phrasing</w:t>
      </w:r>
      <w:r w:rsidR="00BC5036">
        <w:rPr>
          <w:sz w:val="28"/>
          <w:szCs w:val="28"/>
        </w:rPr>
        <w:t xml:space="preserve">.  Instead, the proposed rules and forms refer to a “notice </w:t>
      </w:r>
      <w:r w:rsidR="00BC5036" w:rsidRPr="00FF3529">
        <w:rPr>
          <w:sz w:val="28"/>
          <w:szCs w:val="28"/>
          <w:u w:val="single"/>
        </w:rPr>
        <w:t>requesting</w:t>
      </w:r>
      <w:r w:rsidR="00BC5036">
        <w:rPr>
          <w:sz w:val="28"/>
          <w:szCs w:val="28"/>
        </w:rPr>
        <w:t xml:space="preserve"> post-conviction relief” which the Task Force believes more accurately describes th</w:t>
      </w:r>
      <w:r w:rsidR="00FF3529">
        <w:rPr>
          <w:sz w:val="28"/>
          <w:szCs w:val="28"/>
        </w:rPr>
        <w:t>at</w:t>
      </w:r>
      <w:r w:rsidR="00BC5036">
        <w:rPr>
          <w:sz w:val="28"/>
          <w:szCs w:val="28"/>
        </w:rPr>
        <w:t xml:space="preserve"> document.</w:t>
      </w:r>
      <w:r w:rsidR="000C0DC8">
        <w:rPr>
          <w:sz w:val="28"/>
          <w:szCs w:val="28"/>
        </w:rPr>
        <w:t>)</w:t>
      </w:r>
    </w:p>
    <w:p w14:paraId="342D782E" w14:textId="03CDECE1" w:rsidR="00250E95" w:rsidRDefault="00EF0940" w:rsidP="00A720CD">
      <w:pPr>
        <w:spacing w:line="480" w:lineRule="auto"/>
        <w:ind w:firstLine="720"/>
        <w:jc w:val="both"/>
        <w:rPr>
          <w:sz w:val="28"/>
          <w:szCs w:val="28"/>
        </w:rPr>
      </w:pPr>
      <w:r w:rsidRPr="00EF0940">
        <w:rPr>
          <w:b/>
          <w:sz w:val="28"/>
          <w:szCs w:val="28"/>
          <w:u w:val="single"/>
        </w:rPr>
        <w:t>2</w:t>
      </w:r>
      <w:r w:rsidR="00250E95" w:rsidRPr="00EF0940">
        <w:rPr>
          <w:b/>
          <w:sz w:val="28"/>
          <w:szCs w:val="28"/>
          <w:u w:val="single"/>
        </w:rPr>
        <w:t xml:space="preserve">. </w:t>
      </w:r>
      <w:r w:rsidR="006C299A" w:rsidRPr="00EF0940">
        <w:rPr>
          <w:b/>
          <w:sz w:val="28"/>
          <w:szCs w:val="28"/>
          <w:u w:val="single"/>
        </w:rPr>
        <w:t>Rules</w:t>
      </w:r>
      <w:r w:rsidR="006C299A" w:rsidRPr="00250E95">
        <w:rPr>
          <w:b/>
          <w:sz w:val="28"/>
          <w:szCs w:val="28"/>
          <w:u w:val="single"/>
        </w:rPr>
        <w:t xml:space="preserve"> Forum Comments.</w:t>
      </w:r>
      <w:r w:rsidR="00192EC5" w:rsidRPr="00250E95">
        <w:rPr>
          <w:sz w:val="28"/>
          <w:szCs w:val="28"/>
        </w:rPr>
        <w:t xml:space="preserve">  </w:t>
      </w:r>
      <w:r w:rsidR="003F583A">
        <w:rPr>
          <w:sz w:val="28"/>
          <w:szCs w:val="28"/>
        </w:rPr>
        <w:t>Two comments were posted on the Court Rules Forum during the second round of comments.</w:t>
      </w:r>
    </w:p>
    <w:p w14:paraId="0FAC25DD" w14:textId="0A334D01" w:rsidR="003F583A" w:rsidRPr="00EF0940" w:rsidRDefault="003F583A" w:rsidP="00EF0940">
      <w:pPr>
        <w:spacing w:line="480" w:lineRule="auto"/>
        <w:ind w:firstLine="720"/>
        <w:rPr>
          <w:sz w:val="28"/>
          <w:szCs w:val="28"/>
        </w:rPr>
      </w:pPr>
      <w:r w:rsidRPr="00EF0940">
        <w:rPr>
          <w:b/>
          <w:sz w:val="28"/>
          <w:szCs w:val="28"/>
        </w:rPr>
        <w:t>(a) APAAC comment.</w:t>
      </w:r>
      <w:r w:rsidRPr="00EF0940">
        <w:rPr>
          <w:sz w:val="28"/>
          <w:szCs w:val="28"/>
        </w:rPr>
        <w:t xml:space="preserve">  A comment from APAAC (the Arizona Prosecuting Attorneys Advisory Council) concerned four items.</w:t>
      </w:r>
    </w:p>
    <w:p w14:paraId="6F77F0B0" w14:textId="6D1DE86A" w:rsidR="003F583A" w:rsidRPr="00EF0940" w:rsidRDefault="003F583A" w:rsidP="00EF0940">
      <w:pPr>
        <w:spacing w:line="480" w:lineRule="auto"/>
        <w:ind w:firstLine="720"/>
        <w:jc w:val="both"/>
        <w:rPr>
          <w:sz w:val="28"/>
          <w:szCs w:val="28"/>
        </w:rPr>
      </w:pPr>
      <w:r w:rsidRPr="00EF0940">
        <w:rPr>
          <w:sz w:val="28"/>
          <w:szCs w:val="28"/>
        </w:rPr>
        <w:t xml:space="preserve">First, it requested the Task Force to adopt the position of a minority of </w:t>
      </w:r>
      <w:r w:rsidR="00A720CD">
        <w:rPr>
          <w:sz w:val="28"/>
          <w:szCs w:val="28"/>
        </w:rPr>
        <w:t xml:space="preserve">Task Force </w:t>
      </w:r>
      <w:r w:rsidRPr="00EF0940">
        <w:rPr>
          <w:sz w:val="28"/>
          <w:szCs w:val="28"/>
        </w:rPr>
        <w:t xml:space="preserve">members concerning relief from a death penalty under Rule 32.1(h).  The Task Force had extensive discussions regarding this issue before filing its petition, the APAAC comment raised no new information, and the Task Force declined to reconsider its previous </w:t>
      </w:r>
      <w:r w:rsidR="00A720CD">
        <w:rPr>
          <w:sz w:val="28"/>
          <w:szCs w:val="28"/>
        </w:rPr>
        <w:t xml:space="preserve">vote, </w:t>
      </w:r>
      <w:r w:rsidR="00E14801">
        <w:rPr>
          <w:sz w:val="28"/>
          <w:szCs w:val="28"/>
        </w:rPr>
        <w:t xml:space="preserve">which was </w:t>
      </w:r>
      <w:r w:rsidR="00A720CD">
        <w:rPr>
          <w:sz w:val="28"/>
          <w:szCs w:val="28"/>
        </w:rPr>
        <w:t>a close one, regarding</w:t>
      </w:r>
      <w:r w:rsidRPr="00EF0940">
        <w:rPr>
          <w:sz w:val="28"/>
          <w:szCs w:val="28"/>
        </w:rPr>
        <w:t xml:space="preserve"> this </w:t>
      </w:r>
      <w:r w:rsidR="00A720CD">
        <w:rPr>
          <w:sz w:val="28"/>
          <w:szCs w:val="28"/>
        </w:rPr>
        <w:t>provision</w:t>
      </w:r>
      <w:r w:rsidRPr="00EF0940">
        <w:rPr>
          <w:sz w:val="28"/>
          <w:szCs w:val="28"/>
        </w:rPr>
        <w:t>.</w:t>
      </w:r>
    </w:p>
    <w:p w14:paraId="09737BAE" w14:textId="7153C4DC" w:rsidR="00A720CD" w:rsidRDefault="003F583A" w:rsidP="00BC5036">
      <w:pPr>
        <w:spacing w:line="480" w:lineRule="auto"/>
        <w:ind w:firstLine="720"/>
        <w:jc w:val="both"/>
        <w:rPr>
          <w:sz w:val="28"/>
          <w:szCs w:val="28"/>
        </w:rPr>
      </w:pPr>
      <w:r w:rsidRPr="00EF0940">
        <w:rPr>
          <w:sz w:val="28"/>
          <w:szCs w:val="28"/>
        </w:rPr>
        <w:t>Second, concerning Rules 32.2(b) and 33.2(b), APAAC proposed replacing in the second sentence of th</w:t>
      </w:r>
      <w:r w:rsidR="00BC5036">
        <w:rPr>
          <w:sz w:val="28"/>
          <w:szCs w:val="28"/>
        </w:rPr>
        <w:t>ese</w:t>
      </w:r>
      <w:r w:rsidRPr="00EF0940">
        <w:rPr>
          <w:sz w:val="28"/>
          <w:szCs w:val="28"/>
        </w:rPr>
        <w:t xml:space="preserve"> rule</w:t>
      </w:r>
      <w:r w:rsidR="00BC5036">
        <w:rPr>
          <w:sz w:val="28"/>
          <w:szCs w:val="28"/>
        </w:rPr>
        <w:t>s the words</w:t>
      </w:r>
      <w:r w:rsidRPr="00EF0940">
        <w:rPr>
          <w:sz w:val="28"/>
          <w:szCs w:val="28"/>
        </w:rPr>
        <w:t xml:space="preserve"> “explain the reasons” with</w:t>
      </w:r>
      <w:r w:rsidR="00BC5036">
        <w:rPr>
          <w:sz w:val="28"/>
          <w:szCs w:val="28"/>
        </w:rPr>
        <w:t xml:space="preserve"> the word</w:t>
      </w:r>
      <w:r w:rsidR="00E7648A">
        <w:rPr>
          <w:sz w:val="28"/>
          <w:szCs w:val="28"/>
        </w:rPr>
        <w:t>s</w:t>
      </w:r>
      <w:r w:rsidRPr="00EF0940">
        <w:rPr>
          <w:sz w:val="28"/>
          <w:szCs w:val="28"/>
        </w:rPr>
        <w:t xml:space="preserve"> “establish good cause,” and in the third sentence </w:t>
      </w:r>
      <w:r w:rsidR="00BC5036">
        <w:rPr>
          <w:sz w:val="28"/>
          <w:szCs w:val="28"/>
        </w:rPr>
        <w:t xml:space="preserve">of these rules, </w:t>
      </w:r>
      <w:r w:rsidRPr="00EF0940">
        <w:rPr>
          <w:sz w:val="28"/>
          <w:szCs w:val="28"/>
        </w:rPr>
        <w:t xml:space="preserve">replacing “provide reasons” with “show good cause” why the defendant did not previously raise a claim.  Some members preferred “establish good cause” </w:t>
      </w:r>
      <w:r w:rsidR="00EF0940" w:rsidRPr="00EF0940">
        <w:rPr>
          <w:sz w:val="28"/>
          <w:szCs w:val="28"/>
        </w:rPr>
        <w:t>a</w:t>
      </w:r>
      <w:r w:rsidR="006303E4" w:rsidRPr="00EF0940">
        <w:rPr>
          <w:sz w:val="28"/>
          <w:szCs w:val="28"/>
        </w:rPr>
        <w:t>nd reasoned that</w:t>
      </w:r>
      <w:r w:rsidRPr="00EF0940">
        <w:rPr>
          <w:sz w:val="28"/>
          <w:szCs w:val="28"/>
        </w:rPr>
        <w:t xml:space="preserve"> </w:t>
      </w:r>
      <w:r w:rsidR="00EF0940" w:rsidRPr="00EF0940">
        <w:rPr>
          <w:sz w:val="28"/>
          <w:szCs w:val="28"/>
        </w:rPr>
        <w:t xml:space="preserve">the </w:t>
      </w:r>
      <w:r w:rsidR="00F97F9F">
        <w:rPr>
          <w:sz w:val="28"/>
          <w:szCs w:val="28"/>
        </w:rPr>
        <w:t xml:space="preserve">proposed </w:t>
      </w:r>
      <w:r w:rsidRPr="00EF0940">
        <w:rPr>
          <w:sz w:val="28"/>
          <w:szCs w:val="28"/>
        </w:rPr>
        <w:t xml:space="preserve">verbiage requiring a defendant to “explain the reasons” for not previously raising an issue does not require that the reason be a good one.  </w:t>
      </w:r>
      <w:r w:rsidR="00EF0940" w:rsidRPr="00EF0940">
        <w:rPr>
          <w:sz w:val="28"/>
          <w:szCs w:val="28"/>
        </w:rPr>
        <w:t xml:space="preserve">But after their discussion, </w:t>
      </w:r>
      <w:r w:rsidRPr="00EF0940">
        <w:rPr>
          <w:sz w:val="28"/>
          <w:szCs w:val="28"/>
        </w:rPr>
        <w:lastRenderedPageBreak/>
        <w:t xml:space="preserve">members </w:t>
      </w:r>
      <w:r w:rsidR="00EF0940" w:rsidRPr="00EF0940">
        <w:rPr>
          <w:sz w:val="28"/>
          <w:szCs w:val="28"/>
        </w:rPr>
        <w:t xml:space="preserve">concluded </w:t>
      </w:r>
      <w:r w:rsidRPr="00EF0940">
        <w:rPr>
          <w:sz w:val="28"/>
          <w:szCs w:val="28"/>
        </w:rPr>
        <w:t>that “explain the reason” is what the defendant provides; whether the reason is a good one is what the court decides.</w:t>
      </w:r>
    </w:p>
    <w:p w14:paraId="67598AD1" w14:textId="3F91F8E3" w:rsidR="003F583A" w:rsidRPr="00EF0940" w:rsidRDefault="003F583A" w:rsidP="00BC5036">
      <w:pPr>
        <w:spacing w:line="480" w:lineRule="auto"/>
        <w:ind w:firstLine="720"/>
        <w:jc w:val="both"/>
        <w:rPr>
          <w:sz w:val="28"/>
          <w:szCs w:val="28"/>
        </w:rPr>
      </w:pPr>
      <w:r w:rsidRPr="00EF0940">
        <w:rPr>
          <w:sz w:val="28"/>
          <w:szCs w:val="28"/>
        </w:rPr>
        <w:t>Members</w:t>
      </w:r>
      <w:r w:rsidR="000C0DC8">
        <w:rPr>
          <w:sz w:val="28"/>
          <w:szCs w:val="28"/>
        </w:rPr>
        <w:t xml:space="preserve"> also</w:t>
      </w:r>
      <w:r w:rsidRPr="00EF0940">
        <w:rPr>
          <w:sz w:val="28"/>
          <w:szCs w:val="28"/>
        </w:rPr>
        <w:t xml:space="preserve"> </w:t>
      </w:r>
      <w:r w:rsidR="00BC5036">
        <w:rPr>
          <w:sz w:val="28"/>
          <w:szCs w:val="28"/>
        </w:rPr>
        <w:t>agreed</w:t>
      </w:r>
      <w:r w:rsidR="00F41437" w:rsidRPr="00EF0940">
        <w:rPr>
          <w:sz w:val="28"/>
          <w:szCs w:val="28"/>
        </w:rPr>
        <w:t xml:space="preserve"> </w:t>
      </w:r>
      <w:r w:rsidRPr="00EF0940">
        <w:rPr>
          <w:sz w:val="28"/>
          <w:szCs w:val="28"/>
        </w:rPr>
        <w:t xml:space="preserve">that </w:t>
      </w:r>
      <w:r w:rsidR="00F41437" w:rsidRPr="00EF0940">
        <w:rPr>
          <w:sz w:val="28"/>
          <w:szCs w:val="28"/>
        </w:rPr>
        <w:t>a</w:t>
      </w:r>
      <w:r w:rsidRPr="00EF0940">
        <w:rPr>
          <w:sz w:val="28"/>
          <w:szCs w:val="28"/>
        </w:rPr>
        <w:t xml:space="preserve"> trial judge should have flexibility in applying the bar of preclusion to individual set</w:t>
      </w:r>
      <w:r w:rsidR="00EF0940" w:rsidRPr="00EF0940">
        <w:rPr>
          <w:sz w:val="28"/>
          <w:szCs w:val="28"/>
        </w:rPr>
        <w:t>s</w:t>
      </w:r>
      <w:r w:rsidRPr="00EF0940">
        <w:rPr>
          <w:sz w:val="28"/>
          <w:szCs w:val="28"/>
        </w:rPr>
        <w:t xml:space="preserve"> of facts</w:t>
      </w:r>
      <w:r w:rsidR="00A720CD">
        <w:rPr>
          <w:sz w:val="28"/>
          <w:szCs w:val="28"/>
        </w:rPr>
        <w:t xml:space="preserve">. </w:t>
      </w:r>
      <w:r w:rsidR="00E7648A">
        <w:rPr>
          <w:sz w:val="28"/>
          <w:szCs w:val="28"/>
        </w:rPr>
        <w:t xml:space="preserve"> </w:t>
      </w:r>
      <w:r w:rsidR="00A720CD">
        <w:rPr>
          <w:sz w:val="28"/>
          <w:szCs w:val="28"/>
        </w:rPr>
        <w:t>T</w:t>
      </w:r>
      <w:r w:rsidRPr="00EF0940">
        <w:rPr>
          <w:sz w:val="28"/>
          <w:szCs w:val="28"/>
        </w:rPr>
        <w:t xml:space="preserve">he </w:t>
      </w:r>
      <w:r w:rsidR="00A720CD">
        <w:rPr>
          <w:sz w:val="28"/>
          <w:szCs w:val="28"/>
        </w:rPr>
        <w:t xml:space="preserve">trial court’s determination of the </w:t>
      </w:r>
      <w:r w:rsidRPr="00EF0940">
        <w:rPr>
          <w:sz w:val="28"/>
          <w:szCs w:val="28"/>
        </w:rPr>
        <w:t xml:space="preserve">adequacy of the defendant’s reason </w:t>
      </w:r>
      <w:r w:rsidR="00972FD7">
        <w:rPr>
          <w:sz w:val="28"/>
          <w:szCs w:val="28"/>
        </w:rPr>
        <w:t>for not raising the claim in a prior post-conviction proceeding</w:t>
      </w:r>
      <w:r w:rsidR="002C4409">
        <w:rPr>
          <w:sz w:val="28"/>
          <w:szCs w:val="28"/>
        </w:rPr>
        <w:t>,</w:t>
      </w:r>
      <w:r w:rsidR="00972FD7">
        <w:rPr>
          <w:sz w:val="28"/>
          <w:szCs w:val="28"/>
        </w:rPr>
        <w:t xml:space="preserve"> or in a timely manner</w:t>
      </w:r>
      <w:r w:rsidR="002C4409">
        <w:rPr>
          <w:sz w:val="28"/>
          <w:szCs w:val="28"/>
        </w:rPr>
        <w:t>,</w:t>
      </w:r>
      <w:r w:rsidR="00972FD7">
        <w:rPr>
          <w:sz w:val="28"/>
          <w:szCs w:val="28"/>
        </w:rPr>
        <w:t xml:space="preserve"> </w:t>
      </w:r>
      <w:r w:rsidR="00DE6464">
        <w:rPr>
          <w:sz w:val="28"/>
          <w:szCs w:val="28"/>
        </w:rPr>
        <w:t>sh</w:t>
      </w:r>
      <w:r w:rsidRPr="00EF0940">
        <w:rPr>
          <w:sz w:val="28"/>
          <w:szCs w:val="28"/>
        </w:rPr>
        <w:t>ould be on a sliding scale that depend</w:t>
      </w:r>
      <w:r w:rsidR="00233AE6">
        <w:rPr>
          <w:sz w:val="28"/>
          <w:szCs w:val="28"/>
        </w:rPr>
        <w:t>s</w:t>
      </w:r>
      <w:r w:rsidRPr="00EF0940">
        <w:rPr>
          <w:sz w:val="28"/>
          <w:szCs w:val="28"/>
        </w:rPr>
        <w:t xml:space="preserve"> on the grounds for the claim.  </w:t>
      </w:r>
      <w:r w:rsidR="008643DB">
        <w:rPr>
          <w:sz w:val="28"/>
          <w:szCs w:val="28"/>
        </w:rPr>
        <w:t>G</w:t>
      </w:r>
      <w:r w:rsidR="00233AE6" w:rsidRPr="00EF0940">
        <w:rPr>
          <w:sz w:val="28"/>
          <w:szCs w:val="28"/>
        </w:rPr>
        <w:t>rounds such as a lack of subject matter jurisdiction or an excessive sentence should be raiseable at any time without the need for reason</w:t>
      </w:r>
      <w:r w:rsidR="008643DB">
        <w:rPr>
          <w:sz w:val="28"/>
          <w:szCs w:val="28"/>
        </w:rPr>
        <w:t>s</w:t>
      </w:r>
      <w:r w:rsidR="00233AE6" w:rsidRPr="00EF0940">
        <w:rPr>
          <w:sz w:val="28"/>
          <w:szCs w:val="28"/>
        </w:rPr>
        <w:t xml:space="preserve"> why </w:t>
      </w:r>
      <w:r w:rsidR="008643DB">
        <w:rPr>
          <w:sz w:val="28"/>
          <w:szCs w:val="28"/>
        </w:rPr>
        <w:t>these claims were</w:t>
      </w:r>
      <w:r w:rsidR="00233AE6" w:rsidRPr="00EF0940">
        <w:rPr>
          <w:sz w:val="28"/>
          <w:szCs w:val="28"/>
        </w:rPr>
        <w:t xml:space="preserve"> not raised earlier. </w:t>
      </w:r>
      <w:r w:rsidR="00EF0940" w:rsidRPr="00EF0940">
        <w:rPr>
          <w:sz w:val="28"/>
          <w:szCs w:val="28"/>
        </w:rPr>
        <w:t>But</w:t>
      </w:r>
      <w:r w:rsidRPr="00EF0940">
        <w:rPr>
          <w:sz w:val="28"/>
          <w:szCs w:val="28"/>
        </w:rPr>
        <w:t xml:space="preserve"> to address the issue raised by APAAC’s comment, </w:t>
      </w:r>
      <w:r w:rsidR="000C558C">
        <w:rPr>
          <w:sz w:val="28"/>
          <w:szCs w:val="28"/>
        </w:rPr>
        <w:t>the Task Force</w:t>
      </w:r>
      <w:r w:rsidRPr="00EF0940">
        <w:rPr>
          <w:sz w:val="28"/>
          <w:szCs w:val="28"/>
        </w:rPr>
        <w:t xml:space="preserve"> agreed to add the word “sufficient” </w:t>
      </w:r>
      <w:r w:rsidR="00F41437" w:rsidRPr="00EF0940">
        <w:rPr>
          <w:sz w:val="28"/>
          <w:szCs w:val="28"/>
        </w:rPr>
        <w:t>in the second sentence of Rules 32.2(b) and 33.2(b)</w:t>
      </w:r>
      <w:r w:rsidRPr="00EF0940">
        <w:rPr>
          <w:sz w:val="28"/>
          <w:szCs w:val="28"/>
        </w:rPr>
        <w:t xml:space="preserve"> as follows: “If the notice does not provide </w:t>
      </w:r>
      <w:proofErr w:type="gramStart"/>
      <w:r w:rsidRPr="00EF0940">
        <w:rPr>
          <w:sz w:val="28"/>
          <w:szCs w:val="28"/>
          <w:u w:val="single"/>
        </w:rPr>
        <w:t>sufficient</w:t>
      </w:r>
      <w:proofErr w:type="gramEnd"/>
      <w:r w:rsidRPr="00EF0940">
        <w:rPr>
          <w:sz w:val="28"/>
          <w:szCs w:val="28"/>
        </w:rPr>
        <w:t xml:space="preserve"> reasons why the defendant did not raise the claim in a previous notice or petition, the court may summarily dismiss the notice</w:t>
      </w:r>
      <w:r w:rsidR="00D82D8F">
        <w:rPr>
          <w:sz w:val="28"/>
          <w:szCs w:val="28"/>
        </w:rPr>
        <w:t>…</w:t>
      </w:r>
      <w:r w:rsidRPr="00EF0940">
        <w:rPr>
          <w:sz w:val="28"/>
          <w:szCs w:val="28"/>
        </w:rPr>
        <w:t xml:space="preserve">” </w:t>
      </w:r>
      <w:r w:rsidR="00D82D8F">
        <w:rPr>
          <w:sz w:val="28"/>
          <w:szCs w:val="28"/>
        </w:rPr>
        <w:t xml:space="preserve"> </w:t>
      </w:r>
      <w:r w:rsidR="00F41437" w:rsidRPr="00EF0940">
        <w:rPr>
          <w:sz w:val="28"/>
          <w:szCs w:val="28"/>
        </w:rPr>
        <w:t xml:space="preserve">Although </w:t>
      </w:r>
      <w:r w:rsidRPr="00EF0940">
        <w:rPr>
          <w:sz w:val="28"/>
          <w:szCs w:val="28"/>
        </w:rPr>
        <w:t xml:space="preserve">APAAC also proposed deleting references to “untimely” on the basis that timeliness for (b) through (h) claims was no longer pertinent under </w:t>
      </w:r>
      <w:r w:rsidR="00F375D5">
        <w:rPr>
          <w:sz w:val="28"/>
          <w:szCs w:val="28"/>
        </w:rPr>
        <w:t xml:space="preserve">proposed </w:t>
      </w:r>
      <w:r w:rsidRPr="00EF0940">
        <w:rPr>
          <w:sz w:val="28"/>
          <w:szCs w:val="28"/>
        </w:rPr>
        <w:t>Rules 32.4 and 33.4</w:t>
      </w:r>
      <w:r w:rsidR="00F41437" w:rsidRPr="00EF0940">
        <w:rPr>
          <w:sz w:val="28"/>
          <w:szCs w:val="28"/>
        </w:rPr>
        <w:t>, the Task Force retained</w:t>
      </w:r>
      <w:r w:rsidRPr="00EF0940">
        <w:rPr>
          <w:sz w:val="28"/>
          <w:szCs w:val="28"/>
        </w:rPr>
        <w:t xml:space="preserve"> this verbiage in </w:t>
      </w:r>
      <w:r w:rsidR="00F375D5">
        <w:rPr>
          <w:sz w:val="28"/>
          <w:szCs w:val="28"/>
        </w:rPr>
        <w:t>its final</w:t>
      </w:r>
      <w:r w:rsidRPr="00EF0940">
        <w:rPr>
          <w:sz w:val="28"/>
          <w:szCs w:val="28"/>
        </w:rPr>
        <w:t xml:space="preserve"> draft</w:t>
      </w:r>
      <w:r w:rsidR="00F375D5">
        <w:rPr>
          <w:sz w:val="28"/>
          <w:szCs w:val="28"/>
        </w:rPr>
        <w:t xml:space="preserve"> to encourage timely filings</w:t>
      </w:r>
      <w:r w:rsidRPr="00EF0940">
        <w:rPr>
          <w:sz w:val="28"/>
          <w:szCs w:val="28"/>
        </w:rPr>
        <w:t>.</w:t>
      </w:r>
    </w:p>
    <w:p w14:paraId="18A6A209" w14:textId="615B73B3" w:rsidR="00F41437" w:rsidRPr="00EF0940" w:rsidRDefault="003F583A" w:rsidP="00EF0940">
      <w:pPr>
        <w:spacing w:line="480" w:lineRule="auto"/>
        <w:ind w:firstLine="720"/>
        <w:jc w:val="both"/>
        <w:rPr>
          <w:sz w:val="28"/>
          <w:szCs w:val="28"/>
        </w:rPr>
      </w:pPr>
      <w:r w:rsidRPr="00EF0940">
        <w:rPr>
          <w:sz w:val="28"/>
          <w:szCs w:val="28"/>
        </w:rPr>
        <w:t xml:space="preserve">Third, APAAC objected to proposed provisions in Rules 32.6(b)(1) and 33.6(b)(1) that would permit pre-petition discovery.  </w:t>
      </w:r>
      <w:r w:rsidR="00F41437" w:rsidRPr="00EF0940">
        <w:rPr>
          <w:sz w:val="28"/>
          <w:szCs w:val="28"/>
        </w:rPr>
        <w:t>T</w:t>
      </w:r>
      <w:r w:rsidRPr="00EF0940">
        <w:rPr>
          <w:sz w:val="28"/>
          <w:szCs w:val="28"/>
        </w:rPr>
        <w:t xml:space="preserve">he Task Force previously had lengthy discussions concerning these provisions and </w:t>
      </w:r>
      <w:r w:rsidR="000C558C">
        <w:rPr>
          <w:sz w:val="28"/>
          <w:szCs w:val="28"/>
        </w:rPr>
        <w:t xml:space="preserve">it </w:t>
      </w:r>
      <w:r w:rsidRPr="00EF0940">
        <w:rPr>
          <w:sz w:val="28"/>
          <w:szCs w:val="28"/>
        </w:rPr>
        <w:t>declined to reconsider them.</w:t>
      </w:r>
    </w:p>
    <w:p w14:paraId="43E5EEE7" w14:textId="61FBD7EE" w:rsidR="003F583A" w:rsidRDefault="003F583A" w:rsidP="00EF0940">
      <w:pPr>
        <w:spacing w:line="480" w:lineRule="auto"/>
        <w:ind w:firstLine="720"/>
        <w:jc w:val="both"/>
        <w:rPr>
          <w:sz w:val="28"/>
          <w:szCs w:val="28"/>
        </w:rPr>
      </w:pPr>
      <w:r w:rsidRPr="00EF0940">
        <w:rPr>
          <w:sz w:val="28"/>
          <w:szCs w:val="28"/>
        </w:rPr>
        <w:lastRenderedPageBreak/>
        <w:t xml:space="preserve">Fourth, APAAC contended that the Task Force’s revisions to Rules 32.5(a) and 33.5(a) improperly expanded the </w:t>
      </w:r>
      <w:r w:rsidR="00F375D5">
        <w:rPr>
          <w:sz w:val="28"/>
          <w:szCs w:val="28"/>
        </w:rPr>
        <w:t xml:space="preserve">defendant’s </w:t>
      </w:r>
      <w:r w:rsidRPr="00EF0940">
        <w:rPr>
          <w:sz w:val="28"/>
          <w:szCs w:val="28"/>
        </w:rPr>
        <w:t xml:space="preserve">existing right to the appointment of counsel.  </w:t>
      </w:r>
      <w:r w:rsidR="000C6189">
        <w:rPr>
          <w:sz w:val="28"/>
          <w:szCs w:val="28"/>
        </w:rPr>
        <w:t>T</w:t>
      </w:r>
      <w:r w:rsidR="000C558C">
        <w:rPr>
          <w:sz w:val="28"/>
          <w:szCs w:val="28"/>
        </w:rPr>
        <w:t>he T</w:t>
      </w:r>
      <w:r w:rsidR="000C6189">
        <w:rPr>
          <w:sz w:val="28"/>
          <w:szCs w:val="28"/>
        </w:rPr>
        <w:t xml:space="preserve">ask Force </w:t>
      </w:r>
      <w:r w:rsidRPr="00EF0940">
        <w:rPr>
          <w:sz w:val="28"/>
          <w:szCs w:val="28"/>
        </w:rPr>
        <w:t>acknowledged that the phrase “timely or first notice” in both rules was confusing</w:t>
      </w:r>
      <w:r w:rsidR="00F375D5">
        <w:rPr>
          <w:sz w:val="28"/>
          <w:szCs w:val="28"/>
        </w:rPr>
        <w:t xml:space="preserve">. </w:t>
      </w:r>
      <w:r w:rsidR="00D82D8F">
        <w:rPr>
          <w:sz w:val="28"/>
          <w:szCs w:val="28"/>
        </w:rPr>
        <w:t xml:space="preserve"> </w:t>
      </w:r>
      <w:r w:rsidR="00DC18EA">
        <w:rPr>
          <w:sz w:val="28"/>
          <w:szCs w:val="28"/>
        </w:rPr>
        <w:t>It</w:t>
      </w:r>
      <w:r w:rsidRPr="00EF0940">
        <w:rPr>
          <w:sz w:val="28"/>
          <w:szCs w:val="28"/>
        </w:rPr>
        <w:t xml:space="preserve"> clarified the provisions by deleting the word “or</w:t>
      </w:r>
      <w:r w:rsidR="00233AE6">
        <w:rPr>
          <w:sz w:val="28"/>
          <w:szCs w:val="28"/>
        </w:rPr>
        <w:t>,</w:t>
      </w:r>
      <w:r w:rsidR="00EF0940" w:rsidRPr="00EF0940">
        <w:rPr>
          <w:sz w:val="28"/>
          <w:szCs w:val="28"/>
        </w:rPr>
        <w:t>”</w:t>
      </w:r>
      <w:r w:rsidRPr="00EF0940">
        <w:rPr>
          <w:sz w:val="28"/>
          <w:szCs w:val="28"/>
        </w:rPr>
        <w:t xml:space="preserve"> </w:t>
      </w:r>
      <w:r w:rsidR="00233AE6">
        <w:rPr>
          <w:sz w:val="28"/>
          <w:szCs w:val="28"/>
        </w:rPr>
        <w:t>so t</w:t>
      </w:r>
      <w:r w:rsidR="00F375D5">
        <w:rPr>
          <w:sz w:val="28"/>
          <w:szCs w:val="28"/>
        </w:rPr>
        <w:t>hese provisions</w:t>
      </w:r>
      <w:r w:rsidRPr="00EF0940">
        <w:rPr>
          <w:sz w:val="28"/>
          <w:szCs w:val="28"/>
        </w:rPr>
        <w:t xml:space="preserve"> now say, “timely first notice.”  </w:t>
      </w:r>
      <w:r w:rsidR="00DC18EA">
        <w:rPr>
          <w:sz w:val="28"/>
          <w:szCs w:val="28"/>
        </w:rPr>
        <w:t>Members</w:t>
      </w:r>
      <w:r w:rsidRPr="00EF0940">
        <w:rPr>
          <w:sz w:val="28"/>
          <w:szCs w:val="28"/>
        </w:rPr>
        <w:t xml:space="preserve"> noted that a phrase in Rule 3</w:t>
      </w:r>
      <w:r w:rsidRPr="00EF0940">
        <w:rPr>
          <w:sz w:val="28"/>
          <w:szCs w:val="28"/>
          <w:u w:val="single"/>
        </w:rPr>
        <w:t>3</w:t>
      </w:r>
      <w:r w:rsidRPr="00EF0940">
        <w:rPr>
          <w:sz w:val="28"/>
          <w:szCs w:val="28"/>
        </w:rPr>
        <w:t>.5(a)</w:t>
      </w:r>
      <w:r w:rsidR="0052017D">
        <w:rPr>
          <w:sz w:val="28"/>
          <w:szCs w:val="28"/>
        </w:rPr>
        <w:t xml:space="preserve"> —</w:t>
      </w:r>
      <w:r w:rsidR="0052017D" w:rsidRPr="00EF0940">
        <w:rPr>
          <w:sz w:val="28"/>
          <w:szCs w:val="28"/>
        </w:rPr>
        <w:t xml:space="preserve"> “</w:t>
      </w:r>
      <w:r w:rsidRPr="00EF0940">
        <w:rPr>
          <w:sz w:val="28"/>
          <w:szCs w:val="28"/>
        </w:rPr>
        <w:t>or a notice under Rule 33.4(b)(3)(C)”</w:t>
      </w:r>
      <w:r w:rsidR="0052017D">
        <w:rPr>
          <w:sz w:val="28"/>
          <w:szCs w:val="28"/>
        </w:rPr>
        <w:t xml:space="preserve"> </w:t>
      </w:r>
      <w:r w:rsidR="00FF0C36">
        <w:rPr>
          <w:sz w:val="28"/>
          <w:szCs w:val="28"/>
        </w:rPr>
        <w:t>—</w:t>
      </w:r>
      <w:r w:rsidR="0052017D">
        <w:rPr>
          <w:sz w:val="28"/>
          <w:szCs w:val="28"/>
        </w:rPr>
        <w:t xml:space="preserve"> </w:t>
      </w:r>
      <w:r w:rsidRPr="00EF0940">
        <w:rPr>
          <w:sz w:val="28"/>
          <w:szCs w:val="28"/>
        </w:rPr>
        <w:t xml:space="preserve">adequately addresses the appointment of an attorney on a timely second notice challenging the effectiveness of counsel in the first Rule 33 proceeding.  </w:t>
      </w:r>
      <w:r w:rsidR="000C558C">
        <w:rPr>
          <w:sz w:val="28"/>
          <w:szCs w:val="28"/>
        </w:rPr>
        <w:t>The Task Force</w:t>
      </w:r>
      <w:r w:rsidRPr="00EF0940">
        <w:rPr>
          <w:sz w:val="28"/>
          <w:szCs w:val="28"/>
        </w:rPr>
        <w:t xml:space="preserve"> declined to add the words “if each of the following applies” because that is evident from use of the word “and” in the proposed </w:t>
      </w:r>
      <w:proofErr w:type="gramStart"/>
      <w:r w:rsidR="00DC18EA" w:rsidRPr="00EF0940">
        <w:rPr>
          <w:sz w:val="28"/>
          <w:szCs w:val="28"/>
        </w:rPr>
        <w:t>rule</w:t>
      </w:r>
      <w:proofErr w:type="gramEnd"/>
      <w:r w:rsidR="00DC18EA" w:rsidRPr="00EF0940">
        <w:rPr>
          <w:sz w:val="28"/>
          <w:szCs w:val="28"/>
        </w:rPr>
        <w:t xml:space="preserve"> but</w:t>
      </w:r>
      <w:r w:rsidR="0060790C">
        <w:rPr>
          <w:sz w:val="28"/>
          <w:szCs w:val="28"/>
        </w:rPr>
        <w:t xml:space="preserve"> the Task Force</w:t>
      </w:r>
      <w:r w:rsidR="00EF0940" w:rsidRPr="00EF0940">
        <w:rPr>
          <w:sz w:val="28"/>
          <w:szCs w:val="28"/>
        </w:rPr>
        <w:t xml:space="preserve"> </w:t>
      </w:r>
      <w:r w:rsidRPr="00EF0940">
        <w:rPr>
          <w:sz w:val="28"/>
          <w:szCs w:val="28"/>
        </w:rPr>
        <w:t>agreed to change the word “it” in subpart (1) to “counsel.”  APAAC suggested adding</w:t>
      </w:r>
      <w:r w:rsidR="00F375D5">
        <w:rPr>
          <w:sz w:val="28"/>
          <w:szCs w:val="28"/>
        </w:rPr>
        <w:t>,</w:t>
      </w:r>
      <w:r w:rsidRPr="00EF0940">
        <w:rPr>
          <w:sz w:val="28"/>
          <w:szCs w:val="28"/>
        </w:rPr>
        <w:t xml:space="preserve"> “Upon the filing of all other Rule 32 [or 33] notices, the presiding judge or the judge’s designee may appoint counsel for an indigent defendant” but the Task Force’s proposed rules already included that sentence.</w:t>
      </w:r>
    </w:p>
    <w:p w14:paraId="3C7ECF8F" w14:textId="797D7E70" w:rsidR="00EF0940" w:rsidRPr="00EF0940" w:rsidRDefault="00EF0940" w:rsidP="00EF0940">
      <w:pPr>
        <w:pStyle w:val="ListParagraph"/>
        <w:spacing w:after="0" w:line="480" w:lineRule="auto"/>
        <w:ind w:left="0" w:firstLine="720"/>
        <w:rPr>
          <w:rFonts w:ascii="Times New Roman" w:hAnsi="Times New Roman" w:cs="Times New Roman"/>
          <w:sz w:val="28"/>
          <w:szCs w:val="28"/>
        </w:rPr>
      </w:pPr>
      <w:r w:rsidRPr="00EF0940">
        <w:rPr>
          <w:rFonts w:ascii="Times New Roman" w:hAnsi="Times New Roman" w:cs="Times New Roman"/>
          <w:b/>
          <w:sz w:val="28"/>
          <w:szCs w:val="28"/>
        </w:rPr>
        <w:t>(b) SBA comment.</w:t>
      </w:r>
      <w:r w:rsidRPr="004232ED">
        <w:rPr>
          <w:rFonts w:ascii="Times New Roman" w:hAnsi="Times New Roman" w:cs="Times New Roman"/>
          <w:sz w:val="28"/>
          <w:szCs w:val="28"/>
        </w:rPr>
        <w:t xml:space="preserve">  </w:t>
      </w:r>
      <w:r w:rsidRPr="00EF0940">
        <w:rPr>
          <w:rFonts w:ascii="Times New Roman" w:hAnsi="Times New Roman" w:cs="Times New Roman"/>
          <w:sz w:val="28"/>
          <w:szCs w:val="28"/>
        </w:rPr>
        <w:t xml:space="preserve">The SBA (State Bar of Arizona) filed a comment </w:t>
      </w:r>
      <w:r>
        <w:rPr>
          <w:rFonts w:ascii="Times New Roman" w:hAnsi="Times New Roman" w:cs="Times New Roman"/>
          <w:sz w:val="28"/>
          <w:szCs w:val="28"/>
        </w:rPr>
        <w:t xml:space="preserve">contending that </w:t>
      </w:r>
      <w:r w:rsidRPr="00EF0940">
        <w:rPr>
          <w:rFonts w:ascii="Times New Roman" w:hAnsi="Times New Roman" w:cs="Times New Roman"/>
          <w:sz w:val="28"/>
          <w:szCs w:val="28"/>
        </w:rPr>
        <w:t>Rule 32.6(c), subparts (6) through (11) were redundant to subpart (1</w:t>
      </w:r>
      <w:r w:rsidR="00A96D79">
        <w:rPr>
          <w:rFonts w:ascii="Times New Roman" w:hAnsi="Times New Roman" w:cs="Times New Roman"/>
          <w:sz w:val="28"/>
          <w:szCs w:val="28"/>
        </w:rPr>
        <w:t>8</w:t>
      </w:r>
      <w:r w:rsidRPr="00EF0940">
        <w:rPr>
          <w:rFonts w:ascii="Times New Roman" w:hAnsi="Times New Roman" w:cs="Times New Roman"/>
          <w:sz w:val="28"/>
          <w:szCs w:val="28"/>
        </w:rPr>
        <w:t xml:space="preserve">).  </w:t>
      </w:r>
      <w:r w:rsidR="00F375D5">
        <w:rPr>
          <w:rFonts w:ascii="Times New Roman" w:hAnsi="Times New Roman" w:cs="Times New Roman"/>
          <w:sz w:val="28"/>
          <w:szCs w:val="28"/>
        </w:rPr>
        <w:t>After discussing this</w:t>
      </w:r>
      <w:r w:rsidR="004635B1">
        <w:rPr>
          <w:rFonts w:ascii="Times New Roman" w:hAnsi="Times New Roman" w:cs="Times New Roman"/>
          <w:sz w:val="28"/>
          <w:szCs w:val="28"/>
        </w:rPr>
        <w:t xml:space="preserve"> contention</w:t>
      </w:r>
      <w:r w:rsidR="00F375D5">
        <w:rPr>
          <w:rFonts w:ascii="Times New Roman" w:hAnsi="Times New Roman" w:cs="Times New Roman"/>
          <w:sz w:val="28"/>
          <w:szCs w:val="28"/>
        </w:rPr>
        <w:t xml:space="preserve">, </w:t>
      </w:r>
      <w:r w:rsidR="000C558C">
        <w:rPr>
          <w:rFonts w:ascii="Times New Roman" w:hAnsi="Times New Roman" w:cs="Times New Roman"/>
          <w:sz w:val="28"/>
          <w:szCs w:val="28"/>
        </w:rPr>
        <w:t>the Task Force</w:t>
      </w:r>
      <w:r w:rsidRPr="00EF0940">
        <w:rPr>
          <w:rFonts w:ascii="Times New Roman" w:hAnsi="Times New Roman" w:cs="Times New Roman"/>
          <w:sz w:val="28"/>
          <w:szCs w:val="28"/>
        </w:rPr>
        <w:t xml:space="preserve"> disagreed.  </w:t>
      </w:r>
      <w:r w:rsidR="00DC18EA">
        <w:rPr>
          <w:rFonts w:ascii="Times New Roman" w:hAnsi="Times New Roman" w:cs="Times New Roman"/>
          <w:sz w:val="28"/>
          <w:szCs w:val="28"/>
        </w:rPr>
        <w:t>Although it</w:t>
      </w:r>
      <w:r>
        <w:rPr>
          <w:rFonts w:ascii="Times New Roman" w:hAnsi="Times New Roman" w:cs="Times New Roman"/>
          <w:sz w:val="28"/>
          <w:szCs w:val="28"/>
        </w:rPr>
        <w:t xml:space="preserve"> </w:t>
      </w:r>
      <w:r w:rsidRPr="00EF0940">
        <w:rPr>
          <w:rFonts w:ascii="Times New Roman" w:hAnsi="Times New Roman" w:cs="Times New Roman"/>
          <w:sz w:val="28"/>
          <w:szCs w:val="28"/>
        </w:rPr>
        <w:t xml:space="preserve">agreed to remove </w:t>
      </w:r>
      <w:r w:rsidR="00DC18EA">
        <w:rPr>
          <w:rFonts w:ascii="Times New Roman" w:hAnsi="Times New Roman" w:cs="Times New Roman"/>
          <w:sz w:val="28"/>
          <w:szCs w:val="28"/>
        </w:rPr>
        <w:t>a</w:t>
      </w:r>
      <w:r w:rsidRPr="00EF0940">
        <w:rPr>
          <w:rFonts w:ascii="Times New Roman" w:hAnsi="Times New Roman" w:cs="Times New Roman"/>
          <w:sz w:val="28"/>
          <w:szCs w:val="28"/>
        </w:rPr>
        <w:t xml:space="preserve"> reference to </w:t>
      </w:r>
      <w:r w:rsidRPr="00EF0940">
        <w:rPr>
          <w:rFonts w:ascii="Times New Roman" w:hAnsi="Times New Roman" w:cs="Times New Roman"/>
          <w:i/>
          <w:sz w:val="28"/>
          <w:szCs w:val="28"/>
        </w:rPr>
        <w:t>Strickland v. Washington</w:t>
      </w:r>
      <w:r w:rsidRPr="00EF0940">
        <w:rPr>
          <w:rFonts w:ascii="Times New Roman" w:hAnsi="Times New Roman" w:cs="Times New Roman"/>
          <w:sz w:val="28"/>
          <w:szCs w:val="28"/>
        </w:rPr>
        <w:t xml:space="preserve"> in a comment to this rule</w:t>
      </w:r>
      <w:r>
        <w:rPr>
          <w:rFonts w:ascii="Times New Roman" w:hAnsi="Times New Roman" w:cs="Times New Roman"/>
          <w:sz w:val="28"/>
          <w:szCs w:val="28"/>
        </w:rPr>
        <w:t>,</w:t>
      </w:r>
      <w:r w:rsidR="00DC18EA">
        <w:rPr>
          <w:rFonts w:ascii="Times New Roman" w:hAnsi="Times New Roman" w:cs="Times New Roman"/>
          <w:sz w:val="28"/>
          <w:szCs w:val="28"/>
        </w:rPr>
        <w:t xml:space="preserve"> it</w:t>
      </w:r>
      <w:r>
        <w:rPr>
          <w:rFonts w:ascii="Times New Roman" w:hAnsi="Times New Roman" w:cs="Times New Roman"/>
          <w:sz w:val="28"/>
          <w:szCs w:val="28"/>
        </w:rPr>
        <w:t xml:space="preserve"> also </w:t>
      </w:r>
      <w:r w:rsidRPr="00EF0940">
        <w:rPr>
          <w:rFonts w:ascii="Times New Roman" w:hAnsi="Times New Roman" w:cs="Times New Roman"/>
          <w:sz w:val="28"/>
          <w:szCs w:val="28"/>
        </w:rPr>
        <w:t xml:space="preserve">agreed to retain the first sentence </w:t>
      </w:r>
      <w:r w:rsidR="00DC18EA">
        <w:rPr>
          <w:rFonts w:ascii="Times New Roman" w:hAnsi="Times New Roman" w:cs="Times New Roman"/>
          <w:sz w:val="28"/>
          <w:szCs w:val="28"/>
        </w:rPr>
        <w:t>of</w:t>
      </w:r>
      <w:r w:rsidRPr="00EF0940">
        <w:rPr>
          <w:rFonts w:ascii="Times New Roman" w:hAnsi="Times New Roman" w:cs="Times New Roman"/>
          <w:sz w:val="28"/>
          <w:szCs w:val="28"/>
        </w:rPr>
        <w:t xml:space="preserve"> the comment, which they believe has value for readers.</w:t>
      </w:r>
      <w:r w:rsidR="006E10C1">
        <w:rPr>
          <w:rFonts w:ascii="Times New Roman" w:hAnsi="Times New Roman" w:cs="Times New Roman"/>
          <w:sz w:val="28"/>
          <w:szCs w:val="28"/>
        </w:rPr>
        <w:t xml:space="preserve"> </w:t>
      </w:r>
      <w:r w:rsidR="004635B1">
        <w:rPr>
          <w:rFonts w:ascii="Times New Roman" w:hAnsi="Times New Roman" w:cs="Times New Roman"/>
          <w:sz w:val="28"/>
          <w:szCs w:val="28"/>
        </w:rPr>
        <w:t xml:space="preserve"> (That sentence says, “Rule 32.6(c) is intended to assist counsel in reviewing </w:t>
      </w:r>
      <w:r w:rsidR="004635B1">
        <w:rPr>
          <w:rFonts w:ascii="Times New Roman" w:hAnsi="Times New Roman" w:cs="Times New Roman"/>
          <w:sz w:val="28"/>
          <w:szCs w:val="28"/>
        </w:rPr>
        <w:lastRenderedPageBreak/>
        <w:t>the record to ensure that substantial justice is done.”)</w:t>
      </w:r>
      <w:r w:rsidRPr="00EF0940">
        <w:rPr>
          <w:rFonts w:ascii="Times New Roman" w:hAnsi="Times New Roman" w:cs="Times New Roman"/>
          <w:sz w:val="28"/>
          <w:szCs w:val="28"/>
        </w:rPr>
        <w:t xml:space="preserve">  </w:t>
      </w:r>
      <w:r>
        <w:rPr>
          <w:rFonts w:ascii="Times New Roman" w:hAnsi="Times New Roman" w:cs="Times New Roman"/>
          <w:sz w:val="28"/>
          <w:szCs w:val="28"/>
        </w:rPr>
        <w:t>Finally, they</w:t>
      </w:r>
      <w:r w:rsidRPr="00EF0940">
        <w:rPr>
          <w:rFonts w:ascii="Times New Roman" w:hAnsi="Times New Roman" w:cs="Times New Roman"/>
          <w:sz w:val="28"/>
          <w:szCs w:val="28"/>
        </w:rPr>
        <w:t xml:space="preserve"> agreed to add to the comment to Rules 32.6(c) and 33.6(c) the following, as suggested by the SBA but with slight modification: “Counsel must take care that the Notice of No Colorable Claims does not reveal client confidences to the court without the client’s informed consent.  See Ariz. Rules Sup. Ct. 43, E.R. 1.6.”</w:t>
      </w:r>
    </w:p>
    <w:p w14:paraId="0C00B0BC" w14:textId="19770915" w:rsidR="0000219F" w:rsidRPr="00CA305B" w:rsidRDefault="00EF0940" w:rsidP="00F375D5">
      <w:pPr>
        <w:pStyle w:val="ListParagraph"/>
        <w:spacing w:line="480" w:lineRule="auto"/>
        <w:ind w:left="0" w:firstLine="720"/>
        <w:rPr>
          <w:rFonts w:ascii="Times New Roman" w:hAnsi="Times New Roman" w:cs="Times New Roman"/>
          <w:sz w:val="28"/>
          <w:szCs w:val="28"/>
        </w:rPr>
      </w:pPr>
      <w:r w:rsidRPr="00ED77A0">
        <w:rPr>
          <w:rFonts w:ascii="Times New Roman" w:hAnsi="Times New Roman" w:cs="Times New Roman"/>
          <w:b/>
          <w:sz w:val="28"/>
          <w:szCs w:val="28"/>
          <w:u w:val="single"/>
        </w:rPr>
        <w:t xml:space="preserve">3. </w:t>
      </w:r>
      <w:r w:rsidR="00A14E00" w:rsidRPr="00ED77A0">
        <w:rPr>
          <w:rFonts w:ascii="Times New Roman" w:hAnsi="Times New Roman" w:cs="Times New Roman"/>
          <w:b/>
          <w:sz w:val="28"/>
          <w:szCs w:val="28"/>
          <w:u w:val="single"/>
        </w:rPr>
        <w:t xml:space="preserve">Changes </w:t>
      </w:r>
      <w:r w:rsidR="00775C52" w:rsidRPr="00ED77A0">
        <w:rPr>
          <w:rFonts w:ascii="Times New Roman" w:hAnsi="Times New Roman" w:cs="Times New Roman"/>
          <w:b/>
          <w:sz w:val="28"/>
          <w:szCs w:val="28"/>
          <w:u w:val="single"/>
        </w:rPr>
        <w:t xml:space="preserve">to </w:t>
      </w:r>
      <w:r w:rsidR="0000219F">
        <w:rPr>
          <w:rFonts w:ascii="Times New Roman" w:hAnsi="Times New Roman" w:cs="Times New Roman"/>
          <w:b/>
          <w:sz w:val="28"/>
          <w:szCs w:val="28"/>
          <w:u w:val="single"/>
        </w:rPr>
        <w:t>the proposed rules</w:t>
      </w:r>
      <w:r w:rsidR="001E4DA0" w:rsidRPr="00ED77A0">
        <w:rPr>
          <w:rFonts w:ascii="Times New Roman" w:hAnsi="Times New Roman" w:cs="Times New Roman"/>
          <w:b/>
          <w:sz w:val="28"/>
          <w:szCs w:val="28"/>
          <w:u w:val="single"/>
        </w:rPr>
        <w:t xml:space="preserve"> </w:t>
      </w:r>
      <w:r w:rsidR="00A14E00" w:rsidRPr="00ED77A0">
        <w:rPr>
          <w:rFonts w:ascii="Times New Roman" w:hAnsi="Times New Roman" w:cs="Times New Roman"/>
          <w:b/>
          <w:sz w:val="28"/>
          <w:szCs w:val="28"/>
          <w:u w:val="single"/>
        </w:rPr>
        <w:t>on the Task Force’s initiative</w:t>
      </w:r>
      <w:r w:rsidR="00750AAC" w:rsidRPr="00ED77A0">
        <w:rPr>
          <w:rFonts w:ascii="Times New Roman" w:hAnsi="Times New Roman" w:cs="Times New Roman"/>
          <w:b/>
          <w:sz w:val="28"/>
          <w:szCs w:val="28"/>
          <w:u w:val="single"/>
        </w:rPr>
        <w:t>.</w:t>
      </w:r>
      <w:r w:rsidR="00750AAC" w:rsidRPr="00ED77A0">
        <w:rPr>
          <w:rFonts w:ascii="Times New Roman" w:hAnsi="Times New Roman" w:cs="Times New Roman"/>
          <w:sz w:val="28"/>
          <w:szCs w:val="28"/>
        </w:rPr>
        <w:t xml:space="preserve"> </w:t>
      </w:r>
      <w:r w:rsidR="00ED77A0" w:rsidRPr="00ED77A0">
        <w:rPr>
          <w:rFonts w:ascii="Times New Roman" w:hAnsi="Times New Roman" w:cs="Times New Roman"/>
          <w:sz w:val="28"/>
          <w:szCs w:val="28"/>
        </w:rPr>
        <w:t xml:space="preserve"> </w:t>
      </w:r>
      <w:r w:rsidR="0000219F">
        <w:rPr>
          <w:rFonts w:ascii="Times New Roman" w:hAnsi="Times New Roman" w:cs="Times New Roman"/>
          <w:sz w:val="28"/>
          <w:szCs w:val="28"/>
        </w:rPr>
        <w:t>The original R-19-0012 petition requested a simple conforming change to Rule 17.1(e)—changing a cross-reference to Rule 33</w:t>
      </w:r>
      <w:r w:rsidR="00F375D5">
        <w:rPr>
          <w:rFonts w:ascii="Times New Roman" w:hAnsi="Times New Roman" w:cs="Times New Roman"/>
          <w:sz w:val="28"/>
          <w:szCs w:val="28"/>
        </w:rPr>
        <w:t xml:space="preserve"> rather than Rule 32</w:t>
      </w:r>
      <w:r w:rsidR="0000219F">
        <w:rPr>
          <w:rFonts w:ascii="Times New Roman" w:hAnsi="Times New Roman" w:cs="Times New Roman"/>
          <w:sz w:val="28"/>
          <w:szCs w:val="28"/>
        </w:rPr>
        <w:t xml:space="preserve">—and the caption of this </w:t>
      </w:r>
      <w:r w:rsidR="00AB73C8">
        <w:rPr>
          <w:rFonts w:ascii="Times New Roman" w:hAnsi="Times New Roman" w:cs="Times New Roman"/>
          <w:sz w:val="28"/>
          <w:szCs w:val="28"/>
        </w:rPr>
        <w:t>R</w:t>
      </w:r>
      <w:r w:rsidR="0000219F">
        <w:rPr>
          <w:rFonts w:ascii="Times New Roman" w:hAnsi="Times New Roman" w:cs="Times New Roman"/>
          <w:sz w:val="28"/>
          <w:szCs w:val="28"/>
        </w:rPr>
        <w:t xml:space="preserve">eply continues to refer to </w:t>
      </w:r>
      <w:r w:rsidR="00F375D5">
        <w:rPr>
          <w:rFonts w:ascii="Times New Roman" w:hAnsi="Times New Roman" w:cs="Times New Roman"/>
          <w:sz w:val="28"/>
          <w:szCs w:val="28"/>
        </w:rPr>
        <w:t xml:space="preserve">Petitioner’s request for </w:t>
      </w:r>
      <w:r w:rsidR="0000219F">
        <w:rPr>
          <w:rFonts w:ascii="Times New Roman" w:hAnsi="Times New Roman" w:cs="Times New Roman"/>
          <w:sz w:val="28"/>
          <w:szCs w:val="28"/>
        </w:rPr>
        <w:t xml:space="preserve">a conforming change to Rule 17.1(e).  But the versions of Rule 17.1(e) contained in the amended petition and in this </w:t>
      </w:r>
      <w:r w:rsidR="00AB73C8">
        <w:rPr>
          <w:rFonts w:ascii="Times New Roman" w:hAnsi="Times New Roman" w:cs="Times New Roman"/>
          <w:sz w:val="28"/>
          <w:szCs w:val="28"/>
        </w:rPr>
        <w:t>R</w:t>
      </w:r>
      <w:r w:rsidR="0000219F">
        <w:rPr>
          <w:rFonts w:ascii="Times New Roman" w:hAnsi="Times New Roman" w:cs="Times New Roman"/>
          <w:sz w:val="28"/>
          <w:szCs w:val="28"/>
        </w:rPr>
        <w:t xml:space="preserve">eply </w:t>
      </w:r>
      <w:r w:rsidR="00F375D5">
        <w:rPr>
          <w:rFonts w:ascii="Times New Roman" w:hAnsi="Times New Roman" w:cs="Times New Roman"/>
          <w:sz w:val="28"/>
          <w:szCs w:val="28"/>
        </w:rPr>
        <w:t>request</w:t>
      </w:r>
      <w:r w:rsidR="0000219F">
        <w:rPr>
          <w:rFonts w:ascii="Times New Roman" w:hAnsi="Times New Roman" w:cs="Times New Roman"/>
          <w:sz w:val="28"/>
          <w:szCs w:val="28"/>
        </w:rPr>
        <w:t xml:space="preserve"> more than </w:t>
      </w:r>
      <w:r w:rsidR="00E14801">
        <w:rPr>
          <w:rFonts w:ascii="Times New Roman" w:hAnsi="Times New Roman" w:cs="Times New Roman"/>
          <w:sz w:val="28"/>
          <w:szCs w:val="28"/>
        </w:rPr>
        <w:t>a</w:t>
      </w:r>
      <w:r w:rsidR="00A77781">
        <w:rPr>
          <w:rFonts w:ascii="Times New Roman" w:hAnsi="Times New Roman" w:cs="Times New Roman"/>
          <w:sz w:val="28"/>
          <w:szCs w:val="28"/>
        </w:rPr>
        <w:t xml:space="preserve"> </w:t>
      </w:r>
      <w:r w:rsidR="0000219F">
        <w:rPr>
          <w:rFonts w:ascii="Times New Roman" w:hAnsi="Times New Roman" w:cs="Times New Roman"/>
          <w:sz w:val="28"/>
          <w:szCs w:val="28"/>
        </w:rPr>
        <w:t>conforming change.  With the members’ permission, Task Force s</w:t>
      </w:r>
      <w:r w:rsidR="0000219F" w:rsidRPr="00CA305B">
        <w:rPr>
          <w:rFonts w:ascii="Times New Roman" w:hAnsi="Times New Roman" w:cs="Times New Roman"/>
          <w:sz w:val="28"/>
          <w:szCs w:val="28"/>
        </w:rPr>
        <w:t xml:space="preserve">taff restyled Rule 17.1(e) before including it as Appendix 1-AP to the amended petition.  </w:t>
      </w:r>
      <w:r w:rsidR="0000219F">
        <w:rPr>
          <w:rFonts w:ascii="Times New Roman" w:hAnsi="Times New Roman" w:cs="Times New Roman"/>
          <w:sz w:val="28"/>
          <w:szCs w:val="28"/>
        </w:rPr>
        <w:t xml:space="preserve">At the May 10, 2019 </w:t>
      </w:r>
      <w:r w:rsidR="006B38A3">
        <w:rPr>
          <w:rFonts w:ascii="Times New Roman" w:hAnsi="Times New Roman" w:cs="Times New Roman"/>
          <w:sz w:val="28"/>
          <w:szCs w:val="28"/>
        </w:rPr>
        <w:t xml:space="preserve">Task Force </w:t>
      </w:r>
      <w:r w:rsidR="0000219F">
        <w:rPr>
          <w:rFonts w:ascii="Times New Roman" w:hAnsi="Times New Roman" w:cs="Times New Roman"/>
          <w:sz w:val="28"/>
          <w:szCs w:val="28"/>
        </w:rPr>
        <w:t>meeting,</w:t>
      </w:r>
      <w:r w:rsidR="0000219F" w:rsidRPr="00CA305B">
        <w:rPr>
          <w:rFonts w:ascii="Times New Roman" w:hAnsi="Times New Roman" w:cs="Times New Roman"/>
          <w:sz w:val="28"/>
          <w:szCs w:val="28"/>
        </w:rPr>
        <w:t xml:space="preserve"> members </w:t>
      </w:r>
      <w:r w:rsidR="0000219F">
        <w:rPr>
          <w:rFonts w:ascii="Times New Roman" w:hAnsi="Times New Roman" w:cs="Times New Roman"/>
          <w:sz w:val="28"/>
          <w:szCs w:val="28"/>
        </w:rPr>
        <w:t xml:space="preserve">further </w:t>
      </w:r>
      <w:r w:rsidR="0000219F" w:rsidRPr="00CA305B">
        <w:rPr>
          <w:rFonts w:ascii="Times New Roman" w:hAnsi="Times New Roman" w:cs="Times New Roman"/>
          <w:sz w:val="28"/>
          <w:szCs w:val="28"/>
        </w:rPr>
        <w:t>revised the second sentence of th</w:t>
      </w:r>
      <w:r w:rsidR="00F375D5">
        <w:rPr>
          <w:rFonts w:ascii="Times New Roman" w:hAnsi="Times New Roman" w:cs="Times New Roman"/>
          <w:sz w:val="28"/>
          <w:szCs w:val="28"/>
        </w:rPr>
        <w:t>is</w:t>
      </w:r>
      <w:r w:rsidR="0000219F" w:rsidRPr="00CA305B">
        <w:rPr>
          <w:rFonts w:ascii="Times New Roman" w:hAnsi="Times New Roman" w:cs="Times New Roman"/>
          <w:sz w:val="28"/>
          <w:szCs w:val="28"/>
        </w:rPr>
        <w:t xml:space="preserve"> two-sentence rule by deleting the word “however” and by changing the order</w:t>
      </w:r>
      <w:r w:rsidR="00DC18EA" w:rsidRPr="00DC18EA">
        <w:rPr>
          <w:rFonts w:ascii="Times New Roman" w:hAnsi="Times New Roman" w:cs="Times New Roman"/>
          <w:sz w:val="28"/>
          <w:szCs w:val="28"/>
        </w:rPr>
        <w:t xml:space="preserve"> </w:t>
      </w:r>
      <w:r w:rsidR="00DC18EA" w:rsidRPr="00CA305B">
        <w:rPr>
          <w:rFonts w:ascii="Times New Roman" w:hAnsi="Times New Roman" w:cs="Times New Roman"/>
          <w:sz w:val="28"/>
          <w:szCs w:val="28"/>
        </w:rPr>
        <w:t xml:space="preserve">of </w:t>
      </w:r>
      <w:r w:rsidR="00084380">
        <w:rPr>
          <w:rFonts w:ascii="Times New Roman" w:hAnsi="Times New Roman" w:cs="Times New Roman"/>
          <w:sz w:val="28"/>
          <w:szCs w:val="28"/>
        </w:rPr>
        <w:t>the text</w:t>
      </w:r>
      <w:r w:rsidR="0000219F" w:rsidRPr="00CA305B">
        <w:rPr>
          <w:rFonts w:ascii="Times New Roman" w:hAnsi="Times New Roman" w:cs="Times New Roman"/>
          <w:sz w:val="28"/>
          <w:szCs w:val="28"/>
        </w:rPr>
        <w:t xml:space="preserve">, but not </w:t>
      </w:r>
      <w:r w:rsidR="00DC18EA">
        <w:rPr>
          <w:rFonts w:ascii="Times New Roman" w:hAnsi="Times New Roman" w:cs="Times New Roman"/>
          <w:sz w:val="28"/>
          <w:szCs w:val="28"/>
        </w:rPr>
        <w:t>its</w:t>
      </w:r>
      <w:r w:rsidR="0000219F" w:rsidRPr="00CA305B">
        <w:rPr>
          <w:rFonts w:ascii="Times New Roman" w:hAnsi="Times New Roman" w:cs="Times New Roman"/>
          <w:sz w:val="28"/>
          <w:szCs w:val="28"/>
        </w:rPr>
        <w:t xml:space="preserve"> substance.</w:t>
      </w:r>
      <w:r w:rsidR="0000219F">
        <w:rPr>
          <w:rFonts w:ascii="Times New Roman" w:hAnsi="Times New Roman" w:cs="Times New Roman"/>
          <w:sz w:val="28"/>
          <w:szCs w:val="28"/>
        </w:rPr>
        <w:t xml:space="preserve">  This </w:t>
      </w:r>
      <w:r w:rsidR="00AB73C8">
        <w:rPr>
          <w:rFonts w:ascii="Times New Roman" w:hAnsi="Times New Roman" w:cs="Times New Roman"/>
          <w:sz w:val="28"/>
          <w:szCs w:val="28"/>
        </w:rPr>
        <w:t>R</w:t>
      </w:r>
      <w:r w:rsidR="0000219F">
        <w:rPr>
          <w:rFonts w:ascii="Times New Roman" w:hAnsi="Times New Roman" w:cs="Times New Roman"/>
          <w:sz w:val="28"/>
          <w:szCs w:val="28"/>
        </w:rPr>
        <w:t>eply requests adoption of the version contained in Appendix 1-R (shown with redlines)</w:t>
      </w:r>
      <w:r w:rsidR="001F3E5A">
        <w:rPr>
          <w:rFonts w:ascii="Times New Roman" w:hAnsi="Times New Roman" w:cs="Times New Roman"/>
          <w:sz w:val="28"/>
          <w:szCs w:val="28"/>
        </w:rPr>
        <w:t>.</w:t>
      </w:r>
      <w:r w:rsidR="0000219F">
        <w:rPr>
          <w:rFonts w:ascii="Times New Roman" w:hAnsi="Times New Roman" w:cs="Times New Roman"/>
          <w:sz w:val="28"/>
          <w:szCs w:val="28"/>
        </w:rPr>
        <w:t xml:space="preserve"> </w:t>
      </w:r>
    </w:p>
    <w:p w14:paraId="43DC4DDA" w14:textId="18D8837C" w:rsidR="00ED77A0" w:rsidRPr="00ED77A0" w:rsidRDefault="000C558C" w:rsidP="00ED77A0">
      <w:pPr>
        <w:pStyle w:val="ListParagraph"/>
        <w:spacing w:line="480" w:lineRule="auto"/>
        <w:ind w:left="0" w:firstLine="720"/>
        <w:rPr>
          <w:rFonts w:ascii="Times New Roman" w:hAnsi="Times New Roman" w:cs="Times New Roman"/>
          <w:sz w:val="28"/>
          <w:szCs w:val="28"/>
        </w:rPr>
      </w:pPr>
      <w:r>
        <w:rPr>
          <w:rFonts w:ascii="Times New Roman" w:hAnsi="Times New Roman" w:cs="Times New Roman"/>
          <w:sz w:val="28"/>
          <w:szCs w:val="28"/>
        </w:rPr>
        <w:t>The Task Force</w:t>
      </w:r>
      <w:r w:rsidR="00ED77A0" w:rsidRPr="00ED77A0">
        <w:rPr>
          <w:rFonts w:ascii="Times New Roman" w:hAnsi="Times New Roman" w:cs="Times New Roman"/>
          <w:sz w:val="28"/>
          <w:szCs w:val="28"/>
        </w:rPr>
        <w:t xml:space="preserve"> considered the possibility of a conflict between the wavier provisions of Rule 32.2(a) and (b)</w:t>
      </w:r>
      <w:r w:rsidR="00C41FC5">
        <w:rPr>
          <w:rFonts w:ascii="Times New Roman" w:hAnsi="Times New Roman" w:cs="Times New Roman"/>
          <w:sz w:val="28"/>
          <w:szCs w:val="28"/>
        </w:rPr>
        <w:t xml:space="preserve"> on the one hand</w:t>
      </w:r>
      <w:r w:rsidR="00F375D5">
        <w:rPr>
          <w:rFonts w:ascii="Times New Roman" w:hAnsi="Times New Roman" w:cs="Times New Roman"/>
          <w:sz w:val="28"/>
          <w:szCs w:val="28"/>
        </w:rPr>
        <w:t>,</w:t>
      </w:r>
      <w:r w:rsidR="00ED77A0" w:rsidRPr="00ED77A0">
        <w:rPr>
          <w:rFonts w:ascii="Times New Roman" w:hAnsi="Times New Roman" w:cs="Times New Roman"/>
          <w:sz w:val="28"/>
          <w:szCs w:val="28"/>
        </w:rPr>
        <w:t xml:space="preserve"> and Rule 32.16(c)(4)</w:t>
      </w:r>
      <w:r w:rsidR="00C41FC5">
        <w:rPr>
          <w:rFonts w:ascii="Times New Roman" w:hAnsi="Times New Roman" w:cs="Times New Roman"/>
          <w:sz w:val="28"/>
          <w:szCs w:val="28"/>
        </w:rPr>
        <w:t xml:space="preserve"> on the other</w:t>
      </w:r>
      <w:r w:rsidR="00ED77A0" w:rsidRPr="00ED77A0">
        <w:rPr>
          <w:rFonts w:ascii="Times New Roman" w:hAnsi="Times New Roman" w:cs="Times New Roman"/>
          <w:sz w:val="28"/>
          <w:szCs w:val="28"/>
        </w:rPr>
        <w:t xml:space="preserve">.  After discussion, members concurred that waiver applies only to a petition for review of </w:t>
      </w:r>
      <w:r w:rsidR="00C41FC5">
        <w:rPr>
          <w:rFonts w:ascii="Times New Roman" w:hAnsi="Times New Roman" w:cs="Times New Roman"/>
          <w:sz w:val="28"/>
          <w:szCs w:val="28"/>
        </w:rPr>
        <w:t>a</w:t>
      </w:r>
      <w:r w:rsidR="00ED77A0" w:rsidRPr="00ED77A0">
        <w:rPr>
          <w:rFonts w:ascii="Times New Roman" w:hAnsi="Times New Roman" w:cs="Times New Roman"/>
          <w:sz w:val="28"/>
          <w:szCs w:val="28"/>
        </w:rPr>
        <w:t xml:space="preserve"> post-conviction proceeding, and not to an appeal from the original </w:t>
      </w:r>
      <w:r w:rsidR="00ED77A0" w:rsidRPr="00ED77A0">
        <w:rPr>
          <w:rFonts w:ascii="Times New Roman" w:hAnsi="Times New Roman" w:cs="Times New Roman"/>
          <w:sz w:val="28"/>
          <w:szCs w:val="28"/>
        </w:rPr>
        <w:lastRenderedPageBreak/>
        <w:t xml:space="preserve">conviction.  However, to further clarify Rule 32.16(c)(4), which refers to a “petition or cross-petition for review,” </w:t>
      </w:r>
      <w:r>
        <w:rPr>
          <w:rFonts w:ascii="Times New Roman" w:hAnsi="Times New Roman" w:cs="Times New Roman"/>
          <w:sz w:val="28"/>
          <w:szCs w:val="28"/>
        </w:rPr>
        <w:t>the Task Force</w:t>
      </w:r>
      <w:r w:rsidR="00ED77A0" w:rsidRPr="00ED77A0">
        <w:rPr>
          <w:rFonts w:ascii="Times New Roman" w:hAnsi="Times New Roman" w:cs="Times New Roman"/>
          <w:sz w:val="28"/>
          <w:szCs w:val="28"/>
        </w:rPr>
        <w:t xml:space="preserve"> added the words “for review” so it now says, “petition for review or cross-petition for review.”</w:t>
      </w:r>
    </w:p>
    <w:p w14:paraId="55C87841" w14:textId="5D5E335D" w:rsidR="00ED77A0" w:rsidRPr="00ED77A0" w:rsidRDefault="00ED77A0" w:rsidP="00C41FC5">
      <w:pPr>
        <w:pStyle w:val="ListParagraph"/>
        <w:spacing w:line="480" w:lineRule="auto"/>
        <w:ind w:left="0" w:firstLine="720"/>
        <w:rPr>
          <w:rFonts w:ascii="Times New Roman" w:hAnsi="Times New Roman" w:cs="Times New Roman"/>
          <w:sz w:val="28"/>
          <w:szCs w:val="28"/>
        </w:rPr>
      </w:pPr>
      <w:r w:rsidRPr="00ED77A0">
        <w:rPr>
          <w:rFonts w:ascii="Times New Roman" w:hAnsi="Times New Roman" w:cs="Times New Roman"/>
          <w:sz w:val="28"/>
          <w:szCs w:val="28"/>
        </w:rPr>
        <w:t>T</w:t>
      </w:r>
      <w:r w:rsidR="000C558C">
        <w:rPr>
          <w:rFonts w:ascii="Times New Roman" w:hAnsi="Times New Roman" w:cs="Times New Roman"/>
          <w:sz w:val="28"/>
          <w:szCs w:val="28"/>
        </w:rPr>
        <w:t>he T</w:t>
      </w:r>
      <w:r w:rsidRPr="00ED77A0">
        <w:rPr>
          <w:rFonts w:ascii="Times New Roman" w:hAnsi="Times New Roman" w:cs="Times New Roman"/>
          <w:sz w:val="28"/>
          <w:szCs w:val="28"/>
        </w:rPr>
        <w:t xml:space="preserve">ask Force critically reviewed </w:t>
      </w:r>
      <w:r w:rsidR="000C558C">
        <w:rPr>
          <w:rFonts w:ascii="Times New Roman" w:hAnsi="Times New Roman" w:cs="Times New Roman"/>
          <w:sz w:val="28"/>
          <w:szCs w:val="28"/>
        </w:rPr>
        <w:t>its</w:t>
      </w:r>
      <w:r w:rsidRPr="00ED77A0">
        <w:rPr>
          <w:rFonts w:ascii="Times New Roman" w:hAnsi="Times New Roman" w:cs="Times New Roman"/>
          <w:sz w:val="28"/>
          <w:szCs w:val="28"/>
        </w:rPr>
        <w:t xml:space="preserve"> April</w:t>
      </w:r>
      <w:r w:rsidR="00972FD7">
        <w:rPr>
          <w:rFonts w:ascii="Times New Roman" w:hAnsi="Times New Roman" w:cs="Times New Roman"/>
          <w:sz w:val="28"/>
          <w:szCs w:val="28"/>
        </w:rPr>
        <w:t xml:space="preserve"> 2019</w:t>
      </w:r>
      <w:r w:rsidRPr="00ED77A0">
        <w:rPr>
          <w:rFonts w:ascii="Times New Roman" w:hAnsi="Times New Roman" w:cs="Times New Roman"/>
          <w:sz w:val="28"/>
          <w:szCs w:val="28"/>
        </w:rPr>
        <w:t xml:space="preserve"> work product and concluded that several </w:t>
      </w:r>
      <w:r w:rsidR="00C41FC5">
        <w:rPr>
          <w:rFonts w:ascii="Times New Roman" w:hAnsi="Times New Roman" w:cs="Times New Roman"/>
          <w:sz w:val="28"/>
          <w:szCs w:val="28"/>
        </w:rPr>
        <w:t xml:space="preserve">other </w:t>
      </w:r>
      <w:r w:rsidRPr="00ED77A0">
        <w:rPr>
          <w:rFonts w:ascii="Times New Roman" w:hAnsi="Times New Roman" w:cs="Times New Roman"/>
          <w:sz w:val="28"/>
          <w:szCs w:val="28"/>
        </w:rPr>
        <w:t xml:space="preserve">changes were warranted.  </w:t>
      </w:r>
      <w:r w:rsidR="000C558C">
        <w:rPr>
          <w:rFonts w:ascii="Times New Roman" w:hAnsi="Times New Roman" w:cs="Times New Roman"/>
          <w:sz w:val="28"/>
          <w:szCs w:val="28"/>
        </w:rPr>
        <w:t>It</w:t>
      </w:r>
      <w:r w:rsidRPr="00ED77A0">
        <w:rPr>
          <w:rFonts w:ascii="Times New Roman" w:hAnsi="Times New Roman" w:cs="Times New Roman"/>
          <w:sz w:val="28"/>
          <w:szCs w:val="28"/>
        </w:rPr>
        <w:t xml:space="preserve"> agreed to the </w:t>
      </w:r>
      <w:r w:rsidR="00084380">
        <w:rPr>
          <w:rFonts w:ascii="Times New Roman" w:hAnsi="Times New Roman" w:cs="Times New Roman"/>
          <w:sz w:val="28"/>
          <w:szCs w:val="28"/>
        </w:rPr>
        <w:t xml:space="preserve">following </w:t>
      </w:r>
      <w:r w:rsidR="0060790C">
        <w:rPr>
          <w:rFonts w:ascii="Times New Roman" w:hAnsi="Times New Roman" w:cs="Times New Roman"/>
          <w:sz w:val="28"/>
          <w:szCs w:val="28"/>
        </w:rPr>
        <w:t>revisions</w:t>
      </w:r>
      <w:r w:rsidR="00084380">
        <w:rPr>
          <w:rFonts w:ascii="Times New Roman" w:hAnsi="Times New Roman" w:cs="Times New Roman"/>
          <w:sz w:val="28"/>
          <w:szCs w:val="28"/>
        </w:rPr>
        <w:t>:</w:t>
      </w:r>
    </w:p>
    <w:p w14:paraId="30A13C78" w14:textId="6FC2FE06" w:rsidR="00ED77A0" w:rsidRDefault="00ED77A0" w:rsidP="00C41FC5">
      <w:pPr>
        <w:pStyle w:val="ListParagraph"/>
        <w:numPr>
          <w:ilvl w:val="0"/>
          <w:numId w:val="10"/>
        </w:numPr>
        <w:spacing w:line="276" w:lineRule="auto"/>
        <w:rPr>
          <w:rFonts w:ascii="Times New Roman" w:hAnsi="Times New Roman" w:cs="Times New Roman"/>
          <w:sz w:val="28"/>
          <w:szCs w:val="28"/>
        </w:rPr>
      </w:pPr>
      <w:r w:rsidRPr="00ED77A0">
        <w:rPr>
          <w:rFonts w:ascii="Times New Roman" w:hAnsi="Times New Roman" w:cs="Times New Roman"/>
          <w:sz w:val="28"/>
          <w:szCs w:val="28"/>
        </w:rPr>
        <w:t xml:space="preserve">In Rules 32.6 and 33.6, </w:t>
      </w:r>
      <w:r w:rsidR="000C558C">
        <w:rPr>
          <w:rFonts w:ascii="Times New Roman" w:hAnsi="Times New Roman" w:cs="Times New Roman"/>
          <w:sz w:val="28"/>
          <w:szCs w:val="28"/>
        </w:rPr>
        <w:t>it</w:t>
      </w:r>
      <w:r w:rsidRPr="00ED77A0">
        <w:rPr>
          <w:rFonts w:ascii="Times New Roman" w:hAnsi="Times New Roman" w:cs="Times New Roman"/>
          <w:sz w:val="28"/>
          <w:szCs w:val="28"/>
        </w:rPr>
        <w:t xml:space="preserve"> agreed to change the phrase “defendant’s pro se petition” in the titles of these rules to “self-represented defendant’s petition.”</w:t>
      </w:r>
    </w:p>
    <w:p w14:paraId="55EF8A84" w14:textId="77777777" w:rsidR="00C41FC5" w:rsidRPr="00ED77A0" w:rsidRDefault="00C41FC5" w:rsidP="00C41FC5">
      <w:pPr>
        <w:pStyle w:val="ListParagraph"/>
        <w:spacing w:line="276" w:lineRule="auto"/>
        <w:ind w:left="1080" w:firstLine="0"/>
        <w:rPr>
          <w:rFonts w:ascii="Times New Roman" w:hAnsi="Times New Roman" w:cs="Times New Roman"/>
          <w:sz w:val="28"/>
          <w:szCs w:val="28"/>
        </w:rPr>
      </w:pPr>
    </w:p>
    <w:p w14:paraId="34998A35" w14:textId="3C4E4741" w:rsidR="00ED77A0" w:rsidRDefault="00ED77A0" w:rsidP="00C41FC5">
      <w:pPr>
        <w:pStyle w:val="ListParagraph"/>
        <w:numPr>
          <w:ilvl w:val="0"/>
          <w:numId w:val="10"/>
        </w:numPr>
        <w:spacing w:line="276" w:lineRule="auto"/>
        <w:rPr>
          <w:rFonts w:ascii="Times New Roman" w:hAnsi="Times New Roman" w:cs="Times New Roman"/>
          <w:sz w:val="28"/>
          <w:szCs w:val="28"/>
        </w:rPr>
      </w:pPr>
      <w:r w:rsidRPr="00ED77A0">
        <w:rPr>
          <w:rFonts w:ascii="Times New Roman" w:hAnsi="Times New Roman" w:cs="Times New Roman"/>
          <w:sz w:val="28"/>
          <w:szCs w:val="28"/>
        </w:rPr>
        <w:t xml:space="preserve">In Rule 32.16(c)(1), after the words “exceed 12,000 words,” </w:t>
      </w:r>
      <w:r w:rsidR="000C558C">
        <w:rPr>
          <w:rFonts w:ascii="Times New Roman" w:hAnsi="Times New Roman" w:cs="Times New Roman"/>
          <w:sz w:val="28"/>
          <w:szCs w:val="28"/>
        </w:rPr>
        <w:t>it</w:t>
      </w:r>
      <w:r w:rsidRPr="00ED77A0">
        <w:rPr>
          <w:rFonts w:ascii="Times New Roman" w:hAnsi="Times New Roman" w:cs="Times New Roman"/>
          <w:sz w:val="28"/>
          <w:szCs w:val="28"/>
        </w:rPr>
        <w:t xml:space="preserve"> added the words “if typed.”</w:t>
      </w:r>
    </w:p>
    <w:p w14:paraId="27BBAC09" w14:textId="77777777" w:rsidR="00C41FC5" w:rsidRPr="00C41FC5" w:rsidRDefault="00C41FC5" w:rsidP="00C41FC5">
      <w:pPr>
        <w:pStyle w:val="ListParagraph"/>
        <w:rPr>
          <w:rFonts w:ascii="Times New Roman" w:hAnsi="Times New Roman" w:cs="Times New Roman"/>
          <w:sz w:val="28"/>
          <w:szCs w:val="28"/>
        </w:rPr>
      </w:pPr>
    </w:p>
    <w:p w14:paraId="20C128F6" w14:textId="18F45687" w:rsidR="00C41FC5" w:rsidRDefault="00ED77A0" w:rsidP="00A8068C">
      <w:pPr>
        <w:pStyle w:val="ListParagraph"/>
        <w:numPr>
          <w:ilvl w:val="0"/>
          <w:numId w:val="10"/>
        </w:numPr>
        <w:spacing w:line="276" w:lineRule="auto"/>
        <w:rPr>
          <w:rFonts w:ascii="Times New Roman" w:hAnsi="Times New Roman" w:cs="Times New Roman"/>
          <w:sz w:val="28"/>
          <w:szCs w:val="28"/>
        </w:rPr>
      </w:pPr>
      <w:r w:rsidRPr="0067401D">
        <w:rPr>
          <w:rFonts w:ascii="Times New Roman" w:hAnsi="Times New Roman" w:cs="Times New Roman"/>
          <w:sz w:val="28"/>
          <w:szCs w:val="28"/>
        </w:rPr>
        <w:t xml:space="preserve">In Rule 32.16(k), </w:t>
      </w:r>
      <w:r w:rsidR="000C558C">
        <w:rPr>
          <w:rFonts w:ascii="Times New Roman" w:hAnsi="Times New Roman" w:cs="Times New Roman"/>
          <w:sz w:val="28"/>
          <w:szCs w:val="28"/>
        </w:rPr>
        <w:t>it</w:t>
      </w:r>
      <w:r w:rsidRPr="0067401D">
        <w:rPr>
          <w:rFonts w:ascii="Times New Roman" w:hAnsi="Times New Roman" w:cs="Times New Roman"/>
          <w:sz w:val="28"/>
          <w:szCs w:val="28"/>
        </w:rPr>
        <w:t xml:space="preserve"> agreed to add “or cross-petition” after the words “the appellate court may grant review of the petition,” and to make a similar change to Rule 33.16(k).</w:t>
      </w:r>
    </w:p>
    <w:p w14:paraId="7E7BBF17" w14:textId="77777777" w:rsidR="00084380" w:rsidRPr="00084380" w:rsidRDefault="00084380" w:rsidP="00084380">
      <w:pPr>
        <w:pStyle w:val="ListParagraph"/>
        <w:rPr>
          <w:rFonts w:ascii="Times New Roman" w:hAnsi="Times New Roman" w:cs="Times New Roman"/>
          <w:sz w:val="28"/>
          <w:szCs w:val="28"/>
        </w:rPr>
      </w:pPr>
    </w:p>
    <w:p w14:paraId="275FFBEA" w14:textId="11C6A240" w:rsidR="00ED77A0" w:rsidRDefault="00ED77A0" w:rsidP="00C41FC5">
      <w:pPr>
        <w:pStyle w:val="ListParagraph"/>
        <w:numPr>
          <w:ilvl w:val="0"/>
          <w:numId w:val="10"/>
        </w:numPr>
        <w:spacing w:line="276" w:lineRule="auto"/>
        <w:rPr>
          <w:rFonts w:ascii="Times New Roman" w:hAnsi="Times New Roman" w:cs="Times New Roman"/>
          <w:sz w:val="28"/>
          <w:szCs w:val="28"/>
        </w:rPr>
      </w:pPr>
      <w:r w:rsidRPr="00ED77A0">
        <w:rPr>
          <w:rFonts w:ascii="Times New Roman" w:hAnsi="Times New Roman" w:cs="Times New Roman"/>
          <w:sz w:val="28"/>
          <w:szCs w:val="28"/>
        </w:rPr>
        <w:t xml:space="preserve">In Rule 32.17(d)(1)(A), and in the corresponding provision of Rule 33.17, </w:t>
      </w:r>
      <w:r w:rsidR="000C558C">
        <w:rPr>
          <w:rFonts w:ascii="Times New Roman" w:hAnsi="Times New Roman" w:cs="Times New Roman"/>
          <w:sz w:val="28"/>
          <w:szCs w:val="28"/>
        </w:rPr>
        <w:t>it</w:t>
      </w:r>
      <w:r w:rsidRPr="00ED77A0">
        <w:rPr>
          <w:rFonts w:ascii="Times New Roman" w:hAnsi="Times New Roman" w:cs="Times New Roman"/>
          <w:sz w:val="28"/>
          <w:szCs w:val="28"/>
        </w:rPr>
        <w:t xml:space="preserve"> agreed to add a comma after the words, “would have been more favorable.”</w:t>
      </w:r>
    </w:p>
    <w:p w14:paraId="3DC4D371" w14:textId="77777777" w:rsidR="00C41FC5" w:rsidRPr="00C41FC5" w:rsidRDefault="00C41FC5" w:rsidP="00C41FC5">
      <w:pPr>
        <w:pStyle w:val="ListParagraph"/>
        <w:rPr>
          <w:rFonts w:ascii="Times New Roman" w:hAnsi="Times New Roman" w:cs="Times New Roman"/>
          <w:sz w:val="28"/>
          <w:szCs w:val="28"/>
        </w:rPr>
      </w:pPr>
    </w:p>
    <w:p w14:paraId="2850026F" w14:textId="4604EBBE" w:rsidR="00ED77A0" w:rsidRDefault="00ED77A0" w:rsidP="00C41FC5">
      <w:pPr>
        <w:pStyle w:val="ListParagraph"/>
        <w:numPr>
          <w:ilvl w:val="0"/>
          <w:numId w:val="10"/>
        </w:numPr>
        <w:spacing w:line="276" w:lineRule="auto"/>
        <w:rPr>
          <w:rFonts w:ascii="Times New Roman" w:hAnsi="Times New Roman" w:cs="Times New Roman"/>
          <w:sz w:val="28"/>
          <w:szCs w:val="28"/>
        </w:rPr>
      </w:pPr>
      <w:r w:rsidRPr="00ED77A0">
        <w:rPr>
          <w:rFonts w:ascii="Times New Roman" w:hAnsi="Times New Roman" w:cs="Times New Roman"/>
          <w:sz w:val="28"/>
          <w:szCs w:val="28"/>
        </w:rPr>
        <w:t xml:space="preserve">In Rule 32.17(f), </w:t>
      </w:r>
      <w:r w:rsidR="000C558C">
        <w:rPr>
          <w:rFonts w:ascii="Times New Roman" w:hAnsi="Times New Roman" w:cs="Times New Roman"/>
          <w:sz w:val="28"/>
          <w:szCs w:val="28"/>
        </w:rPr>
        <w:t>it</w:t>
      </w:r>
      <w:r w:rsidRPr="00ED77A0">
        <w:rPr>
          <w:rFonts w:ascii="Times New Roman" w:hAnsi="Times New Roman" w:cs="Times New Roman"/>
          <w:sz w:val="28"/>
          <w:szCs w:val="28"/>
        </w:rPr>
        <w:t xml:space="preserve"> agreed to substitute “petition under this rule” </w:t>
      </w:r>
      <w:r w:rsidR="00F375D5">
        <w:rPr>
          <w:rFonts w:ascii="Times New Roman" w:hAnsi="Times New Roman" w:cs="Times New Roman"/>
          <w:sz w:val="28"/>
          <w:szCs w:val="28"/>
        </w:rPr>
        <w:t xml:space="preserve">(which might have </w:t>
      </w:r>
      <w:r w:rsidR="00084380">
        <w:rPr>
          <w:rFonts w:ascii="Times New Roman" w:hAnsi="Times New Roman" w:cs="Times New Roman"/>
          <w:sz w:val="28"/>
          <w:szCs w:val="28"/>
        </w:rPr>
        <w:t xml:space="preserve">ambiguously </w:t>
      </w:r>
      <w:r w:rsidR="00F375D5">
        <w:rPr>
          <w:rFonts w:ascii="Times New Roman" w:hAnsi="Times New Roman" w:cs="Times New Roman"/>
          <w:sz w:val="28"/>
          <w:szCs w:val="28"/>
        </w:rPr>
        <w:t xml:space="preserve">referred to either Rule 32.17 or to Rule 32 generally) </w:t>
      </w:r>
      <w:r w:rsidRPr="00ED77A0">
        <w:rPr>
          <w:rFonts w:ascii="Times New Roman" w:hAnsi="Times New Roman" w:cs="Times New Roman"/>
          <w:sz w:val="28"/>
          <w:szCs w:val="28"/>
        </w:rPr>
        <w:t>with “petition for post-conviction DNA testing,” and to make a similar change to Rule 33.17(f).</w:t>
      </w:r>
    </w:p>
    <w:p w14:paraId="44E288F5" w14:textId="77777777" w:rsidR="00C41FC5" w:rsidRPr="00C41FC5" w:rsidRDefault="00C41FC5" w:rsidP="00C41FC5">
      <w:pPr>
        <w:pStyle w:val="ListParagraph"/>
        <w:rPr>
          <w:rFonts w:ascii="Times New Roman" w:hAnsi="Times New Roman" w:cs="Times New Roman"/>
          <w:sz w:val="28"/>
          <w:szCs w:val="28"/>
        </w:rPr>
      </w:pPr>
    </w:p>
    <w:p w14:paraId="207A23EC" w14:textId="584B4FFD" w:rsidR="00ED77A0" w:rsidRDefault="00ED77A0" w:rsidP="00C41FC5">
      <w:pPr>
        <w:pStyle w:val="ListParagraph"/>
        <w:numPr>
          <w:ilvl w:val="0"/>
          <w:numId w:val="10"/>
        </w:numPr>
        <w:spacing w:line="276" w:lineRule="auto"/>
        <w:rPr>
          <w:rFonts w:ascii="Times New Roman" w:hAnsi="Times New Roman" w:cs="Times New Roman"/>
          <w:sz w:val="28"/>
          <w:szCs w:val="28"/>
        </w:rPr>
      </w:pPr>
      <w:r w:rsidRPr="00ED77A0">
        <w:rPr>
          <w:rFonts w:ascii="Times New Roman" w:hAnsi="Times New Roman" w:cs="Times New Roman"/>
          <w:sz w:val="28"/>
          <w:szCs w:val="28"/>
        </w:rPr>
        <w:t xml:space="preserve">In Rule 32.19, which refers to “capital cases” in the title but not in the body, </w:t>
      </w:r>
      <w:r w:rsidR="000C558C">
        <w:rPr>
          <w:rFonts w:ascii="Times New Roman" w:hAnsi="Times New Roman" w:cs="Times New Roman"/>
          <w:sz w:val="28"/>
          <w:szCs w:val="28"/>
        </w:rPr>
        <w:t>it</w:t>
      </w:r>
      <w:r w:rsidRPr="00ED77A0">
        <w:rPr>
          <w:rFonts w:ascii="Times New Roman" w:hAnsi="Times New Roman" w:cs="Times New Roman"/>
          <w:sz w:val="28"/>
          <w:szCs w:val="28"/>
        </w:rPr>
        <w:t xml:space="preserve"> agreed to add in the body </w:t>
      </w:r>
      <w:r w:rsidR="00F375D5">
        <w:rPr>
          <w:rFonts w:ascii="Times New Roman" w:hAnsi="Times New Roman" w:cs="Times New Roman"/>
          <w:sz w:val="28"/>
          <w:szCs w:val="28"/>
        </w:rPr>
        <w:t xml:space="preserve">of the rule </w:t>
      </w:r>
      <w:r w:rsidRPr="00ED77A0">
        <w:rPr>
          <w:rFonts w:ascii="Times New Roman" w:hAnsi="Times New Roman" w:cs="Times New Roman"/>
          <w:sz w:val="28"/>
          <w:szCs w:val="28"/>
        </w:rPr>
        <w:t xml:space="preserve">the words “in a capital case” after the words “intellectual disability.” </w:t>
      </w:r>
    </w:p>
    <w:p w14:paraId="5D24DAD1" w14:textId="77777777" w:rsidR="00C41FC5" w:rsidRPr="00C41FC5" w:rsidRDefault="00C41FC5" w:rsidP="00C41FC5">
      <w:pPr>
        <w:pStyle w:val="ListParagraph"/>
        <w:rPr>
          <w:rFonts w:ascii="Times New Roman" w:hAnsi="Times New Roman" w:cs="Times New Roman"/>
          <w:sz w:val="28"/>
          <w:szCs w:val="28"/>
        </w:rPr>
      </w:pPr>
    </w:p>
    <w:p w14:paraId="12005443" w14:textId="3F79F148" w:rsidR="00FF0C36" w:rsidRDefault="00ED77A0" w:rsidP="00084380">
      <w:pPr>
        <w:pStyle w:val="ListParagraph"/>
        <w:numPr>
          <w:ilvl w:val="0"/>
          <w:numId w:val="10"/>
        </w:numPr>
        <w:spacing w:before="240" w:line="276" w:lineRule="auto"/>
        <w:rPr>
          <w:rFonts w:ascii="Times New Roman" w:hAnsi="Times New Roman" w:cs="Times New Roman"/>
          <w:sz w:val="28"/>
          <w:szCs w:val="28"/>
        </w:rPr>
      </w:pPr>
      <w:r w:rsidRPr="00FF0C36">
        <w:rPr>
          <w:rFonts w:ascii="Times New Roman" w:hAnsi="Times New Roman" w:cs="Times New Roman"/>
          <w:sz w:val="28"/>
          <w:szCs w:val="28"/>
        </w:rPr>
        <w:t xml:space="preserve">In Rule 33.15, </w:t>
      </w:r>
      <w:r w:rsidR="000C558C">
        <w:rPr>
          <w:rFonts w:ascii="Times New Roman" w:hAnsi="Times New Roman" w:cs="Times New Roman"/>
          <w:sz w:val="28"/>
          <w:szCs w:val="28"/>
        </w:rPr>
        <w:t>it</w:t>
      </w:r>
      <w:r w:rsidRPr="00FF0C36">
        <w:rPr>
          <w:rFonts w:ascii="Times New Roman" w:hAnsi="Times New Roman" w:cs="Times New Roman"/>
          <w:sz w:val="28"/>
          <w:szCs w:val="28"/>
        </w:rPr>
        <w:t xml:space="preserve"> agreed to add the word “final,” so it says, “any final ruling,” which is consistent with the phrasing of Rule 32.15.</w:t>
      </w:r>
    </w:p>
    <w:p w14:paraId="060D5991" w14:textId="326309B2" w:rsidR="00C41FC5" w:rsidRPr="00C41FC5" w:rsidRDefault="00ED77A0" w:rsidP="00084380">
      <w:pPr>
        <w:spacing w:before="240" w:after="240" w:line="480" w:lineRule="auto"/>
        <w:ind w:firstLine="720"/>
        <w:jc w:val="both"/>
        <w:rPr>
          <w:sz w:val="28"/>
          <w:szCs w:val="28"/>
        </w:rPr>
      </w:pPr>
      <w:r w:rsidRPr="00C41FC5">
        <w:rPr>
          <w:sz w:val="28"/>
          <w:szCs w:val="28"/>
        </w:rPr>
        <w:lastRenderedPageBreak/>
        <w:t xml:space="preserve">Rules 32.13 and 32.14, and the corresponding provisions of Rule 33, alternatively use the terms “ruling” and “decision” to refer to the same thing.  After discussion, </w:t>
      </w:r>
      <w:r w:rsidR="00084380">
        <w:rPr>
          <w:sz w:val="28"/>
          <w:szCs w:val="28"/>
        </w:rPr>
        <w:t xml:space="preserve">the Task Force </w:t>
      </w:r>
      <w:r w:rsidRPr="00C41FC5">
        <w:rPr>
          <w:sz w:val="28"/>
          <w:szCs w:val="28"/>
        </w:rPr>
        <w:t>concluded that a change to these provisions was unnecessary.</w:t>
      </w:r>
      <w:r w:rsidR="00C41FC5" w:rsidRPr="00C41FC5">
        <w:rPr>
          <w:sz w:val="28"/>
          <w:szCs w:val="28"/>
        </w:rPr>
        <w:t xml:space="preserve"> </w:t>
      </w:r>
      <w:r w:rsidR="0067401D">
        <w:rPr>
          <w:sz w:val="28"/>
          <w:szCs w:val="28"/>
        </w:rPr>
        <w:t xml:space="preserve"> </w:t>
      </w:r>
      <w:r w:rsidR="00C41FC5" w:rsidRPr="00C41FC5">
        <w:rPr>
          <w:sz w:val="28"/>
          <w:szCs w:val="28"/>
        </w:rPr>
        <w:t xml:space="preserve">In Rule 32.16(f)(3), </w:t>
      </w:r>
      <w:r w:rsidR="000C558C">
        <w:rPr>
          <w:sz w:val="28"/>
          <w:szCs w:val="28"/>
        </w:rPr>
        <w:t>the</w:t>
      </w:r>
      <w:r w:rsidR="00084380">
        <w:rPr>
          <w:sz w:val="28"/>
          <w:szCs w:val="28"/>
        </w:rPr>
        <w:t xml:space="preserve"> Task Force </w:t>
      </w:r>
      <w:r w:rsidR="00C41FC5" w:rsidRPr="00C41FC5">
        <w:rPr>
          <w:sz w:val="28"/>
          <w:szCs w:val="28"/>
        </w:rPr>
        <w:t xml:space="preserve">discussed whether to change a provision that the </w:t>
      </w:r>
      <w:r w:rsidR="00AB73C8">
        <w:rPr>
          <w:sz w:val="28"/>
          <w:szCs w:val="28"/>
        </w:rPr>
        <w:t>R</w:t>
      </w:r>
      <w:r w:rsidR="00C41FC5" w:rsidRPr="00C41FC5">
        <w:rPr>
          <w:sz w:val="28"/>
          <w:szCs w:val="28"/>
        </w:rPr>
        <w:t>eply “may not include an appendix” to “must not” or “should not”</w:t>
      </w:r>
      <w:r w:rsidR="006B248F">
        <w:rPr>
          <w:sz w:val="28"/>
          <w:szCs w:val="28"/>
        </w:rPr>
        <w:t xml:space="preserve"> include an appendix, </w:t>
      </w:r>
      <w:r w:rsidR="00C41FC5" w:rsidRPr="00C41FC5">
        <w:rPr>
          <w:sz w:val="28"/>
          <w:szCs w:val="28"/>
        </w:rPr>
        <w:t xml:space="preserve">but </w:t>
      </w:r>
      <w:r w:rsidR="00084380">
        <w:rPr>
          <w:sz w:val="28"/>
          <w:szCs w:val="28"/>
        </w:rPr>
        <w:t xml:space="preserve">it </w:t>
      </w:r>
      <w:r w:rsidR="00C41FC5" w:rsidRPr="00C41FC5">
        <w:rPr>
          <w:sz w:val="28"/>
          <w:szCs w:val="28"/>
        </w:rPr>
        <w:t>concluded that “may not” was appropriate.</w:t>
      </w:r>
    </w:p>
    <w:p w14:paraId="6EBEDBC7" w14:textId="124ED700" w:rsidR="001A73F1" w:rsidRDefault="00775C52" w:rsidP="002665E0">
      <w:pPr>
        <w:spacing w:line="480" w:lineRule="auto"/>
        <w:ind w:firstLine="720"/>
        <w:jc w:val="both"/>
        <w:rPr>
          <w:sz w:val="28"/>
          <w:szCs w:val="28"/>
        </w:rPr>
      </w:pPr>
      <w:r>
        <w:rPr>
          <w:b/>
          <w:sz w:val="28"/>
          <w:szCs w:val="28"/>
          <w:u w:val="single"/>
        </w:rPr>
        <w:t>4</w:t>
      </w:r>
      <w:r w:rsidR="002665E0" w:rsidRPr="00C41FC5">
        <w:rPr>
          <w:b/>
          <w:sz w:val="28"/>
          <w:szCs w:val="28"/>
          <w:u w:val="single"/>
        </w:rPr>
        <w:t xml:space="preserve">. </w:t>
      </w:r>
      <w:r w:rsidR="006D0062" w:rsidRPr="00C41FC5">
        <w:rPr>
          <w:b/>
          <w:sz w:val="28"/>
          <w:szCs w:val="28"/>
          <w:u w:val="single"/>
        </w:rPr>
        <w:t>Post</w:t>
      </w:r>
      <w:r w:rsidR="006D0062">
        <w:rPr>
          <w:b/>
          <w:sz w:val="28"/>
          <w:szCs w:val="28"/>
          <w:u w:val="single"/>
        </w:rPr>
        <w:t xml:space="preserve">-Conviction </w:t>
      </w:r>
      <w:r w:rsidR="002665E0" w:rsidRPr="006D0062">
        <w:rPr>
          <w:b/>
          <w:sz w:val="28"/>
          <w:szCs w:val="28"/>
          <w:u w:val="single"/>
        </w:rPr>
        <w:t>Forms</w:t>
      </w:r>
      <w:r w:rsidR="002665E0" w:rsidRPr="00C41FC5">
        <w:rPr>
          <w:b/>
          <w:sz w:val="28"/>
          <w:szCs w:val="28"/>
          <w:u w:val="single"/>
        </w:rPr>
        <w:t>.</w:t>
      </w:r>
      <w:r w:rsidR="002665E0" w:rsidRPr="00AD6172">
        <w:rPr>
          <w:sz w:val="28"/>
          <w:szCs w:val="28"/>
        </w:rPr>
        <w:t xml:space="preserve">  </w:t>
      </w:r>
      <w:bookmarkStart w:id="0" w:name="_Hlk5010016"/>
      <w:r w:rsidR="000C558C">
        <w:rPr>
          <w:sz w:val="28"/>
          <w:szCs w:val="28"/>
        </w:rPr>
        <w:t>The Task Force</w:t>
      </w:r>
      <w:r w:rsidR="002665E0" w:rsidRPr="002665E0">
        <w:rPr>
          <w:sz w:val="28"/>
          <w:szCs w:val="28"/>
        </w:rPr>
        <w:t xml:space="preserve"> discussed six forms </w:t>
      </w:r>
      <w:r w:rsidR="002665E0">
        <w:rPr>
          <w:sz w:val="28"/>
          <w:szCs w:val="28"/>
        </w:rPr>
        <w:t>at</w:t>
      </w:r>
      <w:r w:rsidR="002665E0" w:rsidRPr="002665E0">
        <w:rPr>
          <w:sz w:val="28"/>
          <w:szCs w:val="28"/>
        </w:rPr>
        <w:t xml:space="preserve"> the</w:t>
      </w:r>
      <w:r w:rsidR="001A73F1">
        <w:rPr>
          <w:sz w:val="28"/>
          <w:szCs w:val="28"/>
        </w:rPr>
        <w:t>ir</w:t>
      </w:r>
      <w:r w:rsidR="002665E0" w:rsidRPr="002665E0">
        <w:rPr>
          <w:sz w:val="28"/>
          <w:szCs w:val="28"/>
        </w:rPr>
        <w:t xml:space="preserve"> </w:t>
      </w:r>
      <w:r w:rsidR="002665E0">
        <w:rPr>
          <w:sz w:val="28"/>
          <w:szCs w:val="28"/>
        </w:rPr>
        <w:t xml:space="preserve">March 22 </w:t>
      </w:r>
      <w:r w:rsidR="002665E0" w:rsidRPr="002665E0">
        <w:rPr>
          <w:sz w:val="28"/>
          <w:szCs w:val="28"/>
        </w:rPr>
        <w:t xml:space="preserve">meeting. </w:t>
      </w:r>
      <w:r w:rsidR="00EB416E">
        <w:rPr>
          <w:sz w:val="28"/>
          <w:szCs w:val="28"/>
        </w:rPr>
        <w:t xml:space="preserve"> </w:t>
      </w:r>
      <w:r w:rsidR="001A73F1">
        <w:rPr>
          <w:sz w:val="28"/>
          <w:szCs w:val="28"/>
        </w:rPr>
        <w:t>Five of the</w:t>
      </w:r>
      <w:r w:rsidR="00E14801">
        <w:rPr>
          <w:sz w:val="28"/>
          <w:szCs w:val="28"/>
        </w:rPr>
        <w:t>se</w:t>
      </w:r>
      <w:r w:rsidR="001A73F1">
        <w:rPr>
          <w:sz w:val="28"/>
          <w:szCs w:val="28"/>
        </w:rPr>
        <w:t xml:space="preserve"> forms </w:t>
      </w:r>
      <w:r w:rsidR="00E14801">
        <w:rPr>
          <w:sz w:val="28"/>
          <w:szCs w:val="28"/>
        </w:rPr>
        <w:t>modify</w:t>
      </w:r>
      <w:r w:rsidR="001A73F1">
        <w:rPr>
          <w:sz w:val="28"/>
          <w:szCs w:val="28"/>
        </w:rPr>
        <w:t xml:space="preserve"> current forms.  </w:t>
      </w:r>
      <w:r w:rsidR="005B0510">
        <w:rPr>
          <w:sz w:val="28"/>
          <w:szCs w:val="28"/>
        </w:rPr>
        <w:t xml:space="preserve">(Proposed Forms 23(a) and 23(b) are both derived from current Form 23.)  </w:t>
      </w:r>
      <w:r w:rsidR="001E4DA0">
        <w:rPr>
          <w:sz w:val="28"/>
          <w:szCs w:val="28"/>
        </w:rPr>
        <w:t xml:space="preserve">One of the forms, the </w:t>
      </w:r>
      <w:r w:rsidR="00F375D5">
        <w:rPr>
          <w:sz w:val="28"/>
          <w:szCs w:val="28"/>
        </w:rPr>
        <w:t>C</w:t>
      </w:r>
      <w:r w:rsidR="001E4DA0">
        <w:rPr>
          <w:sz w:val="28"/>
          <w:szCs w:val="28"/>
        </w:rPr>
        <w:t>hecklist</w:t>
      </w:r>
      <w:r w:rsidR="00F375D5">
        <w:rPr>
          <w:sz w:val="28"/>
          <w:szCs w:val="28"/>
        </w:rPr>
        <w:t xml:space="preserve"> for No Colorable Claims</w:t>
      </w:r>
      <w:r w:rsidR="001E4DA0">
        <w:rPr>
          <w:sz w:val="28"/>
          <w:szCs w:val="28"/>
        </w:rPr>
        <w:t xml:space="preserve">, is new.  </w:t>
      </w:r>
      <w:r w:rsidR="00C41FC5">
        <w:rPr>
          <w:sz w:val="28"/>
          <w:szCs w:val="28"/>
        </w:rPr>
        <w:t>The amended petition, which was filed on April 5, 2019, included these six forms as Appendix 4-AP.  Members carefully reviewed those forms at their May 10, 2019 meeting, and made further revisions described below.</w:t>
      </w:r>
    </w:p>
    <w:p w14:paraId="5269BAA5" w14:textId="0DB81492" w:rsidR="00CA305B" w:rsidRPr="00CA305B" w:rsidRDefault="00CA305B" w:rsidP="00CA305B">
      <w:pPr>
        <w:pStyle w:val="ListParagraph"/>
        <w:spacing w:line="480" w:lineRule="auto"/>
        <w:ind w:left="0" w:firstLine="720"/>
        <w:rPr>
          <w:rFonts w:ascii="Times New Roman" w:hAnsi="Times New Roman" w:cs="Times New Roman"/>
          <w:sz w:val="28"/>
          <w:szCs w:val="28"/>
        </w:rPr>
      </w:pPr>
      <w:r w:rsidRPr="00CA305B">
        <w:rPr>
          <w:rFonts w:ascii="Times New Roman" w:hAnsi="Times New Roman" w:cs="Times New Roman"/>
          <w:b/>
          <w:sz w:val="28"/>
          <w:szCs w:val="28"/>
        </w:rPr>
        <w:t xml:space="preserve">Form 23(a) </w:t>
      </w:r>
      <w:r w:rsidR="006B248F">
        <w:rPr>
          <w:rFonts w:ascii="Times New Roman" w:hAnsi="Times New Roman" w:cs="Times New Roman"/>
          <w:b/>
          <w:sz w:val="28"/>
          <w:szCs w:val="28"/>
        </w:rPr>
        <w:t>(</w:t>
      </w:r>
      <w:r w:rsidR="00E14801">
        <w:rPr>
          <w:rFonts w:ascii="Times New Roman" w:hAnsi="Times New Roman" w:cs="Times New Roman"/>
          <w:b/>
          <w:sz w:val="28"/>
          <w:szCs w:val="28"/>
        </w:rPr>
        <w:t>“</w:t>
      </w:r>
      <w:r w:rsidRPr="00CA305B">
        <w:rPr>
          <w:rFonts w:ascii="Times New Roman" w:hAnsi="Times New Roman" w:cs="Times New Roman"/>
          <w:b/>
          <w:sz w:val="28"/>
          <w:szCs w:val="28"/>
        </w:rPr>
        <w:t xml:space="preserve">Notice of Rights After Sentencing in the Superior Court </w:t>
      </w:r>
      <w:r w:rsidR="005B0510">
        <w:rPr>
          <w:rFonts w:ascii="Times New Roman" w:hAnsi="Times New Roman" w:cs="Times New Roman"/>
          <w:b/>
          <w:sz w:val="28"/>
          <w:szCs w:val="28"/>
        </w:rPr>
        <w:t>(</w:t>
      </w:r>
      <w:r w:rsidRPr="00CA305B">
        <w:rPr>
          <w:rFonts w:ascii="Times New Roman" w:hAnsi="Times New Roman" w:cs="Times New Roman"/>
          <w:b/>
          <w:sz w:val="28"/>
          <w:szCs w:val="28"/>
        </w:rPr>
        <w:t>Non-Capital</w:t>
      </w:r>
      <w:r w:rsidR="005B0510">
        <w:rPr>
          <w:rFonts w:ascii="Times New Roman" w:hAnsi="Times New Roman" w:cs="Times New Roman"/>
          <w:b/>
          <w:sz w:val="28"/>
          <w:szCs w:val="28"/>
        </w:rPr>
        <w:t>)”</w:t>
      </w:r>
      <w:r w:rsidR="006B248F">
        <w:rPr>
          <w:rFonts w:ascii="Times New Roman" w:hAnsi="Times New Roman" w:cs="Times New Roman"/>
          <w:b/>
          <w:sz w:val="28"/>
          <w:szCs w:val="28"/>
        </w:rPr>
        <w:t>)</w:t>
      </w:r>
      <w:r w:rsidRPr="00CA305B">
        <w:rPr>
          <w:rFonts w:ascii="Times New Roman" w:hAnsi="Times New Roman" w:cs="Times New Roman"/>
          <w:b/>
          <w:sz w:val="28"/>
          <w:szCs w:val="28"/>
        </w:rPr>
        <w:t>:</w:t>
      </w:r>
      <w:r w:rsidRPr="00D71866">
        <w:rPr>
          <w:rFonts w:ascii="Times New Roman" w:hAnsi="Times New Roman" w:cs="Times New Roman"/>
          <w:sz w:val="28"/>
          <w:szCs w:val="28"/>
        </w:rPr>
        <w:t xml:space="preserve">  </w:t>
      </w:r>
      <w:r w:rsidRPr="00CA305B">
        <w:rPr>
          <w:rFonts w:ascii="Times New Roman" w:hAnsi="Times New Roman" w:cs="Times New Roman"/>
          <w:sz w:val="28"/>
          <w:szCs w:val="28"/>
        </w:rPr>
        <w:t xml:space="preserve">The last substantive section of this form, which is on the second page of the two-page document, is titled “right to apply to have </w:t>
      </w:r>
      <w:r w:rsidRPr="000C0DC8">
        <w:rPr>
          <w:rFonts w:ascii="Times New Roman" w:hAnsi="Times New Roman" w:cs="Times New Roman"/>
          <w:sz w:val="28"/>
          <w:szCs w:val="28"/>
          <w:u w:val="single"/>
        </w:rPr>
        <w:t>a conviction</w:t>
      </w:r>
      <w:r w:rsidRPr="00CA305B">
        <w:rPr>
          <w:rFonts w:ascii="Times New Roman" w:hAnsi="Times New Roman" w:cs="Times New Roman"/>
          <w:sz w:val="28"/>
          <w:szCs w:val="28"/>
        </w:rPr>
        <w:t xml:space="preserve"> set aside.”  However, the body of th</w:t>
      </w:r>
      <w:r w:rsidR="006B248F">
        <w:rPr>
          <w:rFonts w:ascii="Times New Roman" w:hAnsi="Times New Roman" w:cs="Times New Roman"/>
          <w:sz w:val="28"/>
          <w:szCs w:val="28"/>
        </w:rPr>
        <w:t>at</w:t>
      </w:r>
      <w:r w:rsidRPr="00CA305B">
        <w:rPr>
          <w:rFonts w:ascii="Times New Roman" w:hAnsi="Times New Roman" w:cs="Times New Roman"/>
          <w:sz w:val="28"/>
          <w:szCs w:val="28"/>
        </w:rPr>
        <w:t xml:space="preserve"> section uses the phrase, “to have </w:t>
      </w:r>
      <w:r w:rsidRPr="000C0DC8">
        <w:rPr>
          <w:rFonts w:ascii="Times New Roman" w:hAnsi="Times New Roman" w:cs="Times New Roman"/>
          <w:sz w:val="28"/>
          <w:szCs w:val="28"/>
          <w:u w:val="single"/>
        </w:rPr>
        <w:t>the judgment of guilt</w:t>
      </w:r>
      <w:r w:rsidRPr="00CA305B">
        <w:rPr>
          <w:rFonts w:ascii="Times New Roman" w:hAnsi="Times New Roman" w:cs="Times New Roman"/>
          <w:sz w:val="28"/>
          <w:szCs w:val="28"/>
        </w:rPr>
        <w:t xml:space="preserve"> set aside” in addition to the phrase “to set aside a conviction.”  </w:t>
      </w:r>
      <w:r w:rsidR="000C558C">
        <w:rPr>
          <w:rFonts w:ascii="Times New Roman" w:hAnsi="Times New Roman" w:cs="Times New Roman"/>
          <w:sz w:val="28"/>
          <w:szCs w:val="28"/>
        </w:rPr>
        <w:t xml:space="preserve">The Task Force </w:t>
      </w:r>
      <w:r w:rsidRPr="00CA305B">
        <w:rPr>
          <w:rFonts w:ascii="Times New Roman" w:hAnsi="Times New Roman" w:cs="Times New Roman"/>
          <w:sz w:val="28"/>
          <w:szCs w:val="28"/>
        </w:rPr>
        <w:t xml:space="preserve">considered </w:t>
      </w:r>
      <w:r w:rsidR="006B248F">
        <w:rPr>
          <w:rFonts w:ascii="Times New Roman" w:hAnsi="Times New Roman" w:cs="Times New Roman"/>
          <w:sz w:val="28"/>
          <w:szCs w:val="28"/>
        </w:rPr>
        <w:t xml:space="preserve">the </w:t>
      </w:r>
      <w:r w:rsidRPr="00CA305B">
        <w:rPr>
          <w:rFonts w:ascii="Times New Roman" w:hAnsi="Times New Roman" w:cs="Times New Roman"/>
          <w:sz w:val="28"/>
          <w:szCs w:val="28"/>
        </w:rPr>
        <w:t xml:space="preserve">terminology used in the governing statute, A.R.S. § 13-907, as well </w:t>
      </w:r>
      <w:r w:rsidRPr="00CA305B">
        <w:rPr>
          <w:rFonts w:ascii="Times New Roman" w:hAnsi="Times New Roman" w:cs="Times New Roman"/>
          <w:sz w:val="28"/>
          <w:szCs w:val="28"/>
        </w:rPr>
        <w:lastRenderedPageBreak/>
        <w:t>as colloquial use of the word “conviction,” and concluded that notwithstanding this form’s use of different terms, the proposed text was appropriate.</w:t>
      </w:r>
    </w:p>
    <w:p w14:paraId="14E9DBFA" w14:textId="78D4F325" w:rsidR="00CA305B" w:rsidRPr="00CA305B" w:rsidRDefault="00CA305B" w:rsidP="00CA305B">
      <w:pPr>
        <w:pStyle w:val="ListParagraph"/>
        <w:spacing w:after="0" w:line="480" w:lineRule="auto"/>
        <w:ind w:left="0" w:firstLine="720"/>
        <w:rPr>
          <w:rFonts w:ascii="Times New Roman" w:hAnsi="Times New Roman" w:cs="Times New Roman"/>
          <w:sz w:val="28"/>
          <w:szCs w:val="28"/>
        </w:rPr>
      </w:pPr>
      <w:r w:rsidRPr="00CA305B">
        <w:rPr>
          <w:rFonts w:ascii="Times New Roman" w:hAnsi="Times New Roman" w:cs="Times New Roman"/>
          <w:b/>
          <w:sz w:val="28"/>
          <w:szCs w:val="28"/>
        </w:rPr>
        <w:t xml:space="preserve">Form 23(b) </w:t>
      </w:r>
      <w:r w:rsidR="006B248F">
        <w:rPr>
          <w:rFonts w:ascii="Times New Roman" w:hAnsi="Times New Roman" w:cs="Times New Roman"/>
          <w:b/>
          <w:sz w:val="28"/>
          <w:szCs w:val="28"/>
        </w:rPr>
        <w:t>(</w:t>
      </w:r>
      <w:r w:rsidRPr="00CA305B">
        <w:rPr>
          <w:rFonts w:ascii="Times New Roman" w:hAnsi="Times New Roman" w:cs="Times New Roman"/>
          <w:b/>
          <w:sz w:val="28"/>
          <w:szCs w:val="28"/>
        </w:rPr>
        <w:t>“Notice of Rights After Sentencing in a Capital Case”</w:t>
      </w:r>
      <w:r w:rsidR="006B248F">
        <w:rPr>
          <w:rFonts w:ascii="Times New Roman" w:hAnsi="Times New Roman" w:cs="Times New Roman"/>
          <w:b/>
          <w:sz w:val="28"/>
          <w:szCs w:val="28"/>
        </w:rPr>
        <w:t>)</w:t>
      </w:r>
      <w:r w:rsidRPr="00CA305B">
        <w:rPr>
          <w:rFonts w:ascii="Times New Roman" w:hAnsi="Times New Roman" w:cs="Times New Roman"/>
          <w:b/>
          <w:sz w:val="28"/>
          <w:szCs w:val="28"/>
        </w:rPr>
        <w:t>:</w:t>
      </w:r>
      <w:r w:rsidRPr="00CA305B">
        <w:rPr>
          <w:rFonts w:ascii="Times New Roman" w:hAnsi="Times New Roman" w:cs="Times New Roman"/>
          <w:sz w:val="28"/>
          <w:szCs w:val="28"/>
        </w:rPr>
        <w:t xml:space="preserve">  Members had no suggested changes to this form.</w:t>
      </w:r>
    </w:p>
    <w:p w14:paraId="6AA8CD73" w14:textId="0FC75934" w:rsidR="00CA305B" w:rsidRPr="00CA305B" w:rsidRDefault="00CA305B" w:rsidP="00CA305B">
      <w:pPr>
        <w:spacing w:line="480" w:lineRule="auto"/>
        <w:ind w:firstLine="720"/>
        <w:jc w:val="both"/>
        <w:rPr>
          <w:sz w:val="28"/>
          <w:szCs w:val="28"/>
        </w:rPr>
      </w:pPr>
      <w:r w:rsidRPr="00CA305B">
        <w:rPr>
          <w:b/>
          <w:sz w:val="28"/>
          <w:szCs w:val="28"/>
        </w:rPr>
        <w:t xml:space="preserve">Form 24(b) </w:t>
      </w:r>
      <w:r w:rsidR="006B248F">
        <w:rPr>
          <w:b/>
          <w:sz w:val="28"/>
          <w:szCs w:val="28"/>
        </w:rPr>
        <w:t>(</w:t>
      </w:r>
      <w:r w:rsidRPr="00CA305B">
        <w:rPr>
          <w:b/>
          <w:sz w:val="28"/>
          <w:szCs w:val="28"/>
        </w:rPr>
        <w:t>“Notice Requesting Post-Conviction Relief”</w:t>
      </w:r>
      <w:r w:rsidR="006B248F">
        <w:rPr>
          <w:b/>
          <w:sz w:val="28"/>
          <w:szCs w:val="28"/>
        </w:rPr>
        <w:t>)</w:t>
      </w:r>
      <w:r w:rsidRPr="00CA305B">
        <w:rPr>
          <w:b/>
          <w:sz w:val="28"/>
          <w:szCs w:val="28"/>
        </w:rPr>
        <w:t>:</w:t>
      </w:r>
      <w:r w:rsidRPr="00D71866">
        <w:rPr>
          <w:sz w:val="28"/>
          <w:szCs w:val="28"/>
        </w:rPr>
        <w:t xml:space="preserve">  </w:t>
      </w:r>
      <w:r w:rsidR="00084380">
        <w:rPr>
          <w:sz w:val="28"/>
          <w:szCs w:val="28"/>
        </w:rPr>
        <w:t>A</w:t>
      </w:r>
      <w:r w:rsidRPr="00CA305B">
        <w:rPr>
          <w:sz w:val="28"/>
          <w:szCs w:val="28"/>
        </w:rPr>
        <w:t xml:space="preserve"> notice might concern a case where a defendant was convicted of multiple offenses, </w:t>
      </w:r>
      <w:r w:rsidR="00084380">
        <w:rPr>
          <w:sz w:val="28"/>
          <w:szCs w:val="28"/>
        </w:rPr>
        <w:t xml:space="preserve">and </w:t>
      </w:r>
      <w:r>
        <w:rPr>
          <w:sz w:val="28"/>
          <w:szCs w:val="28"/>
        </w:rPr>
        <w:t>this form now include</w:t>
      </w:r>
      <w:r w:rsidR="00FA39F0">
        <w:rPr>
          <w:sz w:val="28"/>
          <w:szCs w:val="28"/>
        </w:rPr>
        <w:t>s</w:t>
      </w:r>
      <w:r w:rsidRPr="00CA305B">
        <w:rPr>
          <w:sz w:val="28"/>
          <w:szCs w:val="28"/>
        </w:rPr>
        <w:t xml:space="preserve"> </w:t>
      </w:r>
      <w:r w:rsidR="00084380">
        <w:rPr>
          <w:sz w:val="28"/>
          <w:szCs w:val="28"/>
        </w:rPr>
        <w:t>additional</w:t>
      </w:r>
      <w:r w:rsidRPr="00CA305B">
        <w:rPr>
          <w:sz w:val="28"/>
          <w:szCs w:val="28"/>
        </w:rPr>
        <w:t xml:space="preserve"> </w:t>
      </w:r>
      <w:r w:rsidR="00FA39F0">
        <w:rPr>
          <w:sz w:val="28"/>
          <w:szCs w:val="28"/>
        </w:rPr>
        <w:t>space</w:t>
      </w:r>
      <w:r w:rsidRPr="00CA305B">
        <w:rPr>
          <w:sz w:val="28"/>
          <w:szCs w:val="28"/>
        </w:rPr>
        <w:t xml:space="preserve"> for item B-3, which identifies the crime or crimes for which the defendant was sentenced. </w:t>
      </w:r>
      <w:r>
        <w:rPr>
          <w:sz w:val="28"/>
          <w:szCs w:val="28"/>
        </w:rPr>
        <w:t xml:space="preserve"> </w:t>
      </w:r>
    </w:p>
    <w:p w14:paraId="68DEA77E" w14:textId="6110D9A8" w:rsidR="00CA305B" w:rsidRPr="00CA305B" w:rsidRDefault="00CA305B" w:rsidP="00CA305B">
      <w:pPr>
        <w:spacing w:line="480" w:lineRule="auto"/>
        <w:ind w:firstLine="720"/>
        <w:jc w:val="both"/>
        <w:rPr>
          <w:sz w:val="28"/>
          <w:szCs w:val="28"/>
        </w:rPr>
      </w:pPr>
      <w:r w:rsidRPr="00CA305B">
        <w:rPr>
          <w:b/>
          <w:sz w:val="28"/>
          <w:szCs w:val="28"/>
        </w:rPr>
        <w:t xml:space="preserve">Form 25 </w:t>
      </w:r>
      <w:r w:rsidR="006B248F">
        <w:rPr>
          <w:b/>
          <w:sz w:val="28"/>
          <w:szCs w:val="28"/>
        </w:rPr>
        <w:t>(</w:t>
      </w:r>
      <w:r w:rsidRPr="00CA305B">
        <w:rPr>
          <w:b/>
          <w:sz w:val="28"/>
          <w:szCs w:val="28"/>
        </w:rPr>
        <w:t>“Petition for Post-Conviction Relief”</w:t>
      </w:r>
      <w:r w:rsidR="006B248F">
        <w:rPr>
          <w:b/>
          <w:sz w:val="28"/>
          <w:szCs w:val="28"/>
        </w:rPr>
        <w:t>)</w:t>
      </w:r>
      <w:r w:rsidRPr="00CA305B">
        <w:rPr>
          <w:b/>
          <w:sz w:val="28"/>
          <w:szCs w:val="28"/>
        </w:rPr>
        <w:t>:</w:t>
      </w:r>
      <w:r w:rsidRPr="00CA305B">
        <w:rPr>
          <w:sz w:val="28"/>
          <w:szCs w:val="28"/>
        </w:rPr>
        <w:t xml:space="preserve">  Item 4 of the </w:t>
      </w:r>
      <w:r>
        <w:rPr>
          <w:sz w:val="28"/>
          <w:szCs w:val="28"/>
        </w:rPr>
        <w:t>i</w:t>
      </w:r>
      <w:r w:rsidRPr="00CA305B">
        <w:rPr>
          <w:sz w:val="28"/>
          <w:szCs w:val="28"/>
        </w:rPr>
        <w:t xml:space="preserve">nstructions for this form says in part, “If you do not raise a ground now, you will not be able to raise it later.”  Because of the </w:t>
      </w:r>
      <w:r w:rsidR="00FF3529">
        <w:rPr>
          <w:sz w:val="28"/>
          <w:szCs w:val="28"/>
        </w:rPr>
        <w:t xml:space="preserve">proposed </w:t>
      </w:r>
      <w:r w:rsidRPr="00CA305B">
        <w:rPr>
          <w:sz w:val="28"/>
          <w:szCs w:val="28"/>
        </w:rPr>
        <w:t xml:space="preserve">loosening of provisions on preclusion, </w:t>
      </w:r>
      <w:r w:rsidR="000C558C">
        <w:rPr>
          <w:sz w:val="28"/>
          <w:szCs w:val="28"/>
        </w:rPr>
        <w:t>the Task Force</w:t>
      </w:r>
      <w:r w:rsidRPr="00CA305B">
        <w:rPr>
          <w:sz w:val="28"/>
          <w:szCs w:val="28"/>
        </w:rPr>
        <w:t xml:space="preserve"> discussed whether this sentence was still accurate.  </w:t>
      </w:r>
      <w:r w:rsidR="000C558C">
        <w:rPr>
          <w:sz w:val="28"/>
          <w:szCs w:val="28"/>
        </w:rPr>
        <w:t>It</w:t>
      </w:r>
      <w:r w:rsidRPr="00CA305B">
        <w:rPr>
          <w:sz w:val="28"/>
          <w:szCs w:val="28"/>
        </w:rPr>
        <w:t xml:space="preserve"> then agreed to change the word “will” in that sentence to “may.”  </w:t>
      </w:r>
      <w:r w:rsidR="000C558C">
        <w:rPr>
          <w:sz w:val="28"/>
          <w:szCs w:val="28"/>
        </w:rPr>
        <w:t xml:space="preserve">The Task Force </w:t>
      </w:r>
      <w:r>
        <w:rPr>
          <w:sz w:val="28"/>
          <w:szCs w:val="28"/>
        </w:rPr>
        <w:t>considered</w:t>
      </w:r>
      <w:r w:rsidRPr="00CA305B">
        <w:rPr>
          <w:sz w:val="28"/>
          <w:szCs w:val="28"/>
        </w:rPr>
        <w:t xml:space="preserve"> whether anything should be added to the form to highlight section 4’s requirement of providing supporting facts and documents.  Although members agreed this was an important component of a petition, they did not make any editing changes to emphasize the requirement.</w:t>
      </w:r>
    </w:p>
    <w:p w14:paraId="40CC6A22" w14:textId="3B3ED87B" w:rsidR="00CA305B" w:rsidRPr="00CA305B" w:rsidRDefault="00CA305B" w:rsidP="00CA305B">
      <w:pPr>
        <w:spacing w:line="480" w:lineRule="auto"/>
        <w:ind w:firstLine="720"/>
        <w:jc w:val="both"/>
        <w:rPr>
          <w:sz w:val="28"/>
          <w:szCs w:val="28"/>
        </w:rPr>
      </w:pPr>
      <w:r w:rsidRPr="00CA305B">
        <w:rPr>
          <w:sz w:val="28"/>
          <w:szCs w:val="28"/>
        </w:rPr>
        <w:t xml:space="preserve">In section 2, which concerns the grounds for relief, the checkbox for Rule 32.1(h) omitted the words, “or that no reasonable fact finder would have imposed the death penalty,” and these words </w:t>
      </w:r>
      <w:r w:rsidR="00FF3529">
        <w:rPr>
          <w:sz w:val="28"/>
          <w:szCs w:val="28"/>
        </w:rPr>
        <w:t>were</w:t>
      </w:r>
      <w:r w:rsidRPr="00CA305B">
        <w:rPr>
          <w:sz w:val="28"/>
          <w:szCs w:val="28"/>
        </w:rPr>
        <w:t xml:space="preserve"> added.  In </w:t>
      </w:r>
      <w:r>
        <w:rPr>
          <w:sz w:val="28"/>
          <w:szCs w:val="28"/>
        </w:rPr>
        <w:t xml:space="preserve">the previous version of Form </w:t>
      </w:r>
      <w:r>
        <w:rPr>
          <w:sz w:val="28"/>
          <w:szCs w:val="28"/>
        </w:rPr>
        <w:lastRenderedPageBreak/>
        <w:t xml:space="preserve">25, </w:t>
      </w:r>
      <w:r w:rsidRPr="00CA305B">
        <w:rPr>
          <w:sz w:val="28"/>
          <w:szCs w:val="28"/>
        </w:rPr>
        <w:t xml:space="preserve">section 2, there </w:t>
      </w:r>
      <w:r>
        <w:rPr>
          <w:sz w:val="28"/>
          <w:szCs w:val="28"/>
        </w:rPr>
        <w:t>were</w:t>
      </w:r>
      <w:r w:rsidRPr="00CA305B">
        <w:rPr>
          <w:sz w:val="28"/>
          <w:szCs w:val="28"/>
        </w:rPr>
        <w:t xml:space="preserve"> multiple blank lines for identifying newly discovered material facts for a Rule 32.1</w:t>
      </w:r>
      <w:r w:rsidR="006B248F">
        <w:rPr>
          <w:sz w:val="28"/>
          <w:szCs w:val="28"/>
        </w:rPr>
        <w:t>(e)</w:t>
      </w:r>
      <w:r w:rsidRPr="00CA305B">
        <w:rPr>
          <w:sz w:val="28"/>
          <w:szCs w:val="28"/>
        </w:rPr>
        <w:t xml:space="preserve"> claim, and in section 3, there </w:t>
      </w:r>
      <w:r>
        <w:rPr>
          <w:sz w:val="28"/>
          <w:szCs w:val="28"/>
        </w:rPr>
        <w:t xml:space="preserve">were </w:t>
      </w:r>
      <w:r w:rsidRPr="00CA305B">
        <w:rPr>
          <w:sz w:val="28"/>
          <w:szCs w:val="28"/>
        </w:rPr>
        <w:t>additional blank lines for identifying such facts for a Rule 33.1</w:t>
      </w:r>
      <w:r w:rsidR="006B248F">
        <w:rPr>
          <w:sz w:val="28"/>
          <w:szCs w:val="28"/>
        </w:rPr>
        <w:t>(e)</w:t>
      </w:r>
      <w:r w:rsidRPr="00CA305B">
        <w:rPr>
          <w:sz w:val="28"/>
          <w:szCs w:val="28"/>
        </w:rPr>
        <w:t xml:space="preserve"> claim.  </w:t>
      </w:r>
      <w:r w:rsidR="00377A6B">
        <w:rPr>
          <w:sz w:val="28"/>
          <w:szCs w:val="28"/>
        </w:rPr>
        <w:t>The Task Force</w:t>
      </w:r>
      <w:r w:rsidRPr="00CA305B">
        <w:rPr>
          <w:sz w:val="28"/>
          <w:szCs w:val="28"/>
        </w:rPr>
        <w:t xml:space="preserve"> agreed to relocate these blank lines as a new item B in part 4.  Item B </w:t>
      </w:r>
      <w:r>
        <w:rPr>
          <w:sz w:val="28"/>
          <w:szCs w:val="28"/>
        </w:rPr>
        <w:t>now</w:t>
      </w:r>
      <w:r w:rsidRPr="00CA305B">
        <w:rPr>
          <w:sz w:val="28"/>
          <w:szCs w:val="28"/>
        </w:rPr>
        <w:t xml:space="preserve"> say</w:t>
      </w:r>
      <w:r>
        <w:rPr>
          <w:sz w:val="28"/>
          <w:szCs w:val="28"/>
        </w:rPr>
        <w:t>s</w:t>
      </w:r>
      <w:r w:rsidRPr="00CA305B">
        <w:rPr>
          <w:sz w:val="28"/>
          <w:szCs w:val="28"/>
        </w:rPr>
        <w:t xml:space="preserve">, “Identify any newly discovered material facts in support of a claim for newly discovered evidence and specify when the Defendant learned of those facts for the first time and how those facts would have affected the trial or proceeding.” </w:t>
      </w:r>
      <w:r w:rsidR="00D71866">
        <w:rPr>
          <w:sz w:val="28"/>
          <w:szCs w:val="28"/>
        </w:rPr>
        <w:t xml:space="preserve"> </w:t>
      </w:r>
      <w:r w:rsidRPr="00CA305B">
        <w:rPr>
          <w:sz w:val="28"/>
          <w:szCs w:val="28"/>
        </w:rPr>
        <w:t>Item A continue</w:t>
      </w:r>
      <w:r>
        <w:rPr>
          <w:sz w:val="28"/>
          <w:szCs w:val="28"/>
        </w:rPr>
        <w:t>s</w:t>
      </w:r>
      <w:r w:rsidRPr="00CA305B">
        <w:rPr>
          <w:sz w:val="28"/>
          <w:szCs w:val="28"/>
        </w:rPr>
        <w:t xml:space="preserve"> to be the location for providing supporting facts and legal authorities</w:t>
      </w:r>
      <w:r w:rsidR="005B0510">
        <w:rPr>
          <w:sz w:val="28"/>
          <w:szCs w:val="28"/>
        </w:rPr>
        <w:t xml:space="preserve"> for any type of claim</w:t>
      </w:r>
      <w:r w:rsidRPr="00CA305B">
        <w:rPr>
          <w:sz w:val="28"/>
          <w:szCs w:val="28"/>
        </w:rPr>
        <w:t xml:space="preserve">.  Items B and C of the previous version of this form, which respectively concerned supporting documents or the lack thereof, </w:t>
      </w:r>
      <w:r>
        <w:rPr>
          <w:sz w:val="28"/>
          <w:szCs w:val="28"/>
        </w:rPr>
        <w:t>were</w:t>
      </w:r>
      <w:r w:rsidRPr="00CA305B">
        <w:rPr>
          <w:sz w:val="28"/>
          <w:szCs w:val="28"/>
        </w:rPr>
        <w:t xml:space="preserve"> renumbered as items C and D.</w:t>
      </w:r>
    </w:p>
    <w:p w14:paraId="7D1080A0" w14:textId="79A4200B" w:rsidR="00CA305B" w:rsidRPr="00CA305B" w:rsidRDefault="00CA305B" w:rsidP="00CA305B">
      <w:pPr>
        <w:spacing w:line="480" w:lineRule="auto"/>
        <w:ind w:firstLine="720"/>
        <w:jc w:val="both"/>
        <w:rPr>
          <w:sz w:val="28"/>
          <w:szCs w:val="28"/>
        </w:rPr>
      </w:pPr>
      <w:r w:rsidRPr="00CA305B">
        <w:rPr>
          <w:sz w:val="28"/>
          <w:szCs w:val="28"/>
        </w:rPr>
        <w:t xml:space="preserve">Another checkbox in section 2 </w:t>
      </w:r>
      <w:r w:rsidR="00084380">
        <w:rPr>
          <w:sz w:val="28"/>
          <w:szCs w:val="28"/>
        </w:rPr>
        <w:t>of the prior version was</w:t>
      </w:r>
      <w:r w:rsidRPr="00CA305B">
        <w:rPr>
          <w:sz w:val="28"/>
          <w:szCs w:val="28"/>
        </w:rPr>
        <w:t xml:space="preserve"> available if </w:t>
      </w:r>
      <w:r w:rsidR="00FF3529">
        <w:rPr>
          <w:sz w:val="28"/>
          <w:szCs w:val="28"/>
        </w:rPr>
        <w:t xml:space="preserve">the defendant contends that </w:t>
      </w:r>
      <w:r w:rsidRPr="00CA305B">
        <w:rPr>
          <w:sz w:val="28"/>
          <w:szCs w:val="28"/>
        </w:rPr>
        <w:t xml:space="preserve">“other rights guaranteed by the United States or Arizona constitutions were abridged or denied.”  After discussion, and to avoid misstating a substantive provision, </w:t>
      </w:r>
      <w:r w:rsidR="00377A6B">
        <w:rPr>
          <w:sz w:val="28"/>
          <w:szCs w:val="28"/>
        </w:rPr>
        <w:t>the Task Force</w:t>
      </w:r>
      <w:r w:rsidRPr="00CA305B">
        <w:rPr>
          <w:sz w:val="28"/>
          <w:szCs w:val="28"/>
        </w:rPr>
        <w:t xml:space="preserve"> agreed to substitute the language of current </w:t>
      </w:r>
      <w:r w:rsidR="006B248F">
        <w:rPr>
          <w:sz w:val="28"/>
          <w:szCs w:val="28"/>
        </w:rPr>
        <w:t>F</w:t>
      </w:r>
      <w:r w:rsidRPr="00CA305B">
        <w:rPr>
          <w:sz w:val="28"/>
          <w:szCs w:val="28"/>
        </w:rPr>
        <w:t>orm</w:t>
      </w:r>
      <w:r w:rsidR="006B248F">
        <w:rPr>
          <w:sz w:val="28"/>
          <w:szCs w:val="28"/>
        </w:rPr>
        <w:t xml:space="preserve"> 25</w:t>
      </w:r>
      <w:r w:rsidRPr="00CA305B">
        <w:rPr>
          <w:sz w:val="28"/>
          <w:szCs w:val="28"/>
        </w:rPr>
        <w:t xml:space="preserve">: “the abridgement of any other right guaranteed by the constitution or the laws of this state, or the constitution of the United States, including a right that was not recognized as existing at the time of the trial if retrospective application of that right is required.”  </w:t>
      </w:r>
      <w:r w:rsidR="005B0510">
        <w:rPr>
          <w:sz w:val="28"/>
          <w:szCs w:val="28"/>
        </w:rPr>
        <w:t>Section 3 of the</w:t>
      </w:r>
      <w:r>
        <w:rPr>
          <w:sz w:val="28"/>
          <w:szCs w:val="28"/>
        </w:rPr>
        <w:t xml:space="preserve"> form now includes a</w:t>
      </w:r>
      <w:r w:rsidRPr="00CA305B">
        <w:rPr>
          <w:sz w:val="28"/>
          <w:szCs w:val="28"/>
        </w:rPr>
        <w:t xml:space="preserve"> similar change to the corresponding ground for a Rule 33 claim.</w:t>
      </w:r>
    </w:p>
    <w:p w14:paraId="7D237800" w14:textId="5129836B" w:rsidR="00CA305B" w:rsidRPr="00CA305B" w:rsidRDefault="00CA305B" w:rsidP="00CA305B">
      <w:pPr>
        <w:spacing w:line="480" w:lineRule="auto"/>
        <w:ind w:firstLine="720"/>
        <w:jc w:val="both"/>
        <w:rPr>
          <w:sz w:val="28"/>
          <w:szCs w:val="28"/>
        </w:rPr>
      </w:pPr>
      <w:r w:rsidRPr="00CA305B">
        <w:rPr>
          <w:sz w:val="28"/>
          <w:szCs w:val="28"/>
        </w:rPr>
        <w:lastRenderedPageBreak/>
        <w:t>Item 5-B asks for</w:t>
      </w:r>
      <w:r w:rsidR="006B248F">
        <w:rPr>
          <w:sz w:val="28"/>
          <w:szCs w:val="28"/>
        </w:rPr>
        <w:t xml:space="preserve"> </w:t>
      </w:r>
      <w:r w:rsidRPr="00CA305B">
        <w:rPr>
          <w:sz w:val="28"/>
          <w:szCs w:val="28"/>
        </w:rPr>
        <w:t>details of previous post-conviction proceedings, including the case number of the prior proceeding.  Members observed that case numbers of prior and current proceeding</w:t>
      </w:r>
      <w:r w:rsidR="00084380">
        <w:rPr>
          <w:sz w:val="28"/>
          <w:szCs w:val="28"/>
        </w:rPr>
        <w:t>s</w:t>
      </w:r>
      <w:r w:rsidRPr="00CA305B">
        <w:rPr>
          <w:sz w:val="28"/>
          <w:szCs w:val="28"/>
        </w:rPr>
        <w:t xml:space="preserve"> will</w:t>
      </w:r>
      <w:r w:rsidR="00084380">
        <w:rPr>
          <w:sz w:val="28"/>
          <w:szCs w:val="28"/>
        </w:rPr>
        <w:t xml:space="preserve"> usually</w:t>
      </w:r>
      <w:r w:rsidRPr="00CA305B">
        <w:rPr>
          <w:sz w:val="28"/>
          <w:szCs w:val="28"/>
        </w:rPr>
        <w:t xml:space="preserve"> be the same.  However, they recognized that on rare occasions, </w:t>
      </w:r>
      <w:r w:rsidR="00FF3529">
        <w:rPr>
          <w:sz w:val="28"/>
          <w:szCs w:val="28"/>
        </w:rPr>
        <w:t xml:space="preserve">for example, </w:t>
      </w:r>
      <w:r w:rsidRPr="00CA305B">
        <w:rPr>
          <w:sz w:val="28"/>
          <w:szCs w:val="28"/>
        </w:rPr>
        <w:t>when one petition was filed in an improper venue, they might differ; keeping this detail in item 5-B would be consistent with other items in Section 5.  Accordingly, they retained it.</w:t>
      </w:r>
    </w:p>
    <w:p w14:paraId="54BF9E32" w14:textId="29DAA964" w:rsidR="00CA305B" w:rsidRPr="00CA305B" w:rsidRDefault="00CA305B" w:rsidP="00CA305B">
      <w:pPr>
        <w:spacing w:line="480" w:lineRule="auto"/>
        <w:ind w:firstLine="720"/>
        <w:rPr>
          <w:sz w:val="28"/>
          <w:szCs w:val="28"/>
        </w:rPr>
      </w:pPr>
      <w:r w:rsidRPr="00CA305B">
        <w:rPr>
          <w:b/>
          <w:sz w:val="28"/>
          <w:szCs w:val="28"/>
        </w:rPr>
        <w:t xml:space="preserve">Form 25(b) </w:t>
      </w:r>
      <w:r w:rsidR="006B248F">
        <w:rPr>
          <w:b/>
          <w:sz w:val="28"/>
          <w:szCs w:val="28"/>
        </w:rPr>
        <w:t>(</w:t>
      </w:r>
      <w:r w:rsidRPr="00CA305B">
        <w:rPr>
          <w:b/>
          <w:sz w:val="28"/>
          <w:szCs w:val="28"/>
        </w:rPr>
        <w:t>“Checklist for No Colorable Claims (Rule 33)”):</w:t>
      </w:r>
      <w:r w:rsidRPr="00CA305B">
        <w:rPr>
          <w:sz w:val="28"/>
          <w:szCs w:val="28"/>
        </w:rPr>
        <w:t xml:space="preserve">  </w:t>
      </w:r>
      <w:r w:rsidR="00377A6B">
        <w:rPr>
          <w:sz w:val="28"/>
          <w:szCs w:val="28"/>
        </w:rPr>
        <w:t xml:space="preserve">The Task Force </w:t>
      </w:r>
      <w:r>
        <w:rPr>
          <w:sz w:val="28"/>
          <w:szCs w:val="28"/>
        </w:rPr>
        <w:t xml:space="preserve">made no further changes to this </w:t>
      </w:r>
      <w:r w:rsidR="006B248F">
        <w:rPr>
          <w:sz w:val="28"/>
          <w:szCs w:val="28"/>
        </w:rPr>
        <w:t xml:space="preserve">new </w:t>
      </w:r>
      <w:r>
        <w:rPr>
          <w:sz w:val="28"/>
          <w:szCs w:val="28"/>
        </w:rPr>
        <w:t>form.</w:t>
      </w:r>
    </w:p>
    <w:p w14:paraId="5624CA4A" w14:textId="0B4D66EA" w:rsidR="00CA305B" w:rsidRPr="00CA305B" w:rsidRDefault="00CA305B" w:rsidP="00CA305B">
      <w:pPr>
        <w:spacing w:line="480" w:lineRule="auto"/>
        <w:ind w:firstLine="720"/>
        <w:jc w:val="both"/>
        <w:rPr>
          <w:sz w:val="28"/>
          <w:szCs w:val="28"/>
        </w:rPr>
      </w:pPr>
      <w:r w:rsidRPr="00CA305B">
        <w:rPr>
          <w:b/>
          <w:sz w:val="28"/>
          <w:szCs w:val="28"/>
        </w:rPr>
        <w:t xml:space="preserve">Form 26 </w:t>
      </w:r>
      <w:r w:rsidR="006B248F">
        <w:rPr>
          <w:b/>
          <w:sz w:val="28"/>
          <w:szCs w:val="28"/>
        </w:rPr>
        <w:t>(</w:t>
      </w:r>
      <w:r w:rsidRPr="00CA305B">
        <w:rPr>
          <w:b/>
          <w:sz w:val="28"/>
          <w:szCs w:val="28"/>
        </w:rPr>
        <w:t>“Defendant’s Request for the Court Record”</w:t>
      </w:r>
      <w:r w:rsidR="006B248F">
        <w:rPr>
          <w:b/>
          <w:sz w:val="28"/>
          <w:szCs w:val="28"/>
        </w:rPr>
        <w:t>)</w:t>
      </w:r>
      <w:r w:rsidRPr="00CA305B">
        <w:rPr>
          <w:b/>
          <w:sz w:val="28"/>
          <w:szCs w:val="28"/>
        </w:rPr>
        <w:t>:</w:t>
      </w:r>
      <w:r w:rsidRPr="00CA305B">
        <w:rPr>
          <w:sz w:val="28"/>
          <w:szCs w:val="28"/>
        </w:rPr>
        <w:t xml:space="preserve">  The first section of this form requests documents filed with the clerk.  </w:t>
      </w:r>
      <w:r w:rsidR="00377A6B">
        <w:rPr>
          <w:sz w:val="28"/>
          <w:szCs w:val="28"/>
        </w:rPr>
        <w:t>The Task Force</w:t>
      </w:r>
      <w:r w:rsidRPr="00CA305B">
        <w:rPr>
          <w:sz w:val="28"/>
          <w:szCs w:val="28"/>
        </w:rPr>
        <w:t xml:space="preserve"> agreed to retain an item whereby the defendant could request the clerk to omit </w:t>
      </w:r>
      <w:r w:rsidR="0060790C">
        <w:rPr>
          <w:sz w:val="28"/>
          <w:szCs w:val="28"/>
        </w:rPr>
        <w:t>documents</w:t>
      </w:r>
      <w:r w:rsidRPr="00CA305B">
        <w:rPr>
          <w:sz w:val="28"/>
          <w:szCs w:val="28"/>
        </w:rPr>
        <w:t xml:space="preserve"> in the presumptive record, even though such requests </w:t>
      </w:r>
      <w:r w:rsidR="006A7AE6">
        <w:rPr>
          <w:sz w:val="28"/>
          <w:szCs w:val="28"/>
        </w:rPr>
        <w:t xml:space="preserve">probably </w:t>
      </w:r>
      <w:r w:rsidRPr="00CA305B">
        <w:rPr>
          <w:sz w:val="28"/>
          <w:szCs w:val="28"/>
        </w:rPr>
        <w:t xml:space="preserve">will be infrequent.  Attorneys especially might want to omit items when the petition focuses on a narrow issue that does not require the complete record.  This section also refers to “reports to the court.”  Members thought this would include the presentence report, but for clarity, </w:t>
      </w:r>
      <w:r>
        <w:rPr>
          <w:sz w:val="28"/>
          <w:szCs w:val="28"/>
        </w:rPr>
        <w:t>this</w:t>
      </w:r>
      <w:r w:rsidRPr="00CA305B">
        <w:rPr>
          <w:sz w:val="28"/>
          <w:szCs w:val="28"/>
        </w:rPr>
        <w:t xml:space="preserve"> section </w:t>
      </w:r>
      <w:r>
        <w:rPr>
          <w:sz w:val="28"/>
          <w:szCs w:val="28"/>
        </w:rPr>
        <w:t>now contains</w:t>
      </w:r>
      <w:r w:rsidRPr="00CA305B">
        <w:rPr>
          <w:sz w:val="28"/>
          <w:szCs w:val="28"/>
        </w:rPr>
        <w:t xml:space="preserve"> a specific reference to th</w:t>
      </w:r>
      <w:r w:rsidR="006B248F">
        <w:rPr>
          <w:sz w:val="28"/>
          <w:szCs w:val="28"/>
        </w:rPr>
        <w:t>at</w:t>
      </w:r>
      <w:r w:rsidRPr="00CA305B">
        <w:rPr>
          <w:sz w:val="28"/>
          <w:szCs w:val="28"/>
        </w:rPr>
        <w:t xml:space="preserve"> document.  They also discussed whether </w:t>
      </w:r>
      <w:r w:rsidR="002940EB">
        <w:rPr>
          <w:sz w:val="28"/>
          <w:szCs w:val="28"/>
        </w:rPr>
        <w:t xml:space="preserve">the phrase </w:t>
      </w:r>
      <w:r w:rsidRPr="00CA305B">
        <w:rPr>
          <w:sz w:val="28"/>
          <w:szCs w:val="28"/>
        </w:rPr>
        <w:t xml:space="preserve">“reports to the court” includes competency evaluations.  They agreed that it does, </w:t>
      </w:r>
      <w:r w:rsidR="00E047D6">
        <w:rPr>
          <w:sz w:val="28"/>
          <w:szCs w:val="28"/>
        </w:rPr>
        <w:t xml:space="preserve">but that </w:t>
      </w:r>
      <w:r w:rsidRPr="00CA305B">
        <w:rPr>
          <w:sz w:val="28"/>
          <w:szCs w:val="28"/>
        </w:rPr>
        <w:t>competency evaluations do not need to be specifically referenced in the form.  However, competency evaluations might have been sealed.  Form 26 does not unseal a sealed document</w:t>
      </w:r>
      <w:r w:rsidR="00E047D6">
        <w:rPr>
          <w:sz w:val="28"/>
          <w:szCs w:val="28"/>
        </w:rPr>
        <w:t xml:space="preserve">, so a </w:t>
      </w:r>
      <w:r w:rsidRPr="00CA305B">
        <w:rPr>
          <w:sz w:val="28"/>
          <w:szCs w:val="28"/>
        </w:rPr>
        <w:t xml:space="preserve">defendant would </w:t>
      </w:r>
      <w:r w:rsidRPr="00CA305B">
        <w:rPr>
          <w:sz w:val="28"/>
          <w:szCs w:val="28"/>
        </w:rPr>
        <w:lastRenderedPageBreak/>
        <w:t>need to file a motion to unseal the competency report if he or she did not already have a copy.</w:t>
      </w:r>
    </w:p>
    <w:p w14:paraId="5C7168D3" w14:textId="71F32476" w:rsidR="00CA305B" w:rsidRDefault="00CA305B" w:rsidP="00CA305B">
      <w:pPr>
        <w:spacing w:line="480" w:lineRule="auto"/>
        <w:ind w:firstLine="720"/>
        <w:jc w:val="both"/>
        <w:rPr>
          <w:sz w:val="28"/>
          <w:szCs w:val="28"/>
        </w:rPr>
      </w:pPr>
      <w:r w:rsidRPr="00CA305B">
        <w:rPr>
          <w:sz w:val="28"/>
          <w:szCs w:val="28"/>
        </w:rPr>
        <w:t xml:space="preserve">The second section of the form requests transcripts.  Most courts record their settlement conferences (Pinal County does not), and </w:t>
      </w:r>
      <w:r w:rsidR="00377A6B">
        <w:rPr>
          <w:sz w:val="28"/>
          <w:szCs w:val="28"/>
        </w:rPr>
        <w:t xml:space="preserve">the Task Force </w:t>
      </w:r>
      <w:r w:rsidRPr="00CA305B">
        <w:rPr>
          <w:sz w:val="28"/>
          <w:szCs w:val="28"/>
        </w:rPr>
        <w:t xml:space="preserve">agreed to add transcripts of settlement conferences in subpart 1 (Rule 32 proceedings) and subpart 2 (Rule 33 proceedings).  </w:t>
      </w:r>
      <w:r w:rsidR="00377A6B">
        <w:rPr>
          <w:sz w:val="28"/>
          <w:szCs w:val="28"/>
        </w:rPr>
        <w:t>The Task Force</w:t>
      </w:r>
      <w:r w:rsidRPr="00CA305B">
        <w:rPr>
          <w:sz w:val="28"/>
          <w:szCs w:val="28"/>
        </w:rPr>
        <w:t xml:space="preserve"> declined to add </w:t>
      </w:r>
      <w:r w:rsidRPr="00CA305B">
        <w:rPr>
          <w:i/>
          <w:sz w:val="28"/>
          <w:szCs w:val="28"/>
        </w:rPr>
        <w:t>Donald</w:t>
      </w:r>
      <w:r w:rsidRPr="00CA305B">
        <w:rPr>
          <w:sz w:val="28"/>
          <w:szCs w:val="28"/>
        </w:rPr>
        <w:t xml:space="preserve"> advisements because these are customarily done during another proceeding, such as a pretrial management conference, and there </w:t>
      </w:r>
      <w:r w:rsidR="00FA39F0">
        <w:rPr>
          <w:sz w:val="28"/>
          <w:szCs w:val="28"/>
        </w:rPr>
        <w:t>are</w:t>
      </w:r>
      <w:r w:rsidRPr="00CA305B">
        <w:rPr>
          <w:sz w:val="28"/>
          <w:szCs w:val="28"/>
        </w:rPr>
        <w:t xml:space="preserve"> no separate docket entr</w:t>
      </w:r>
      <w:r w:rsidR="00FA39F0">
        <w:rPr>
          <w:sz w:val="28"/>
          <w:szCs w:val="28"/>
        </w:rPr>
        <w:t>ies</w:t>
      </w:r>
      <w:r w:rsidRPr="00CA305B">
        <w:rPr>
          <w:sz w:val="28"/>
          <w:szCs w:val="28"/>
        </w:rPr>
        <w:t xml:space="preserve"> for these advisements.</w:t>
      </w:r>
    </w:p>
    <w:bookmarkEnd w:id="0"/>
    <w:p w14:paraId="6D2A9850" w14:textId="7BAFA501" w:rsidR="007E6CA4" w:rsidRDefault="00E56D66" w:rsidP="00FF3529">
      <w:pPr>
        <w:spacing w:line="480" w:lineRule="auto"/>
        <w:ind w:firstLine="720"/>
        <w:contextualSpacing w:val="0"/>
        <w:jc w:val="both"/>
        <w:rPr>
          <w:sz w:val="28"/>
          <w:szCs w:val="28"/>
        </w:rPr>
      </w:pPr>
      <w:r>
        <w:rPr>
          <w:b/>
          <w:sz w:val="28"/>
          <w:szCs w:val="28"/>
          <w:u w:val="single"/>
        </w:rPr>
        <w:t>5</w:t>
      </w:r>
      <w:r w:rsidR="00FF0C36">
        <w:rPr>
          <w:b/>
          <w:sz w:val="28"/>
          <w:szCs w:val="28"/>
          <w:u w:val="single"/>
        </w:rPr>
        <w:t xml:space="preserve">. </w:t>
      </w:r>
      <w:r w:rsidR="00ED41BB" w:rsidRPr="00FF0C36">
        <w:rPr>
          <w:b/>
          <w:sz w:val="28"/>
          <w:szCs w:val="28"/>
          <w:u w:val="single"/>
        </w:rPr>
        <w:t>Conclusion.</w:t>
      </w:r>
      <w:r w:rsidR="00ED41BB" w:rsidRPr="00FF0C36">
        <w:rPr>
          <w:sz w:val="28"/>
          <w:szCs w:val="28"/>
        </w:rPr>
        <w:t xml:space="preserve">  </w:t>
      </w:r>
      <w:r w:rsidR="0000219F" w:rsidRPr="00FF0C36">
        <w:rPr>
          <w:sz w:val="28"/>
          <w:szCs w:val="28"/>
        </w:rPr>
        <w:t xml:space="preserve">Petitioner accordingly requests the </w:t>
      </w:r>
      <w:r w:rsidR="00FF0C36">
        <w:rPr>
          <w:sz w:val="28"/>
          <w:szCs w:val="28"/>
        </w:rPr>
        <w:t xml:space="preserve">Court </w:t>
      </w:r>
      <w:r w:rsidR="007E6CA4">
        <w:rPr>
          <w:sz w:val="28"/>
          <w:szCs w:val="28"/>
        </w:rPr>
        <w:t>to:</w:t>
      </w:r>
    </w:p>
    <w:p w14:paraId="4D957243" w14:textId="4E632D78" w:rsidR="006709C5" w:rsidRDefault="006709C5" w:rsidP="00FF3529">
      <w:pPr>
        <w:spacing w:line="480" w:lineRule="auto"/>
        <w:ind w:firstLine="720"/>
        <w:contextualSpacing w:val="0"/>
        <w:jc w:val="both"/>
        <w:rPr>
          <w:sz w:val="28"/>
          <w:szCs w:val="28"/>
        </w:rPr>
      </w:pPr>
      <w:r w:rsidRPr="002940EB">
        <w:rPr>
          <w:b/>
          <w:sz w:val="28"/>
          <w:szCs w:val="28"/>
        </w:rPr>
        <w:t>(</w:t>
      </w:r>
      <w:r w:rsidR="00E047D6">
        <w:rPr>
          <w:b/>
          <w:sz w:val="28"/>
          <w:szCs w:val="28"/>
        </w:rPr>
        <w:t>A</w:t>
      </w:r>
      <w:r w:rsidRPr="002940EB">
        <w:rPr>
          <w:b/>
          <w:sz w:val="28"/>
          <w:szCs w:val="28"/>
        </w:rPr>
        <w:t>)</w:t>
      </w:r>
      <w:r>
        <w:rPr>
          <w:sz w:val="28"/>
          <w:szCs w:val="28"/>
        </w:rPr>
        <w:t xml:space="preserve"> adopt amendments to Rule 17.1(e) as shown in Appendix 1-R,</w:t>
      </w:r>
    </w:p>
    <w:p w14:paraId="61F7739F" w14:textId="162905D0" w:rsidR="00E047D6" w:rsidRDefault="00E047D6" w:rsidP="0088740A">
      <w:pPr>
        <w:spacing w:line="480" w:lineRule="auto"/>
        <w:ind w:left="720"/>
        <w:contextualSpacing w:val="0"/>
        <w:jc w:val="both"/>
        <w:rPr>
          <w:sz w:val="28"/>
          <w:szCs w:val="28"/>
        </w:rPr>
      </w:pPr>
      <w:r w:rsidRPr="002940EB">
        <w:rPr>
          <w:b/>
          <w:sz w:val="28"/>
          <w:szCs w:val="28"/>
        </w:rPr>
        <w:t>(</w:t>
      </w:r>
      <w:r>
        <w:rPr>
          <w:b/>
          <w:sz w:val="28"/>
          <w:szCs w:val="28"/>
        </w:rPr>
        <w:t>B</w:t>
      </w:r>
      <w:r w:rsidRPr="002940EB">
        <w:rPr>
          <w:b/>
          <w:sz w:val="28"/>
          <w:szCs w:val="28"/>
        </w:rPr>
        <w:t>)</w:t>
      </w:r>
      <w:r>
        <w:rPr>
          <w:sz w:val="28"/>
          <w:szCs w:val="28"/>
        </w:rPr>
        <w:t xml:space="preserve"> abrogate current Rule 32,</w:t>
      </w:r>
      <w:r w:rsidR="0088740A">
        <w:rPr>
          <w:sz w:val="28"/>
          <w:szCs w:val="28"/>
        </w:rPr>
        <w:t xml:space="preserve"> and adopt a revised version of Rule 32 as shown in Appendix 4-R; </w:t>
      </w:r>
    </w:p>
    <w:p w14:paraId="05CA80E1" w14:textId="5C303964" w:rsidR="007E6CA4" w:rsidRDefault="006709C5" w:rsidP="007E6CA4">
      <w:pPr>
        <w:spacing w:line="480" w:lineRule="auto"/>
        <w:ind w:left="720"/>
        <w:contextualSpacing w:val="0"/>
        <w:jc w:val="both"/>
        <w:rPr>
          <w:sz w:val="28"/>
          <w:szCs w:val="28"/>
        </w:rPr>
      </w:pPr>
      <w:r w:rsidRPr="002940EB">
        <w:rPr>
          <w:b/>
          <w:sz w:val="28"/>
          <w:szCs w:val="28"/>
        </w:rPr>
        <w:t>(C)</w:t>
      </w:r>
      <w:r>
        <w:rPr>
          <w:sz w:val="28"/>
          <w:szCs w:val="28"/>
        </w:rPr>
        <w:t xml:space="preserve"> </w:t>
      </w:r>
      <w:r w:rsidR="007E6CA4">
        <w:rPr>
          <w:sz w:val="28"/>
          <w:szCs w:val="28"/>
        </w:rPr>
        <w:t>adopt new Rule 33</w:t>
      </w:r>
      <w:r w:rsidR="00256260">
        <w:rPr>
          <w:sz w:val="28"/>
          <w:szCs w:val="28"/>
        </w:rPr>
        <w:t>,</w:t>
      </w:r>
      <w:r w:rsidR="0000219F" w:rsidRPr="00FF0C36">
        <w:rPr>
          <w:sz w:val="28"/>
          <w:szCs w:val="28"/>
        </w:rPr>
        <w:t xml:space="preserve"> </w:t>
      </w:r>
      <w:r w:rsidR="002940EB">
        <w:rPr>
          <w:sz w:val="28"/>
          <w:szCs w:val="28"/>
        </w:rPr>
        <w:t xml:space="preserve">which </w:t>
      </w:r>
      <w:r w:rsidR="0088740A">
        <w:rPr>
          <w:sz w:val="28"/>
          <w:szCs w:val="28"/>
        </w:rPr>
        <w:t>i</w:t>
      </w:r>
      <w:r w:rsidR="00292255">
        <w:rPr>
          <w:sz w:val="28"/>
          <w:szCs w:val="28"/>
        </w:rPr>
        <w:t>s</w:t>
      </w:r>
      <w:r w:rsidR="0088740A">
        <w:rPr>
          <w:sz w:val="28"/>
          <w:szCs w:val="28"/>
        </w:rPr>
        <w:t xml:space="preserve"> also shown in</w:t>
      </w:r>
      <w:r w:rsidR="0000219F" w:rsidRPr="00FF0C36">
        <w:rPr>
          <w:sz w:val="28"/>
          <w:szCs w:val="28"/>
        </w:rPr>
        <w:t xml:space="preserve"> Appendi</w:t>
      </w:r>
      <w:r w:rsidR="007E6CA4">
        <w:rPr>
          <w:sz w:val="28"/>
          <w:szCs w:val="28"/>
        </w:rPr>
        <w:t>x</w:t>
      </w:r>
      <w:r w:rsidR="0000219F" w:rsidRPr="00FF0C36">
        <w:rPr>
          <w:sz w:val="28"/>
          <w:szCs w:val="28"/>
        </w:rPr>
        <w:t xml:space="preserve"> </w:t>
      </w:r>
      <w:r w:rsidR="00C71D20">
        <w:rPr>
          <w:sz w:val="28"/>
          <w:szCs w:val="28"/>
        </w:rPr>
        <w:t>4</w:t>
      </w:r>
      <w:r w:rsidR="0000219F" w:rsidRPr="00FF0C36">
        <w:rPr>
          <w:sz w:val="28"/>
          <w:szCs w:val="28"/>
        </w:rPr>
        <w:t>-R</w:t>
      </w:r>
      <w:r w:rsidR="007E6CA4">
        <w:rPr>
          <w:sz w:val="28"/>
          <w:szCs w:val="28"/>
        </w:rPr>
        <w:t>,</w:t>
      </w:r>
    </w:p>
    <w:p w14:paraId="785D9E3C" w14:textId="6E92D0CC" w:rsidR="007E6CA4" w:rsidRDefault="006709C5" w:rsidP="007E6CA4">
      <w:pPr>
        <w:spacing w:line="480" w:lineRule="auto"/>
        <w:ind w:left="720"/>
        <w:contextualSpacing w:val="0"/>
        <w:jc w:val="both"/>
        <w:rPr>
          <w:sz w:val="28"/>
          <w:szCs w:val="28"/>
        </w:rPr>
      </w:pPr>
      <w:r w:rsidRPr="002940EB">
        <w:rPr>
          <w:b/>
          <w:sz w:val="28"/>
          <w:szCs w:val="28"/>
        </w:rPr>
        <w:t>(D)</w:t>
      </w:r>
      <w:r>
        <w:rPr>
          <w:sz w:val="28"/>
          <w:szCs w:val="28"/>
        </w:rPr>
        <w:t xml:space="preserve"> </w:t>
      </w:r>
      <w:r w:rsidR="007E6CA4">
        <w:rPr>
          <w:sz w:val="28"/>
          <w:szCs w:val="28"/>
        </w:rPr>
        <w:t xml:space="preserve">abrogate current Form 23 (“Notice of Rights of Review after Conviction in Superior Court”), </w:t>
      </w:r>
      <w:r w:rsidR="005B0510">
        <w:rPr>
          <w:sz w:val="28"/>
          <w:szCs w:val="28"/>
        </w:rPr>
        <w:t xml:space="preserve">Form </w:t>
      </w:r>
      <w:r w:rsidR="007E6CA4">
        <w:rPr>
          <w:sz w:val="28"/>
          <w:szCs w:val="28"/>
        </w:rPr>
        <w:t xml:space="preserve">24(b) (“Notice of Post-Conviction Relief”), </w:t>
      </w:r>
      <w:r w:rsidR="005B0510">
        <w:rPr>
          <w:sz w:val="28"/>
          <w:szCs w:val="28"/>
        </w:rPr>
        <w:t xml:space="preserve">Form </w:t>
      </w:r>
      <w:r w:rsidR="007E6CA4">
        <w:rPr>
          <w:sz w:val="28"/>
          <w:szCs w:val="28"/>
        </w:rPr>
        <w:t xml:space="preserve">25 (“Petition for Post-Conviction Relief”), and </w:t>
      </w:r>
      <w:r w:rsidR="005B0510">
        <w:rPr>
          <w:sz w:val="28"/>
          <w:szCs w:val="28"/>
        </w:rPr>
        <w:t xml:space="preserve">Form </w:t>
      </w:r>
      <w:r w:rsidR="007E6CA4">
        <w:rPr>
          <w:sz w:val="28"/>
          <w:szCs w:val="28"/>
        </w:rPr>
        <w:t xml:space="preserve">26 (“Request for Preparation of Post-Conviction Relief Record”), </w:t>
      </w:r>
      <w:r w:rsidR="0000219F" w:rsidRPr="00FF0C36">
        <w:rPr>
          <w:sz w:val="28"/>
          <w:szCs w:val="28"/>
        </w:rPr>
        <w:t xml:space="preserve">and </w:t>
      </w:r>
    </w:p>
    <w:p w14:paraId="1862ACF4" w14:textId="48371E3A" w:rsidR="00FF3529" w:rsidRDefault="006709C5" w:rsidP="007E6CA4">
      <w:pPr>
        <w:spacing w:line="480" w:lineRule="auto"/>
        <w:ind w:left="720"/>
        <w:contextualSpacing w:val="0"/>
        <w:jc w:val="both"/>
        <w:rPr>
          <w:sz w:val="28"/>
          <w:szCs w:val="28"/>
        </w:rPr>
      </w:pPr>
      <w:r w:rsidRPr="002940EB">
        <w:rPr>
          <w:b/>
          <w:sz w:val="28"/>
          <w:szCs w:val="28"/>
        </w:rPr>
        <w:t>(E)</w:t>
      </w:r>
      <w:r>
        <w:rPr>
          <w:sz w:val="28"/>
          <w:szCs w:val="28"/>
        </w:rPr>
        <w:t xml:space="preserve"> </w:t>
      </w:r>
      <w:r w:rsidR="007E6CA4">
        <w:rPr>
          <w:sz w:val="28"/>
          <w:szCs w:val="28"/>
        </w:rPr>
        <w:t xml:space="preserve">adopt </w:t>
      </w:r>
      <w:bookmarkStart w:id="1" w:name="_GoBack"/>
      <w:bookmarkEnd w:id="1"/>
      <w:r w:rsidR="007E6CA4">
        <w:rPr>
          <w:sz w:val="28"/>
          <w:szCs w:val="28"/>
        </w:rPr>
        <w:t>new Form 23(a) (“Notice of Rights After Sentencing in the Superior Court (Non-Capital)</w:t>
      </w:r>
      <w:r w:rsidR="00256260">
        <w:rPr>
          <w:sz w:val="28"/>
          <w:szCs w:val="28"/>
        </w:rPr>
        <w:t xml:space="preserve">”), </w:t>
      </w:r>
      <w:r w:rsidR="005B0510">
        <w:rPr>
          <w:sz w:val="28"/>
          <w:szCs w:val="28"/>
        </w:rPr>
        <w:t xml:space="preserve">Form </w:t>
      </w:r>
      <w:r w:rsidR="00256260">
        <w:rPr>
          <w:sz w:val="28"/>
          <w:szCs w:val="28"/>
        </w:rPr>
        <w:t xml:space="preserve">23(b) (“Notice of Rights After Sentencing in a </w:t>
      </w:r>
      <w:r w:rsidR="00256260">
        <w:rPr>
          <w:sz w:val="28"/>
          <w:szCs w:val="28"/>
        </w:rPr>
        <w:lastRenderedPageBreak/>
        <w:t xml:space="preserve">Capital Case”), </w:t>
      </w:r>
      <w:r w:rsidR="005B0510">
        <w:rPr>
          <w:sz w:val="28"/>
          <w:szCs w:val="28"/>
        </w:rPr>
        <w:t xml:space="preserve">Form </w:t>
      </w:r>
      <w:r w:rsidR="00256260">
        <w:rPr>
          <w:sz w:val="28"/>
          <w:szCs w:val="28"/>
        </w:rPr>
        <w:t xml:space="preserve">24(b) (“Notice Requesting Post-Conviction Relief”), </w:t>
      </w:r>
      <w:r w:rsidR="005B0510">
        <w:rPr>
          <w:sz w:val="28"/>
          <w:szCs w:val="28"/>
        </w:rPr>
        <w:t xml:space="preserve">Form </w:t>
      </w:r>
      <w:r w:rsidR="00256260">
        <w:rPr>
          <w:sz w:val="28"/>
          <w:szCs w:val="28"/>
        </w:rPr>
        <w:t xml:space="preserve">25 (“Petition for Post-Conviction Relief”), </w:t>
      </w:r>
      <w:r w:rsidR="005B0510">
        <w:rPr>
          <w:sz w:val="28"/>
          <w:szCs w:val="28"/>
        </w:rPr>
        <w:t xml:space="preserve">Form </w:t>
      </w:r>
      <w:r w:rsidR="00256260">
        <w:rPr>
          <w:sz w:val="28"/>
          <w:szCs w:val="28"/>
        </w:rPr>
        <w:t>25(b) (“Checklist for No Colorable Claims (Rule 33</w:t>
      </w:r>
      <w:r w:rsidR="005B0510">
        <w:rPr>
          <w:sz w:val="28"/>
          <w:szCs w:val="28"/>
        </w:rPr>
        <w:t>)</w:t>
      </w:r>
      <w:r w:rsidR="00256260">
        <w:rPr>
          <w:sz w:val="28"/>
          <w:szCs w:val="28"/>
        </w:rPr>
        <w:t xml:space="preserve">”), and </w:t>
      </w:r>
      <w:r w:rsidR="005B0510">
        <w:rPr>
          <w:sz w:val="28"/>
          <w:szCs w:val="28"/>
        </w:rPr>
        <w:t xml:space="preserve">Form </w:t>
      </w:r>
      <w:r w:rsidR="00256260">
        <w:rPr>
          <w:sz w:val="28"/>
          <w:szCs w:val="28"/>
        </w:rPr>
        <w:t xml:space="preserve">26 (“Defendant’s Request for the Court Record”), </w:t>
      </w:r>
      <w:r w:rsidR="00E047D6">
        <w:rPr>
          <w:sz w:val="28"/>
          <w:szCs w:val="28"/>
        </w:rPr>
        <w:t xml:space="preserve">as </w:t>
      </w:r>
      <w:r w:rsidR="00256260">
        <w:rPr>
          <w:sz w:val="28"/>
          <w:szCs w:val="28"/>
        </w:rPr>
        <w:t xml:space="preserve">shown in Appendix </w:t>
      </w:r>
      <w:r w:rsidR="00C71D20">
        <w:rPr>
          <w:sz w:val="28"/>
          <w:szCs w:val="28"/>
        </w:rPr>
        <w:t>5</w:t>
      </w:r>
      <w:r w:rsidR="0000219F" w:rsidRPr="00FF0C36">
        <w:rPr>
          <w:sz w:val="28"/>
          <w:szCs w:val="28"/>
        </w:rPr>
        <w:t>-R.</w:t>
      </w:r>
    </w:p>
    <w:p w14:paraId="0E714E14" w14:textId="2F641F17" w:rsidR="00FF3529" w:rsidRDefault="00FF0C36" w:rsidP="00FF3529">
      <w:pPr>
        <w:spacing w:line="480" w:lineRule="auto"/>
        <w:ind w:firstLine="720"/>
        <w:contextualSpacing w:val="0"/>
        <w:jc w:val="both"/>
        <w:rPr>
          <w:sz w:val="28"/>
          <w:szCs w:val="28"/>
        </w:rPr>
      </w:pPr>
      <w:r>
        <w:rPr>
          <w:sz w:val="28"/>
          <w:szCs w:val="28"/>
        </w:rPr>
        <w:t xml:space="preserve">Petitioner reminds the Court of </w:t>
      </w:r>
      <w:r w:rsidR="00996FF9">
        <w:rPr>
          <w:sz w:val="28"/>
          <w:szCs w:val="28"/>
        </w:rPr>
        <w:t>the Task Force’s</w:t>
      </w:r>
      <w:r>
        <w:rPr>
          <w:sz w:val="28"/>
          <w:szCs w:val="28"/>
        </w:rPr>
        <w:t xml:space="preserve"> previous request to renumber current Rule 33 (“criminal contempt”) as Rule 35 (currently “reserved”)</w:t>
      </w:r>
      <w:r w:rsidR="006709C5">
        <w:rPr>
          <w:sz w:val="28"/>
          <w:szCs w:val="28"/>
        </w:rPr>
        <w:t>, a change that will</w:t>
      </w:r>
      <w:r>
        <w:rPr>
          <w:sz w:val="28"/>
          <w:szCs w:val="28"/>
        </w:rPr>
        <w:t xml:space="preserve"> accommodate </w:t>
      </w:r>
      <w:r w:rsidR="00FF3529">
        <w:rPr>
          <w:sz w:val="28"/>
          <w:szCs w:val="28"/>
        </w:rPr>
        <w:t xml:space="preserve">the adoption of </w:t>
      </w:r>
      <w:r>
        <w:rPr>
          <w:sz w:val="28"/>
          <w:szCs w:val="28"/>
        </w:rPr>
        <w:t>new Rule 33.</w:t>
      </w:r>
    </w:p>
    <w:p w14:paraId="1BE88899" w14:textId="7212E23B" w:rsidR="00996FF9" w:rsidRDefault="00FF0C36" w:rsidP="00256260">
      <w:pPr>
        <w:spacing w:line="480" w:lineRule="auto"/>
        <w:ind w:firstLine="720"/>
        <w:contextualSpacing w:val="0"/>
        <w:jc w:val="both"/>
        <w:rPr>
          <w:sz w:val="28"/>
          <w:szCs w:val="28"/>
        </w:rPr>
      </w:pPr>
      <w:r>
        <w:rPr>
          <w:sz w:val="28"/>
          <w:szCs w:val="28"/>
        </w:rPr>
        <w:t>Members of the Task Force appreciate the</w:t>
      </w:r>
      <w:r w:rsidR="003B4166">
        <w:rPr>
          <w:sz w:val="28"/>
          <w:szCs w:val="28"/>
        </w:rPr>
        <w:t xml:space="preserve">ir </w:t>
      </w:r>
      <w:r>
        <w:rPr>
          <w:sz w:val="28"/>
          <w:szCs w:val="28"/>
        </w:rPr>
        <w:t xml:space="preserve">opportunity to serve in this endeavor. </w:t>
      </w:r>
      <w:r w:rsidR="0060790C">
        <w:rPr>
          <w:sz w:val="28"/>
          <w:szCs w:val="28"/>
        </w:rPr>
        <w:t xml:space="preserve"> </w:t>
      </w:r>
      <w:r>
        <w:rPr>
          <w:sz w:val="28"/>
          <w:szCs w:val="28"/>
        </w:rPr>
        <w:t>They</w:t>
      </w:r>
      <w:r w:rsidR="0000219F" w:rsidRPr="00FF0C36">
        <w:rPr>
          <w:sz w:val="28"/>
          <w:szCs w:val="28"/>
        </w:rPr>
        <w:t xml:space="preserve"> believe the proposed</w:t>
      </w:r>
      <w:r>
        <w:rPr>
          <w:sz w:val="28"/>
          <w:szCs w:val="28"/>
        </w:rPr>
        <w:t xml:space="preserve"> rule</w:t>
      </w:r>
      <w:r w:rsidR="0000219F" w:rsidRPr="00FF0C36">
        <w:rPr>
          <w:sz w:val="28"/>
          <w:szCs w:val="28"/>
        </w:rPr>
        <w:t xml:space="preserve"> changes </w:t>
      </w:r>
      <w:r>
        <w:rPr>
          <w:sz w:val="28"/>
          <w:szCs w:val="28"/>
        </w:rPr>
        <w:t xml:space="preserve">and form revisions </w:t>
      </w:r>
      <w:r w:rsidR="0000219F" w:rsidRPr="00FF0C36">
        <w:rPr>
          <w:sz w:val="28"/>
          <w:szCs w:val="28"/>
        </w:rPr>
        <w:t>are meaningful and will better serve the justice system and the post-conviction relief process.</w:t>
      </w:r>
    </w:p>
    <w:p w14:paraId="38781199" w14:textId="61A5422C" w:rsidR="00EE7D42" w:rsidRDefault="00EE7D42" w:rsidP="00E56D66">
      <w:pPr>
        <w:pStyle w:val="ListParagraph"/>
        <w:keepNext/>
        <w:spacing w:line="480" w:lineRule="auto"/>
        <w:ind w:firstLine="0"/>
        <w:rPr>
          <w:rFonts w:ascii="Times New Roman" w:hAnsi="Times New Roman" w:cs="Times New Roman"/>
          <w:sz w:val="28"/>
          <w:szCs w:val="28"/>
        </w:rPr>
      </w:pPr>
      <w:r w:rsidRPr="006A713A">
        <w:rPr>
          <w:rFonts w:ascii="Times New Roman" w:hAnsi="Times New Roman" w:cs="Times New Roman"/>
          <w:sz w:val="28"/>
          <w:szCs w:val="28"/>
        </w:rPr>
        <w:t>RESPECTFULLY SUBMITTED this</w:t>
      </w:r>
      <w:r w:rsidR="00FF0C36">
        <w:rPr>
          <w:rFonts w:ascii="Times New Roman" w:hAnsi="Times New Roman" w:cs="Times New Roman"/>
          <w:sz w:val="28"/>
          <w:szCs w:val="28"/>
        </w:rPr>
        <w:t xml:space="preserve"> 14th</w:t>
      </w:r>
      <w:r w:rsidR="00E774D5">
        <w:rPr>
          <w:rFonts w:ascii="Times New Roman" w:hAnsi="Times New Roman" w:cs="Times New Roman"/>
          <w:sz w:val="28"/>
          <w:szCs w:val="28"/>
        </w:rPr>
        <w:t xml:space="preserve"> </w:t>
      </w:r>
      <w:r w:rsidRPr="006A713A">
        <w:rPr>
          <w:rFonts w:ascii="Times New Roman" w:hAnsi="Times New Roman" w:cs="Times New Roman"/>
          <w:sz w:val="28"/>
          <w:szCs w:val="28"/>
        </w:rPr>
        <w:t xml:space="preserve">day of </w:t>
      </w:r>
      <w:r w:rsidR="00FF0C36">
        <w:rPr>
          <w:rFonts w:ascii="Times New Roman" w:hAnsi="Times New Roman" w:cs="Times New Roman"/>
          <w:sz w:val="28"/>
          <w:szCs w:val="28"/>
        </w:rPr>
        <w:t>June</w:t>
      </w:r>
      <w:r w:rsidR="003B385F" w:rsidRPr="006A713A">
        <w:rPr>
          <w:rFonts w:ascii="Times New Roman" w:hAnsi="Times New Roman" w:cs="Times New Roman"/>
          <w:sz w:val="28"/>
          <w:szCs w:val="28"/>
        </w:rPr>
        <w:t xml:space="preserve"> 2019</w:t>
      </w:r>
      <w:r w:rsidRPr="006A713A">
        <w:rPr>
          <w:rFonts w:ascii="Times New Roman" w:hAnsi="Times New Roman" w:cs="Times New Roman"/>
          <w:sz w:val="28"/>
          <w:szCs w:val="28"/>
        </w:rPr>
        <w:t>.</w:t>
      </w:r>
    </w:p>
    <w:p w14:paraId="7147E56F" w14:textId="73F5B1D5" w:rsidR="00EE7D42" w:rsidRPr="0095461F" w:rsidRDefault="00EE7D42" w:rsidP="00EE7D42">
      <w:pPr>
        <w:keepNext/>
        <w:ind w:left="2880" w:firstLine="720"/>
        <w:jc w:val="both"/>
        <w:rPr>
          <w:sz w:val="28"/>
          <w:szCs w:val="28"/>
          <w:u w:val="single"/>
        </w:rPr>
      </w:pPr>
      <w:r w:rsidRPr="0095461F">
        <w:rPr>
          <w:sz w:val="28"/>
          <w:szCs w:val="28"/>
        </w:rPr>
        <w:t>By</w:t>
      </w:r>
      <w:r w:rsidR="00973A63">
        <w:rPr>
          <w:sz w:val="28"/>
          <w:szCs w:val="28"/>
        </w:rPr>
        <w:t xml:space="preserve"> </w:t>
      </w:r>
      <w:r w:rsidR="00973A63" w:rsidRPr="00973A63">
        <w:rPr>
          <w:sz w:val="28"/>
          <w:szCs w:val="28"/>
          <w:u w:val="single"/>
        </w:rPr>
        <w:t>/s/ Joseph Welty</w:t>
      </w:r>
      <w:r w:rsidR="00973A63" w:rsidRPr="00973A63">
        <w:rPr>
          <w:sz w:val="28"/>
          <w:szCs w:val="28"/>
          <w:u w:val="single"/>
        </w:rPr>
        <w:tab/>
      </w:r>
      <w:r w:rsidR="00973A63" w:rsidRPr="00973A63">
        <w:rPr>
          <w:sz w:val="28"/>
          <w:szCs w:val="28"/>
          <w:u w:val="single"/>
        </w:rPr>
        <w:tab/>
      </w:r>
      <w:r w:rsidR="00973A63" w:rsidRPr="00973A63">
        <w:rPr>
          <w:sz w:val="28"/>
          <w:szCs w:val="28"/>
          <w:u w:val="single"/>
        </w:rPr>
        <w:tab/>
      </w:r>
      <w:r w:rsidR="00973A63">
        <w:rPr>
          <w:sz w:val="28"/>
          <w:szCs w:val="28"/>
          <w:u w:val="single"/>
        </w:rPr>
        <w:tab/>
      </w:r>
    </w:p>
    <w:p w14:paraId="60ED2D4D" w14:textId="1D37B00F" w:rsidR="00A06FCD" w:rsidRPr="006709C5" w:rsidRDefault="00EE7D42" w:rsidP="00E56D66">
      <w:pPr>
        <w:keepNext/>
        <w:ind w:left="2880" w:firstLine="720"/>
        <w:jc w:val="both"/>
        <w:rPr>
          <w:sz w:val="28"/>
          <w:szCs w:val="28"/>
        </w:rPr>
      </w:pPr>
      <w:r w:rsidRPr="0095461F">
        <w:rPr>
          <w:sz w:val="28"/>
          <w:szCs w:val="28"/>
        </w:rPr>
        <w:t xml:space="preserve">     </w:t>
      </w:r>
      <w:r w:rsidR="003B385F" w:rsidRPr="0095461F">
        <w:rPr>
          <w:sz w:val="28"/>
          <w:szCs w:val="28"/>
        </w:rPr>
        <w:t>Hon. Joseph Welty,</w:t>
      </w:r>
      <w:r w:rsidRPr="0095461F">
        <w:rPr>
          <w:sz w:val="28"/>
          <w:szCs w:val="28"/>
        </w:rPr>
        <w:t xml:space="preserve"> Chair</w:t>
      </w:r>
    </w:p>
    <w:sectPr w:rsidR="00A06FCD" w:rsidRPr="006709C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871818" w14:textId="77777777" w:rsidR="00815240" w:rsidRDefault="00815240" w:rsidP="00EE7D42">
      <w:r>
        <w:separator/>
      </w:r>
    </w:p>
  </w:endnote>
  <w:endnote w:type="continuationSeparator" w:id="0">
    <w:p w14:paraId="3CE2C0D8" w14:textId="77777777" w:rsidR="00815240" w:rsidRDefault="00815240" w:rsidP="00EE7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9793080"/>
      <w:docPartObj>
        <w:docPartGallery w:val="Page Numbers (Bottom of Page)"/>
        <w:docPartUnique/>
      </w:docPartObj>
    </w:sdtPr>
    <w:sdtEndPr>
      <w:rPr>
        <w:noProof/>
      </w:rPr>
    </w:sdtEndPr>
    <w:sdtContent>
      <w:p w14:paraId="0960F403" w14:textId="7E37B07F" w:rsidR="00815240" w:rsidRDefault="00815240">
        <w:pPr>
          <w:pStyle w:val="Footer"/>
          <w:jc w:val="center"/>
        </w:pPr>
        <w:r>
          <w:fldChar w:fldCharType="begin"/>
        </w:r>
        <w:r>
          <w:instrText xml:space="preserve"> PAGE   \* MERGEFORMAT </w:instrText>
        </w:r>
        <w:r>
          <w:fldChar w:fldCharType="separate"/>
        </w:r>
        <w:r>
          <w:rPr>
            <w:noProof/>
          </w:rPr>
          <w:t>14</w:t>
        </w:r>
        <w:r>
          <w:rPr>
            <w:noProof/>
          </w:rPr>
          <w:fldChar w:fldCharType="end"/>
        </w:r>
      </w:p>
    </w:sdtContent>
  </w:sdt>
  <w:p w14:paraId="677DDA73" w14:textId="77777777" w:rsidR="00815240" w:rsidRDefault="008152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813E20" w14:textId="77777777" w:rsidR="00815240" w:rsidRDefault="00815240" w:rsidP="00EE7D42">
      <w:r>
        <w:separator/>
      </w:r>
    </w:p>
  </w:footnote>
  <w:footnote w:type="continuationSeparator" w:id="0">
    <w:p w14:paraId="060764D5" w14:textId="77777777" w:rsidR="00815240" w:rsidRDefault="00815240" w:rsidP="00EE7D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F1FCD"/>
    <w:multiLevelType w:val="hybridMultilevel"/>
    <w:tmpl w:val="12C09D5C"/>
    <w:lvl w:ilvl="0" w:tplc="831C303E">
      <w:numFmt w:val="bullet"/>
      <w:lvlText w:val="-"/>
      <w:lvlJc w:val="left"/>
      <w:pPr>
        <w:ind w:left="1080" w:hanging="360"/>
      </w:pPr>
      <w:rPr>
        <w:rFonts w:ascii="Book Antiqua" w:eastAsiaTheme="minorHAnsi" w:hAnsi="Book Antiqu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4B90827"/>
    <w:multiLevelType w:val="hybridMultilevel"/>
    <w:tmpl w:val="07745D0A"/>
    <w:lvl w:ilvl="0" w:tplc="D6120662">
      <w:start w:val="5"/>
      <w:numFmt w:val="decimal"/>
      <w:lvlText w:val="%1."/>
      <w:lvlJc w:val="left"/>
      <w:pPr>
        <w:ind w:left="117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E95829"/>
    <w:multiLevelType w:val="hybridMultilevel"/>
    <w:tmpl w:val="6388D00A"/>
    <w:lvl w:ilvl="0" w:tplc="0B1EF840">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CFF74BB"/>
    <w:multiLevelType w:val="hybridMultilevel"/>
    <w:tmpl w:val="591267EA"/>
    <w:lvl w:ilvl="0" w:tplc="E172506C">
      <w:start w:val="1"/>
      <w:numFmt w:val="decimal"/>
      <w:lvlText w:val="%1."/>
      <w:lvlJc w:val="left"/>
      <w:pPr>
        <w:ind w:left="1080" w:hanging="360"/>
      </w:pPr>
      <w:rPr>
        <w:rFonts w:ascii="Times New Roman" w:hAnsi="Times New Roman" w:cs="Times New Roman" w:hint="default"/>
        <w:b/>
        <w:u w:val="single"/>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3B0F7414"/>
    <w:multiLevelType w:val="hybridMultilevel"/>
    <w:tmpl w:val="54B2A98E"/>
    <w:lvl w:ilvl="0" w:tplc="4574EAFC">
      <w:start w:val="1"/>
      <w:numFmt w:val="decimal"/>
      <w:lvlText w:val="%1."/>
      <w:lvlJc w:val="left"/>
      <w:pPr>
        <w:ind w:left="1166" w:hanging="360"/>
      </w:pPr>
      <w:rPr>
        <w:rFonts w:hint="default"/>
        <w:b/>
      </w:rPr>
    </w:lvl>
    <w:lvl w:ilvl="1" w:tplc="04090019">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5" w15:restartNumberingAfterBreak="0">
    <w:nsid w:val="4DBE4627"/>
    <w:multiLevelType w:val="hybridMultilevel"/>
    <w:tmpl w:val="441AF0BE"/>
    <w:lvl w:ilvl="0" w:tplc="B8C875B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DCE1666"/>
    <w:multiLevelType w:val="hybridMultilevel"/>
    <w:tmpl w:val="2968EC7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E86311A"/>
    <w:multiLevelType w:val="hybridMultilevel"/>
    <w:tmpl w:val="10784194"/>
    <w:lvl w:ilvl="0" w:tplc="1F6AAEFE">
      <w:start w:val="1"/>
      <w:numFmt w:val="decimal"/>
      <w:lvlText w:val="(%1)"/>
      <w:lvlJc w:val="left"/>
      <w:pPr>
        <w:ind w:left="1166" w:hanging="360"/>
      </w:pPr>
      <w:rPr>
        <w:rFonts w:hint="default"/>
        <w:b/>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8" w15:restartNumberingAfterBreak="0">
    <w:nsid w:val="616657D2"/>
    <w:multiLevelType w:val="hybridMultilevel"/>
    <w:tmpl w:val="10341148"/>
    <w:lvl w:ilvl="0" w:tplc="C4EE54C2">
      <w:start w:val="4"/>
      <w:numFmt w:val="decimal"/>
      <w:lvlText w:val="%1."/>
      <w:lvlJc w:val="left"/>
      <w:pPr>
        <w:ind w:left="1170" w:hanging="360"/>
      </w:pPr>
      <w:rPr>
        <w:rFonts w:hint="default"/>
        <w:b/>
        <w:u w:val="single"/>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15:restartNumberingAfterBreak="0">
    <w:nsid w:val="646F344B"/>
    <w:multiLevelType w:val="hybridMultilevel"/>
    <w:tmpl w:val="DEB43EFE"/>
    <w:lvl w:ilvl="0" w:tplc="E674A894">
      <w:start w:val="6"/>
      <w:numFmt w:val="bullet"/>
      <w:lvlText w:val="-"/>
      <w:lvlJc w:val="left"/>
      <w:pPr>
        <w:ind w:left="1080" w:hanging="360"/>
      </w:pPr>
      <w:rPr>
        <w:rFonts w:ascii="Book Antiqua" w:eastAsiaTheme="minorHAnsi" w:hAnsi="Book Antiqu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3"/>
  </w:num>
  <w:num w:numId="3">
    <w:abstractNumId w:val="5"/>
  </w:num>
  <w:num w:numId="4">
    <w:abstractNumId w:val="6"/>
  </w:num>
  <w:num w:numId="5">
    <w:abstractNumId w:val="4"/>
  </w:num>
  <w:num w:numId="6">
    <w:abstractNumId w:val="0"/>
  </w:num>
  <w:num w:numId="7">
    <w:abstractNumId w:val="8"/>
  </w:num>
  <w:num w:numId="8">
    <w:abstractNumId w:val="1"/>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ED1"/>
    <w:rsid w:val="0000219F"/>
    <w:rsid w:val="00007129"/>
    <w:rsid w:val="00011BAF"/>
    <w:rsid w:val="00012B4B"/>
    <w:rsid w:val="00031283"/>
    <w:rsid w:val="00035F8E"/>
    <w:rsid w:val="00036B6A"/>
    <w:rsid w:val="00077E2C"/>
    <w:rsid w:val="00084380"/>
    <w:rsid w:val="00084638"/>
    <w:rsid w:val="00090D52"/>
    <w:rsid w:val="000B12FD"/>
    <w:rsid w:val="000C0DC8"/>
    <w:rsid w:val="000C3016"/>
    <w:rsid w:val="000C3E5D"/>
    <w:rsid w:val="000C558C"/>
    <w:rsid w:val="000C6189"/>
    <w:rsid w:val="000D0D63"/>
    <w:rsid w:val="000D4EB4"/>
    <w:rsid w:val="000D78D4"/>
    <w:rsid w:val="000E0818"/>
    <w:rsid w:val="000F01BF"/>
    <w:rsid w:val="000F32DE"/>
    <w:rsid w:val="000F596A"/>
    <w:rsid w:val="00103ED1"/>
    <w:rsid w:val="00104F24"/>
    <w:rsid w:val="00106C3A"/>
    <w:rsid w:val="00117C9A"/>
    <w:rsid w:val="001352A1"/>
    <w:rsid w:val="00142F9E"/>
    <w:rsid w:val="00153796"/>
    <w:rsid w:val="00153F82"/>
    <w:rsid w:val="001547C0"/>
    <w:rsid w:val="00161F1D"/>
    <w:rsid w:val="00163148"/>
    <w:rsid w:val="00177E91"/>
    <w:rsid w:val="00180920"/>
    <w:rsid w:val="00184329"/>
    <w:rsid w:val="00192EC5"/>
    <w:rsid w:val="00194339"/>
    <w:rsid w:val="001A0984"/>
    <w:rsid w:val="001A73F1"/>
    <w:rsid w:val="001B08C9"/>
    <w:rsid w:val="001B2626"/>
    <w:rsid w:val="001C04AB"/>
    <w:rsid w:val="001E4DA0"/>
    <w:rsid w:val="001E5718"/>
    <w:rsid w:val="001F3E5A"/>
    <w:rsid w:val="001F7CE2"/>
    <w:rsid w:val="00205451"/>
    <w:rsid w:val="00212622"/>
    <w:rsid w:val="00224F0E"/>
    <w:rsid w:val="00233044"/>
    <w:rsid w:val="00233AE6"/>
    <w:rsid w:val="00237809"/>
    <w:rsid w:val="00240813"/>
    <w:rsid w:val="00250E95"/>
    <w:rsid w:val="0025342A"/>
    <w:rsid w:val="00256260"/>
    <w:rsid w:val="002665E0"/>
    <w:rsid w:val="00291788"/>
    <w:rsid w:val="00292255"/>
    <w:rsid w:val="002940EB"/>
    <w:rsid w:val="002976E6"/>
    <w:rsid w:val="002B2E28"/>
    <w:rsid w:val="002B35BE"/>
    <w:rsid w:val="002B75B1"/>
    <w:rsid w:val="002C4409"/>
    <w:rsid w:val="002E2E2E"/>
    <w:rsid w:val="0030211A"/>
    <w:rsid w:val="003102CB"/>
    <w:rsid w:val="00327445"/>
    <w:rsid w:val="003452DF"/>
    <w:rsid w:val="00352898"/>
    <w:rsid w:val="003667CC"/>
    <w:rsid w:val="00370ED0"/>
    <w:rsid w:val="00373A8E"/>
    <w:rsid w:val="00377A6B"/>
    <w:rsid w:val="00387ED6"/>
    <w:rsid w:val="003922AE"/>
    <w:rsid w:val="003A03D3"/>
    <w:rsid w:val="003B203B"/>
    <w:rsid w:val="003B385F"/>
    <w:rsid w:val="003B4166"/>
    <w:rsid w:val="003B5815"/>
    <w:rsid w:val="003C3466"/>
    <w:rsid w:val="003C469B"/>
    <w:rsid w:val="003D5F08"/>
    <w:rsid w:val="003F00FD"/>
    <w:rsid w:val="003F583A"/>
    <w:rsid w:val="003F5F58"/>
    <w:rsid w:val="00404E52"/>
    <w:rsid w:val="00405575"/>
    <w:rsid w:val="00415D39"/>
    <w:rsid w:val="00416176"/>
    <w:rsid w:val="0042279B"/>
    <w:rsid w:val="004232ED"/>
    <w:rsid w:val="00430F1C"/>
    <w:rsid w:val="00435065"/>
    <w:rsid w:val="00441B2C"/>
    <w:rsid w:val="004511B7"/>
    <w:rsid w:val="004514A7"/>
    <w:rsid w:val="00454737"/>
    <w:rsid w:val="004635B1"/>
    <w:rsid w:val="0047469D"/>
    <w:rsid w:val="00480664"/>
    <w:rsid w:val="00492F8B"/>
    <w:rsid w:val="004D4481"/>
    <w:rsid w:val="004D731F"/>
    <w:rsid w:val="004E0BE3"/>
    <w:rsid w:val="005132EB"/>
    <w:rsid w:val="0052017D"/>
    <w:rsid w:val="00522556"/>
    <w:rsid w:val="00532AD5"/>
    <w:rsid w:val="00533586"/>
    <w:rsid w:val="0053439E"/>
    <w:rsid w:val="005360C8"/>
    <w:rsid w:val="00537649"/>
    <w:rsid w:val="00547A49"/>
    <w:rsid w:val="00580A88"/>
    <w:rsid w:val="00581F30"/>
    <w:rsid w:val="00586CAC"/>
    <w:rsid w:val="005B0510"/>
    <w:rsid w:val="005D51BA"/>
    <w:rsid w:val="0060790C"/>
    <w:rsid w:val="006303E4"/>
    <w:rsid w:val="006339FD"/>
    <w:rsid w:val="00641B62"/>
    <w:rsid w:val="006508FA"/>
    <w:rsid w:val="006709C5"/>
    <w:rsid w:val="0067401D"/>
    <w:rsid w:val="00691EAA"/>
    <w:rsid w:val="00692DF1"/>
    <w:rsid w:val="00695FE9"/>
    <w:rsid w:val="006A165A"/>
    <w:rsid w:val="006A1F8F"/>
    <w:rsid w:val="006A713A"/>
    <w:rsid w:val="006A7AE6"/>
    <w:rsid w:val="006B248F"/>
    <w:rsid w:val="006B38A3"/>
    <w:rsid w:val="006C03E0"/>
    <w:rsid w:val="006C299A"/>
    <w:rsid w:val="006D0062"/>
    <w:rsid w:val="006E10C1"/>
    <w:rsid w:val="006E593F"/>
    <w:rsid w:val="006F7FCB"/>
    <w:rsid w:val="0071490F"/>
    <w:rsid w:val="00715C63"/>
    <w:rsid w:val="00715C7F"/>
    <w:rsid w:val="00724ABE"/>
    <w:rsid w:val="0073306D"/>
    <w:rsid w:val="00744560"/>
    <w:rsid w:val="00750AAC"/>
    <w:rsid w:val="00754454"/>
    <w:rsid w:val="0076395F"/>
    <w:rsid w:val="00773295"/>
    <w:rsid w:val="00775C52"/>
    <w:rsid w:val="00783243"/>
    <w:rsid w:val="00790421"/>
    <w:rsid w:val="00797CDF"/>
    <w:rsid w:val="007C40B7"/>
    <w:rsid w:val="007C418D"/>
    <w:rsid w:val="007C4F84"/>
    <w:rsid w:val="007D16EB"/>
    <w:rsid w:val="007D7A3E"/>
    <w:rsid w:val="007E3411"/>
    <w:rsid w:val="007E6CA4"/>
    <w:rsid w:val="007F76F8"/>
    <w:rsid w:val="008121AF"/>
    <w:rsid w:val="00815240"/>
    <w:rsid w:val="00821F81"/>
    <w:rsid w:val="00842874"/>
    <w:rsid w:val="008537E8"/>
    <w:rsid w:val="00863851"/>
    <w:rsid w:val="008643DB"/>
    <w:rsid w:val="00871D37"/>
    <w:rsid w:val="0088054D"/>
    <w:rsid w:val="0088309E"/>
    <w:rsid w:val="00884D0A"/>
    <w:rsid w:val="0088740A"/>
    <w:rsid w:val="00897A28"/>
    <w:rsid w:val="008E083C"/>
    <w:rsid w:val="008E7F11"/>
    <w:rsid w:val="009078BF"/>
    <w:rsid w:val="0091188E"/>
    <w:rsid w:val="009118E2"/>
    <w:rsid w:val="00922CC5"/>
    <w:rsid w:val="009257CF"/>
    <w:rsid w:val="00934F60"/>
    <w:rsid w:val="00950E0A"/>
    <w:rsid w:val="0095461F"/>
    <w:rsid w:val="00961C78"/>
    <w:rsid w:val="009653FE"/>
    <w:rsid w:val="00966089"/>
    <w:rsid w:val="00966BF9"/>
    <w:rsid w:val="00972FD7"/>
    <w:rsid w:val="00973A63"/>
    <w:rsid w:val="0098555E"/>
    <w:rsid w:val="00996FF9"/>
    <w:rsid w:val="009A12DE"/>
    <w:rsid w:val="009A4B87"/>
    <w:rsid w:val="009A7391"/>
    <w:rsid w:val="009B3B9D"/>
    <w:rsid w:val="009D04BB"/>
    <w:rsid w:val="009D0C73"/>
    <w:rsid w:val="009D1689"/>
    <w:rsid w:val="009D503E"/>
    <w:rsid w:val="009E519C"/>
    <w:rsid w:val="009F0EC4"/>
    <w:rsid w:val="009F51F5"/>
    <w:rsid w:val="00A06FCD"/>
    <w:rsid w:val="00A14E00"/>
    <w:rsid w:val="00A157DA"/>
    <w:rsid w:val="00A24388"/>
    <w:rsid w:val="00A25377"/>
    <w:rsid w:val="00A35F90"/>
    <w:rsid w:val="00A37884"/>
    <w:rsid w:val="00A720CD"/>
    <w:rsid w:val="00A77781"/>
    <w:rsid w:val="00A87ABD"/>
    <w:rsid w:val="00A91B31"/>
    <w:rsid w:val="00A95C92"/>
    <w:rsid w:val="00A96D79"/>
    <w:rsid w:val="00AA02E4"/>
    <w:rsid w:val="00AB2B5E"/>
    <w:rsid w:val="00AB30D1"/>
    <w:rsid w:val="00AB73C8"/>
    <w:rsid w:val="00AC7FE1"/>
    <w:rsid w:val="00AD6172"/>
    <w:rsid w:val="00AF6FBE"/>
    <w:rsid w:val="00B23C87"/>
    <w:rsid w:val="00B258F6"/>
    <w:rsid w:val="00B355B2"/>
    <w:rsid w:val="00B40CB7"/>
    <w:rsid w:val="00B435F2"/>
    <w:rsid w:val="00B71543"/>
    <w:rsid w:val="00B80838"/>
    <w:rsid w:val="00B93D16"/>
    <w:rsid w:val="00B941C2"/>
    <w:rsid w:val="00B95157"/>
    <w:rsid w:val="00BA4189"/>
    <w:rsid w:val="00BA4E4F"/>
    <w:rsid w:val="00BC5036"/>
    <w:rsid w:val="00BF0DC9"/>
    <w:rsid w:val="00BF4ED1"/>
    <w:rsid w:val="00C12A62"/>
    <w:rsid w:val="00C248C5"/>
    <w:rsid w:val="00C41FC5"/>
    <w:rsid w:val="00C44315"/>
    <w:rsid w:val="00C44B44"/>
    <w:rsid w:val="00C50911"/>
    <w:rsid w:val="00C524F9"/>
    <w:rsid w:val="00C71B64"/>
    <w:rsid w:val="00C71D20"/>
    <w:rsid w:val="00C80859"/>
    <w:rsid w:val="00C902A6"/>
    <w:rsid w:val="00C911F5"/>
    <w:rsid w:val="00CA305B"/>
    <w:rsid w:val="00CA7B1E"/>
    <w:rsid w:val="00CB714B"/>
    <w:rsid w:val="00CB74F1"/>
    <w:rsid w:val="00CE089E"/>
    <w:rsid w:val="00D04E30"/>
    <w:rsid w:val="00D11729"/>
    <w:rsid w:val="00D2107B"/>
    <w:rsid w:val="00D21090"/>
    <w:rsid w:val="00D37612"/>
    <w:rsid w:val="00D57FD2"/>
    <w:rsid w:val="00D71866"/>
    <w:rsid w:val="00D82D8F"/>
    <w:rsid w:val="00D95F5D"/>
    <w:rsid w:val="00DA2909"/>
    <w:rsid w:val="00DA6F89"/>
    <w:rsid w:val="00DB4F0D"/>
    <w:rsid w:val="00DB6995"/>
    <w:rsid w:val="00DC18EA"/>
    <w:rsid w:val="00DD0B96"/>
    <w:rsid w:val="00DE08A1"/>
    <w:rsid w:val="00DE6464"/>
    <w:rsid w:val="00DF4C0E"/>
    <w:rsid w:val="00E01028"/>
    <w:rsid w:val="00E037C4"/>
    <w:rsid w:val="00E047D6"/>
    <w:rsid w:val="00E11521"/>
    <w:rsid w:val="00E14801"/>
    <w:rsid w:val="00E16B85"/>
    <w:rsid w:val="00E21128"/>
    <w:rsid w:val="00E245B3"/>
    <w:rsid w:val="00E2769F"/>
    <w:rsid w:val="00E47F4B"/>
    <w:rsid w:val="00E56D66"/>
    <w:rsid w:val="00E6119E"/>
    <w:rsid w:val="00E7648A"/>
    <w:rsid w:val="00E774D5"/>
    <w:rsid w:val="00E774DC"/>
    <w:rsid w:val="00E809F3"/>
    <w:rsid w:val="00EB137C"/>
    <w:rsid w:val="00EB15C6"/>
    <w:rsid w:val="00EB416E"/>
    <w:rsid w:val="00EC42BA"/>
    <w:rsid w:val="00ED41BB"/>
    <w:rsid w:val="00ED77A0"/>
    <w:rsid w:val="00EE4FEA"/>
    <w:rsid w:val="00EE7D42"/>
    <w:rsid w:val="00EF0940"/>
    <w:rsid w:val="00F358F6"/>
    <w:rsid w:val="00F375D5"/>
    <w:rsid w:val="00F40A83"/>
    <w:rsid w:val="00F41437"/>
    <w:rsid w:val="00F43AD8"/>
    <w:rsid w:val="00F6005F"/>
    <w:rsid w:val="00F617AC"/>
    <w:rsid w:val="00F81C85"/>
    <w:rsid w:val="00F92794"/>
    <w:rsid w:val="00F97F9F"/>
    <w:rsid w:val="00FA39F0"/>
    <w:rsid w:val="00FA5347"/>
    <w:rsid w:val="00FB3C91"/>
    <w:rsid w:val="00FB44E6"/>
    <w:rsid w:val="00FC4103"/>
    <w:rsid w:val="00FF0C36"/>
    <w:rsid w:val="00FF3529"/>
    <w:rsid w:val="00FF38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41050460"/>
  <w15:chartTrackingRefBased/>
  <w15:docId w15:val="{698DFA58-5A92-45F4-94F5-CF3ACF2AD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ind w:firstLine="806"/>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4ED1"/>
    <w:pPr>
      <w:spacing w:after="0" w:line="240" w:lineRule="auto"/>
      <w:ind w:firstLine="0"/>
      <w:contextualSpacing/>
      <w:jc w:val="left"/>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0D52"/>
    <w:pPr>
      <w:spacing w:after="160" w:line="259" w:lineRule="auto"/>
      <w:ind w:left="720" w:firstLine="806"/>
      <w:jc w:val="both"/>
    </w:pPr>
    <w:rPr>
      <w:rFonts w:asciiTheme="minorHAnsi" w:eastAsiaTheme="minorHAnsi" w:hAnsiTheme="minorHAnsi" w:cstheme="minorBidi"/>
      <w:sz w:val="22"/>
    </w:rPr>
  </w:style>
  <w:style w:type="paragraph" w:styleId="Header">
    <w:name w:val="header"/>
    <w:basedOn w:val="Normal"/>
    <w:link w:val="HeaderChar"/>
    <w:uiPriority w:val="99"/>
    <w:unhideWhenUsed/>
    <w:rsid w:val="00EE7D42"/>
    <w:pPr>
      <w:tabs>
        <w:tab w:val="center" w:pos="4680"/>
        <w:tab w:val="right" w:pos="9360"/>
      </w:tabs>
    </w:pPr>
  </w:style>
  <w:style w:type="character" w:customStyle="1" w:styleId="HeaderChar">
    <w:name w:val="Header Char"/>
    <w:basedOn w:val="DefaultParagraphFont"/>
    <w:link w:val="Header"/>
    <w:uiPriority w:val="99"/>
    <w:rsid w:val="00EE7D42"/>
    <w:rPr>
      <w:rFonts w:ascii="Times New Roman" w:eastAsia="Calibri" w:hAnsi="Times New Roman" w:cs="Times New Roman"/>
      <w:sz w:val="24"/>
    </w:rPr>
  </w:style>
  <w:style w:type="paragraph" w:styleId="Footer">
    <w:name w:val="footer"/>
    <w:basedOn w:val="Normal"/>
    <w:link w:val="FooterChar"/>
    <w:uiPriority w:val="99"/>
    <w:unhideWhenUsed/>
    <w:rsid w:val="00EE7D42"/>
    <w:pPr>
      <w:tabs>
        <w:tab w:val="center" w:pos="4680"/>
        <w:tab w:val="right" w:pos="9360"/>
      </w:tabs>
    </w:pPr>
  </w:style>
  <w:style w:type="character" w:customStyle="1" w:styleId="FooterChar">
    <w:name w:val="Footer Char"/>
    <w:basedOn w:val="DefaultParagraphFont"/>
    <w:link w:val="Footer"/>
    <w:uiPriority w:val="99"/>
    <w:rsid w:val="00EE7D42"/>
    <w:rPr>
      <w:rFonts w:ascii="Times New Roman" w:eastAsia="Calibri" w:hAnsi="Times New Roman" w:cs="Times New Roman"/>
      <w:sz w:val="24"/>
    </w:rPr>
  </w:style>
  <w:style w:type="paragraph" w:styleId="NormalWeb">
    <w:name w:val="Normal (Web)"/>
    <w:basedOn w:val="Normal"/>
    <w:uiPriority w:val="99"/>
    <w:semiHidden/>
    <w:unhideWhenUsed/>
    <w:rsid w:val="00035F8E"/>
    <w:pPr>
      <w:spacing w:before="100" w:beforeAutospacing="1" w:after="100" w:afterAutospacing="1"/>
      <w:contextualSpacing w:val="0"/>
    </w:pPr>
    <w:rPr>
      <w:rFonts w:eastAsia="Times New Roman"/>
      <w:szCs w:val="24"/>
    </w:rPr>
  </w:style>
  <w:style w:type="character" w:styleId="Hyperlink">
    <w:name w:val="Hyperlink"/>
    <w:basedOn w:val="DefaultParagraphFont"/>
    <w:uiPriority w:val="99"/>
    <w:unhideWhenUsed/>
    <w:rsid w:val="00416176"/>
    <w:rPr>
      <w:color w:val="0563C1" w:themeColor="hyperlink"/>
      <w:u w:val="single"/>
    </w:rPr>
  </w:style>
  <w:style w:type="character" w:customStyle="1" w:styleId="UnresolvedMention1">
    <w:name w:val="Unresolved Mention1"/>
    <w:basedOn w:val="DefaultParagraphFont"/>
    <w:uiPriority w:val="99"/>
    <w:semiHidden/>
    <w:unhideWhenUsed/>
    <w:rsid w:val="00416176"/>
    <w:rPr>
      <w:color w:val="808080"/>
      <w:shd w:val="clear" w:color="auto" w:fill="E6E6E6"/>
    </w:rPr>
  </w:style>
  <w:style w:type="paragraph" w:customStyle="1" w:styleId="Normal1">
    <w:name w:val="Normal1"/>
    <w:rsid w:val="00D2107B"/>
    <w:pPr>
      <w:spacing w:after="0" w:line="276" w:lineRule="auto"/>
      <w:ind w:firstLine="0"/>
      <w:jc w:val="left"/>
    </w:pPr>
    <w:rPr>
      <w:rFonts w:ascii="Arial" w:eastAsia="Arial" w:hAnsi="Arial" w:cs="Arial"/>
    </w:rPr>
  </w:style>
  <w:style w:type="paragraph" w:styleId="BalloonText">
    <w:name w:val="Balloon Text"/>
    <w:basedOn w:val="Normal"/>
    <w:link w:val="BalloonTextChar"/>
    <w:uiPriority w:val="99"/>
    <w:semiHidden/>
    <w:unhideWhenUsed/>
    <w:rsid w:val="00387E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7ED6"/>
    <w:rPr>
      <w:rFonts w:ascii="Segoe UI" w:eastAsia="Calibri" w:hAnsi="Segoe UI" w:cs="Segoe UI"/>
      <w:sz w:val="18"/>
      <w:szCs w:val="18"/>
    </w:rPr>
  </w:style>
  <w:style w:type="character" w:styleId="FollowedHyperlink">
    <w:name w:val="FollowedHyperlink"/>
    <w:basedOn w:val="DefaultParagraphFont"/>
    <w:uiPriority w:val="99"/>
    <w:semiHidden/>
    <w:unhideWhenUsed/>
    <w:rsid w:val="00373A8E"/>
    <w:rPr>
      <w:color w:val="954F72" w:themeColor="followedHyperlink"/>
      <w:u w:val="single"/>
    </w:rPr>
  </w:style>
  <w:style w:type="character" w:styleId="CommentReference">
    <w:name w:val="annotation reference"/>
    <w:basedOn w:val="DefaultParagraphFont"/>
    <w:uiPriority w:val="99"/>
    <w:semiHidden/>
    <w:unhideWhenUsed/>
    <w:rsid w:val="00DB4F0D"/>
    <w:rPr>
      <w:sz w:val="16"/>
      <w:szCs w:val="16"/>
    </w:rPr>
  </w:style>
  <w:style w:type="paragraph" w:styleId="CommentText">
    <w:name w:val="annotation text"/>
    <w:basedOn w:val="Normal"/>
    <w:link w:val="CommentTextChar"/>
    <w:uiPriority w:val="99"/>
    <w:semiHidden/>
    <w:unhideWhenUsed/>
    <w:rsid w:val="00DB4F0D"/>
    <w:rPr>
      <w:sz w:val="20"/>
      <w:szCs w:val="20"/>
    </w:rPr>
  </w:style>
  <w:style w:type="character" w:customStyle="1" w:styleId="CommentTextChar">
    <w:name w:val="Comment Text Char"/>
    <w:basedOn w:val="DefaultParagraphFont"/>
    <w:link w:val="CommentText"/>
    <w:uiPriority w:val="99"/>
    <w:semiHidden/>
    <w:rsid w:val="00DB4F0D"/>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B35BE"/>
    <w:rPr>
      <w:b/>
      <w:bCs/>
    </w:rPr>
  </w:style>
  <w:style w:type="character" w:customStyle="1" w:styleId="CommentSubjectChar">
    <w:name w:val="Comment Subject Char"/>
    <w:basedOn w:val="CommentTextChar"/>
    <w:link w:val="CommentSubject"/>
    <w:uiPriority w:val="99"/>
    <w:semiHidden/>
    <w:rsid w:val="002B35BE"/>
    <w:rPr>
      <w:rFonts w:ascii="Times New Roman" w:eastAsia="Calibri"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8758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AC90D9-0B34-447E-A53E-875F83CA8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915</TotalTime>
  <Pages>15</Pages>
  <Words>3236</Words>
  <Characters>18447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Meltzer, Mark</dc:creator>
  <cp:keywords/>
  <dc:description/>
  <cp:lastModifiedBy>Meltzer, Mark</cp:lastModifiedBy>
  <cp:revision>34</cp:revision>
  <cp:lastPrinted>2019-06-13T21:41:00Z</cp:lastPrinted>
  <dcterms:created xsi:type="dcterms:W3CDTF">2019-05-16T17:16:00Z</dcterms:created>
  <dcterms:modified xsi:type="dcterms:W3CDTF">2019-06-13T23:01:00Z</dcterms:modified>
</cp:coreProperties>
</file>