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F404FA" w:rsidTr="006F63FD">
        <w:trPr>
          <w:cantSplit/>
          <w:trHeight w:val="1987"/>
        </w:trPr>
        <w:tc>
          <w:tcPr>
            <w:tcW w:w="4836" w:type="dxa"/>
          </w:tcPr>
          <w:p w:rsidR="00000C35" w:rsidRPr="00F404FA" w:rsidRDefault="00F850BE" w:rsidP="00000C35">
            <w:pPr>
              <w:pStyle w:val="FirmInformation"/>
              <w:spacing w:line="240" w:lineRule="auto"/>
              <w:rPr>
                <w:sz w:val="28"/>
                <w:szCs w:val="28"/>
              </w:rPr>
            </w:pPr>
            <w:bookmarkStart w:id="0" w:name="_zzmpFIXED_CounselTable"/>
            <w:r w:rsidRPr="00F404FA">
              <w:rPr>
                <w:sz w:val="28"/>
                <w:szCs w:val="28"/>
              </w:rPr>
              <w:t>Lisa M. Panahi</w:t>
            </w:r>
            <w:r w:rsidR="00732169" w:rsidRPr="00F404FA">
              <w:rPr>
                <w:sz w:val="28"/>
                <w:szCs w:val="28"/>
              </w:rPr>
              <w:t xml:space="preserve">, </w:t>
            </w:r>
            <w:r w:rsidRPr="00F404FA">
              <w:rPr>
                <w:sz w:val="28"/>
                <w:szCs w:val="28"/>
              </w:rPr>
              <w:t>Bar No. 023421</w:t>
            </w:r>
            <w:r w:rsidR="00732169" w:rsidRPr="00F404FA">
              <w:rPr>
                <w:sz w:val="28"/>
                <w:szCs w:val="28"/>
              </w:rPr>
              <w:br/>
            </w:r>
            <w:r w:rsidR="006F63FD" w:rsidRPr="00F404FA">
              <w:rPr>
                <w:sz w:val="28"/>
                <w:szCs w:val="28"/>
              </w:rPr>
              <w:t>General Counsel</w:t>
            </w:r>
          </w:p>
          <w:p w:rsidR="00494BDF" w:rsidRPr="00F404FA" w:rsidRDefault="00494BDF" w:rsidP="00000C35">
            <w:pPr>
              <w:pStyle w:val="FirmInformation"/>
              <w:spacing w:line="240" w:lineRule="auto"/>
              <w:rPr>
                <w:sz w:val="28"/>
                <w:szCs w:val="28"/>
              </w:rPr>
            </w:pPr>
            <w:r w:rsidRPr="00F404FA">
              <w:rPr>
                <w:sz w:val="28"/>
                <w:szCs w:val="28"/>
              </w:rPr>
              <w:t>State Bar of Arizona</w:t>
            </w:r>
          </w:p>
          <w:p w:rsidR="00357F4D" w:rsidRPr="00F404FA" w:rsidRDefault="00357F4D" w:rsidP="00000C35">
            <w:pPr>
              <w:pStyle w:val="FirmInformation"/>
              <w:spacing w:line="240" w:lineRule="auto"/>
              <w:rPr>
                <w:sz w:val="28"/>
                <w:szCs w:val="28"/>
              </w:rPr>
            </w:pPr>
            <w:r w:rsidRPr="00F404FA">
              <w:rPr>
                <w:sz w:val="28"/>
                <w:szCs w:val="28"/>
              </w:rPr>
              <w:t>4201 N. 24th Street, Suite 100</w:t>
            </w:r>
          </w:p>
          <w:p w:rsidR="00357F4D" w:rsidRPr="00F404FA" w:rsidRDefault="00357F4D" w:rsidP="00000C35">
            <w:pPr>
              <w:pStyle w:val="FirmInformation"/>
              <w:spacing w:line="240" w:lineRule="auto"/>
              <w:rPr>
                <w:sz w:val="28"/>
                <w:szCs w:val="28"/>
              </w:rPr>
            </w:pPr>
            <w:r w:rsidRPr="00F404FA">
              <w:rPr>
                <w:sz w:val="28"/>
                <w:szCs w:val="28"/>
              </w:rPr>
              <w:t>Phoenix, AZ  85016-6288</w:t>
            </w:r>
          </w:p>
          <w:p w:rsidR="006F63FD" w:rsidRPr="00F404FA" w:rsidRDefault="00352347" w:rsidP="00735659">
            <w:pPr>
              <w:pStyle w:val="FirmInformation"/>
              <w:spacing w:line="240" w:lineRule="auto"/>
              <w:rPr>
                <w:sz w:val="28"/>
                <w:szCs w:val="28"/>
              </w:rPr>
            </w:pPr>
            <w:r w:rsidRPr="00F404FA">
              <w:rPr>
                <w:sz w:val="28"/>
                <w:szCs w:val="28"/>
              </w:rPr>
              <w:t>(602) 340-7236</w:t>
            </w:r>
          </w:p>
        </w:tc>
        <w:tc>
          <w:tcPr>
            <w:tcW w:w="4200" w:type="dxa"/>
          </w:tcPr>
          <w:p w:rsidR="00357F4D" w:rsidRPr="00F404FA" w:rsidRDefault="00357F4D" w:rsidP="00000C35">
            <w:pPr>
              <w:ind w:left="113" w:right="113"/>
              <w:rPr>
                <w:sz w:val="28"/>
                <w:szCs w:val="28"/>
              </w:rPr>
            </w:pPr>
          </w:p>
        </w:tc>
      </w:tr>
      <w:bookmarkEnd w:id="0"/>
    </w:tbl>
    <w:p w:rsidR="00357F4D" w:rsidRPr="00F404FA" w:rsidRDefault="00357F4D" w:rsidP="00735659">
      <w:pPr>
        <w:pStyle w:val="Court"/>
        <w:spacing w:line="508" w:lineRule="exact"/>
        <w:jc w:val="left"/>
        <w:rPr>
          <w:b/>
          <w:sz w:val="28"/>
          <w:szCs w:val="28"/>
        </w:rPr>
      </w:pPr>
    </w:p>
    <w:p w:rsidR="000C48A9" w:rsidRPr="00F404FA" w:rsidRDefault="000F7A7F" w:rsidP="00000C35">
      <w:pPr>
        <w:pStyle w:val="Court"/>
        <w:spacing w:line="240" w:lineRule="auto"/>
        <w:rPr>
          <w:b/>
          <w:sz w:val="28"/>
          <w:szCs w:val="28"/>
        </w:rPr>
      </w:pPr>
      <w:r w:rsidRPr="00F404FA">
        <w:rPr>
          <w:b/>
          <w:sz w:val="28"/>
          <w:szCs w:val="28"/>
        </w:rPr>
        <w:t>IN THE SUPREME COURT</w:t>
      </w:r>
      <w:r w:rsidRPr="00F404FA">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F404FA" w:rsidTr="004331B2">
        <w:tc>
          <w:tcPr>
            <w:tcW w:w="4680" w:type="dxa"/>
            <w:tcBorders>
              <w:top w:val="nil"/>
              <w:bottom w:val="single" w:sz="4" w:space="0" w:color="auto"/>
              <w:right w:val="single" w:sz="4" w:space="0" w:color="auto"/>
            </w:tcBorders>
            <w:shd w:val="clear" w:color="auto" w:fill="auto"/>
          </w:tcPr>
          <w:p w:rsidR="00357F4D" w:rsidRPr="00F404FA" w:rsidRDefault="00357F4D" w:rsidP="00E321C5">
            <w:pPr>
              <w:pStyle w:val="Caption"/>
              <w:spacing w:before="240" w:line="260" w:lineRule="exact"/>
              <w:rPr>
                <w:sz w:val="28"/>
                <w:szCs w:val="28"/>
              </w:rPr>
            </w:pPr>
            <w:bookmarkStart w:id="1" w:name="_zzmpFIXED_CaptionTable"/>
            <w:r w:rsidRPr="00F404FA">
              <w:rPr>
                <w:sz w:val="28"/>
                <w:szCs w:val="28"/>
              </w:rPr>
              <w:t>In the Matter of:</w:t>
            </w:r>
          </w:p>
          <w:p w:rsidR="00357F4D" w:rsidRPr="00F404FA" w:rsidRDefault="00E67511" w:rsidP="00F404FA">
            <w:pPr>
              <w:pStyle w:val="Caption"/>
              <w:spacing w:before="240" w:line="260" w:lineRule="exact"/>
              <w:rPr>
                <w:b/>
                <w:sz w:val="28"/>
                <w:szCs w:val="28"/>
              </w:rPr>
            </w:pPr>
            <w:r w:rsidRPr="00F404FA">
              <w:rPr>
                <w:b/>
                <w:sz w:val="28"/>
                <w:szCs w:val="28"/>
              </w:rPr>
              <w:t xml:space="preserve">PETITION TO </w:t>
            </w:r>
            <w:r w:rsidR="00F404FA">
              <w:rPr>
                <w:b/>
                <w:sz w:val="28"/>
                <w:szCs w:val="28"/>
              </w:rPr>
              <w:t>AMEND RULE 5(d) AND RULE 10(a), ARIZONA RULES OF PROCEDURE FOR EVICTION ACTIONS</w:t>
            </w:r>
            <w:r w:rsidR="00F404FA">
              <w:rPr>
                <w:b/>
                <w:sz w:val="28"/>
                <w:szCs w:val="28"/>
              </w:rPr>
              <w:br/>
            </w:r>
          </w:p>
        </w:tc>
        <w:tc>
          <w:tcPr>
            <w:tcW w:w="4524" w:type="dxa"/>
            <w:tcBorders>
              <w:top w:val="nil"/>
              <w:left w:val="single" w:sz="4" w:space="0" w:color="auto"/>
            </w:tcBorders>
            <w:shd w:val="clear" w:color="auto" w:fill="auto"/>
          </w:tcPr>
          <w:p w:rsidR="00357F4D" w:rsidRPr="00F404FA" w:rsidRDefault="00357F4D" w:rsidP="00E321C5">
            <w:pPr>
              <w:pStyle w:val="Caption"/>
              <w:tabs>
                <w:tab w:val="left" w:pos="1238"/>
              </w:tabs>
              <w:spacing w:before="240" w:after="240"/>
              <w:ind w:left="259" w:right="115"/>
              <w:rPr>
                <w:sz w:val="28"/>
                <w:szCs w:val="28"/>
              </w:rPr>
            </w:pPr>
            <w:r w:rsidRPr="00F404FA">
              <w:rPr>
                <w:sz w:val="28"/>
                <w:szCs w:val="28"/>
              </w:rPr>
              <w:t>Supreme Court No. R-</w:t>
            </w:r>
            <w:r w:rsidR="00692391" w:rsidRPr="00F404FA">
              <w:rPr>
                <w:sz w:val="28"/>
                <w:szCs w:val="28"/>
              </w:rPr>
              <w:t>1</w:t>
            </w:r>
            <w:r w:rsidR="00D60D9B" w:rsidRPr="00F404FA">
              <w:rPr>
                <w:sz w:val="28"/>
                <w:szCs w:val="28"/>
              </w:rPr>
              <w:t>9</w:t>
            </w:r>
            <w:r w:rsidR="00F850BE" w:rsidRPr="00F404FA">
              <w:rPr>
                <w:sz w:val="28"/>
                <w:szCs w:val="28"/>
              </w:rPr>
              <w:t>-</w:t>
            </w:r>
            <w:r w:rsidR="00F404FA">
              <w:rPr>
                <w:sz w:val="28"/>
                <w:szCs w:val="28"/>
              </w:rPr>
              <w:t>0018</w:t>
            </w:r>
          </w:p>
          <w:p w:rsidR="00F404FA" w:rsidRPr="00F404FA" w:rsidRDefault="00F404FA" w:rsidP="00F404FA">
            <w:pPr>
              <w:pStyle w:val="Caption"/>
              <w:tabs>
                <w:tab w:val="left" w:pos="1238"/>
              </w:tabs>
              <w:spacing w:line="260" w:lineRule="exact"/>
              <w:ind w:right="115"/>
              <w:jc w:val="center"/>
              <w:rPr>
                <w:b/>
                <w:sz w:val="28"/>
                <w:szCs w:val="28"/>
              </w:rPr>
            </w:pPr>
            <w:r w:rsidRPr="00F404FA">
              <w:rPr>
                <w:b/>
                <w:sz w:val="28"/>
                <w:szCs w:val="28"/>
              </w:rPr>
              <w:t>REPLY OF THE</w:t>
            </w:r>
          </w:p>
          <w:p w:rsidR="00357F4D" w:rsidRPr="00F404FA" w:rsidRDefault="00F404FA" w:rsidP="00F404FA">
            <w:pPr>
              <w:pStyle w:val="Caption"/>
              <w:tabs>
                <w:tab w:val="left" w:pos="1238"/>
              </w:tabs>
              <w:spacing w:line="260" w:lineRule="exact"/>
              <w:ind w:right="115"/>
              <w:jc w:val="center"/>
              <w:rPr>
                <w:b/>
                <w:sz w:val="28"/>
                <w:szCs w:val="28"/>
              </w:rPr>
            </w:pPr>
            <w:r w:rsidRPr="00F404FA">
              <w:rPr>
                <w:b/>
                <w:sz w:val="28"/>
                <w:szCs w:val="28"/>
              </w:rPr>
              <w:t>STATE BAR OF ARIZONA</w:t>
            </w:r>
          </w:p>
          <w:p w:rsidR="00357F4D" w:rsidRPr="00F404FA" w:rsidRDefault="00357F4D" w:rsidP="00E321C5">
            <w:pPr>
              <w:pStyle w:val="DocumentTitle"/>
              <w:rPr>
                <w:sz w:val="28"/>
                <w:szCs w:val="28"/>
              </w:rPr>
            </w:pPr>
          </w:p>
          <w:p w:rsidR="00357F4D" w:rsidRPr="00F404FA" w:rsidRDefault="00357F4D" w:rsidP="00E321C5">
            <w:pPr>
              <w:pStyle w:val="Caption"/>
              <w:ind w:left="1512" w:right="115" w:hanging="1253"/>
              <w:rPr>
                <w:sz w:val="28"/>
                <w:szCs w:val="28"/>
              </w:rPr>
            </w:pPr>
          </w:p>
        </w:tc>
      </w:tr>
    </w:tbl>
    <w:bookmarkEnd w:id="1"/>
    <w:p w:rsidR="00F404FA" w:rsidRPr="00F404FA" w:rsidRDefault="00F404FA" w:rsidP="00DF6F34">
      <w:pPr>
        <w:pStyle w:val="BodyText"/>
        <w:widowControl w:val="0"/>
        <w:spacing w:before="340" w:after="0" w:line="480" w:lineRule="auto"/>
        <w:ind w:firstLine="720"/>
        <w:jc w:val="both"/>
        <w:rPr>
          <w:sz w:val="28"/>
          <w:szCs w:val="28"/>
        </w:rPr>
      </w:pPr>
      <w:r w:rsidRPr="00F404FA">
        <w:rPr>
          <w:sz w:val="28"/>
          <w:szCs w:val="28"/>
        </w:rPr>
        <w:t>Pursuant to Rule 28 of the</w:t>
      </w:r>
      <w:r>
        <w:rPr>
          <w:sz w:val="28"/>
          <w:szCs w:val="28"/>
        </w:rPr>
        <w:t xml:space="preserve"> Arizona</w:t>
      </w:r>
      <w:r w:rsidRPr="00F404FA">
        <w:rPr>
          <w:sz w:val="28"/>
          <w:szCs w:val="28"/>
        </w:rPr>
        <w:t xml:space="preserve"> Rules of the Supreme Court, the State Bar</w:t>
      </w:r>
      <w:r>
        <w:rPr>
          <w:sz w:val="28"/>
          <w:szCs w:val="28"/>
        </w:rPr>
        <w:t xml:space="preserve"> of Arizona (“State Bar”)</w:t>
      </w:r>
      <w:r w:rsidRPr="00F404FA">
        <w:rPr>
          <w:sz w:val="28"/>
          <w:szCs w:val="28"/>
        </w:rPr>
        <w:t xml:space="preserve"> submits this Reply in response to the comments regarding the State Bar’s Petition to Amend the Rules of Procedure for Eviction Actions.  The Petition requests that Rules 5(d) and 10(a) be amended to require landlords serve a copy of the lease and other relevant documentation, along with the complaint.  </w:t>
      </w:r>
    </w:p>
    <w:p w:rsidR="00F404FA" w:rsidRPr="00F404FA" w:rsidRDefault="00F404FA" w:rsidP="00F404FA">
      <w:pPr>
        <w:pStyle w:val="BodyText"/>
        <w:spacing w:line="480" w:lineRule="auto"/>
        <w:ind w:firstLine="720"/>
        <w:jc w:val="both"/>
        <w:rPr>
          <w:sz w:val="28"/>
          <w:szCs w:val="28"/>
        </w:rPr>
      </w:pPr>
      <w:r w:rsidRPr="00F404FA">
        <w:rPr>
          <w:sz w:val="28"/>
          <w:szCs w:val="28"/>
        </w:rPr>
        <w:t xml:space="preserve">Currently, only a notice to vacate is required as an attachment to the complaint.  The lease and other relevant rental documents on which the eviction is based, are not required attachments to the complaint.  While the disclosure process provides for access to these documents, community legal services offices report that tenants do not know they can make such request.  </w:t>
      </w:r>
    </w:p>
    <w:p w:rsidR="00F404FA" w:rsidRDefault="00F404FA" w:rsidP="00DF6F34">
      <w:pPr>
        <w:pStyle w:val="BodyText"/>
        <w:numPr>
          <w:ilvl w:val="0"/>
          <w:numId w:val="15"/>
        </w:numPr>
        <w:spacing w:after="0" w:line="480" w:lineRule="auto"/>
        <w:ind w:left="720"/>
        <w:jc w:val="both"/>
        <w:rPr>
          <w:b/>
          <w:sz w:val="28"/>
          <w:szCs w:val="28"/>
        </w:rPr>
      </w:pPr>
      <w:r w:rsidRPr="00F404FA">
        <w:rPr>
          <w:b/>
          <w:sz w:val="28"/>
          <w:szCs w:val="28"/>
        </w:rPr>
        <w:lastRenderedPageBreak/>
        <w:t xml:space="preserve">Constitutional Due Process Protections Apply to Eviction Cases </w:t>
      </w:r>
    </w:p>
    <w:p w:rsidR="00F404FA" w:rsidRPr="00F404FA" w:rsidRDefault="00F404FA" w:rsidP="003E431A">
      <w:pPr>
        <w:pStyle w:val="BodyText"/>
        <w:spacing w:line="480" w:lineRule="auto"/>
        <w:ind w:firstLine="720"/>
        <w:jc w:val="both"/>
        <w:rPr>
          <w:b/>
          <w:sz w:val="28"/>
          <w:szCs w:val="28"/>
        </w:rPr>
      </w:pPr>
      <w:r w:rsidRPr="00F404FA">
        <w:rPr>
          <w:sz w:val="28"/>
          <w:szCs w:val="28"/>
        </w:rPr>
        <w:t>The Petition notes the importance of stable housing and the due process rights of a tenant.  The comments address countervailing privacy concerns of equal importance to a tenant, along with an increased burden to the landlord and the courts.  As noted in the Petition, legal services attorneys have identified the issue of unsophisticated tenants lacking relevant documents to respond to an eviction action; or understanding that they may request these documents.  The Petition seeks to facilitate the access to proper legal analysis in a timely manner, as time is of the essence in eviction cases</w:t>
      </w:r>
      <w:r w:rsidR="00A93FC0">
        <w:rPr>
          <w:sz w:val="28"/>
          <w:szCs w:val="28"/>
        </w:rPr>
        <w:t>, so that tenants afforded due process in eviction actions</w:t>
      </w:r>
      <w:r w:rsidRPr="00F404FA">
        <w:rPr>
          <w:sz w:val="28"/>
          <w:szCs w:val="28"/>
        </w:rPr>
        <w:t xml:space="preserve">. </w:t>
      </w:r>
    </w:p>
    <w:p w:rsidR="00F404FA" w:rsidRDefault="00F404FA" w:rsidP="00F404FA">
      <w:pPr>
        <w:pStyle w:val="BodyText"/>
        <w:widowControl w:val="0"/>
        <w:numPr>
          <w:ilvl w:val="0"/>
          <w:numId w:val="15"/>
        </w:numPr>
        <w:spacing w:after="0" w:line="480" w:lineRule="auto"/>
        <w:ind w:left="720"/>
        <w:jc w:val="both"/>
        <w:rPr>
          <w:b/>
          <w:sz w:val="28"/>
          <w:szCs w:val="28"/>
        </w:rPr>
      </w:pPr>
      <w:r w:rsidRPr="00F404FA">
        <w:rPr>
          <w:b/>
          <w:sz w:val="28"/>
          <w:szCs w:val="28"/>
        </w:rPr>
        <w:t xml:space="preserve">General Themes Reflected in Comments Filed in Response to Petition </w:t>
      </w:r>
    </w:p>
    <w:p w:rsidR="00F404FA" w:rsidRDefault="00F404FA" w:rsidP="00F404FA">
      <w:pPr>
        <w:pStyle w:val="BodyText"/>
        <w:widowControl w:val="0"/>
        <w:spacing w:after="0" w:line="480" w:lineRule="auto"/>
        <w:ind w:firstLine="720"/>
        <w:jc w:val="both"/>
        <w:rPr>
          <w:sz w:val="28"/>
          <w:szCs w:val="28"/>
        </w:rPr>
      </w:pPr>
      <w:r w:rsidRPr="00F404FA">
        <w:rPr>
          <w:sz w:val="28"/>
          <w:szCs w:val="28"/>
        </w:rPr>
        <w:t xml:space="preserve">The submitted comments present three general concerns. First, since leases contain confidential information, the mandatory inclusion of those details will potentially expose the private information of a tenant. Second, attaching copies of all documents (even the subset of only “relevant” documents) will have a cost and will be an administrative burden on landlords and the courts.  Third, the concern that the proposed rule is broader than necessary, and that there are better ways to amend the eviction rules. The concerns reflected in comments filed by others are addressed, generally, below. </w:t>
      </w:r>
    </w:p>
    <w:p w:rsidR="00A93FC0" w:rsidRPr="00F404FA" w:rsidRDefault="00A93FC0" w:rsidP="00F404FA">
      <w:pPr>
        <w:pStyle w:val="BodyText"/>
        <w:widowControl w:val="0"/>
        <w:spacing w:after="0" w:line="480" w:lineRule="auto"/>
        <w:ind w:firstLine="720"/>
        <w:jc w:val="both"/>
        <w:rPr>
          <w:b/>
          <w:sz w:val="28"/>
          <w:szCs w:val="28"/>
        </w:rPr>
      </w:pPr>
    </w:p>
    <w:p w:rsidR="00F404FA" w:rsidRPr="00F404FA" w:rsidRDefault="00F404FA" w:rsidP="00F404FA">
      <w:pPr>
        <w:pStyle w:val="BodyText"/>
        <w:widowControl w:val="0"/>
        <w:numPr>
          <w:ilvl w:val="0"/>
          <w:numId w:val="16"/>
        </w:numPr>
        <w:spacing w:after="0" w:line="480" w:lineRule="auto"/>
        <w:ind w:left="1440" w:hanging="720"/>
        <w:jc w:val="both"/>
        <w:rPr>
          <w:b/>
          <w:sz w:val="28"/>
          <w:szCs w:val="28"/>
        </w:rPr>
      </w:pPr>
      <w:r w:rsidRPr="00F404FA">
        <w:rPr>
          <w:b/>
          <w:sz w:val="28"/>
          <w:szCs w:val="28"/>
        </w:rPr>
        <w:lastRenderedPageBreak/>
        <w:t>Concerns Related to Confidential Information in Leases</w:t>
      </w:r>
    </w:p>
    <w:p w:rsidR="00F404FA" w:rsidRPr="00F404FA" w:rsidRDefault="00F404FA" w:rsidP="00F404FA">
      <w:pPr>
        <w:pStyle w:val="BodyText"/>
        <w:widowControl w:val="0"/>
        <w:spacing w:line="480" w:lineRule="auto"/>
        <w:ind w:firstLine="720"/>
        <w:jc w:val="both"/>
        <w:rPr>
          <w:sz w:val="28"/>
          <w:szCs w:val="28"/>
        </w:rPr>
      </w:pPr>
      <w:r w:rsidRPr="00F404FA">
        <w:rPr>
          <w:sz w:val="28"/>
          <w:szCs w:val="28"/>
        </w:rPr>
        <w:t xml:space="preserve">In response to the revelation in some of the comments that leases contain sensitive personal information of tenants, the legal services attorneys raise their concerns as to residential leases containing confidential information (e.g. social security numbers, bank account numbers, emergency contact information and children’s names and birthdays). Several comments argue that if the complaint with attachments must be served through posting on the tenant’s door, the confidential information will be compromised. </w:t>
      </w:r>
      <w:r w:rsidR="004A5AAE">
        <w:rPr>
          <w:sz w:val="28"/>
          <w:szCs w:val="28"/>
        </w:rPr>
        <w:t>One</w:t>
      </w:r>
      <w:r w:rsidRPr="00F404FA">
        <w:rPr>
          <w:sz w:val="28"/>
          <w:szCs w:val="28"/>
        </w:rPr>
        <w:t xml:space="preserve"> solution is </w:t>
      </w:r>
      <w:r w:rsidR="00076BFD">
        <w:rPr>
          <w:sz w:val="28"/>
          <w:szCs w:val="28"/>
        </w:rPr>
        <w:t xml:space="preserve">to </w:t>
      </w:r>
      <w:r w:rsidRPr="00F404FA">
        <w:rPr>
          <w:sz w:val="28"/>
          <w:szCs w:val="28"/>
        </w:rPr>
        <w:t>not include sensitive personal information in the lease agreement. Another solution</w:t>
      </w:r>
      <w:r w:rsidR="00A93FC0">
        <w:rPr>
          <w:sz w:val="28"/>
          <w:szCs w:val="28"/>
        </w:rPr>
        <w:t xml:space="preserve"> is</w:t>
      </w:r>
      <w:r w:rsidRPr="00F404FA">
        <w:rPr>
          <w:sz w:val="28"/>
          <w:szCs w:val="28"/>
        </w:rPr>
        <w:t xml:space="preserve"> to require redaction of sensitive personal information prior to posting. </w:t>
      </w:r>
    </w:p>
    <w:p w:rsidR="00F404FA" w:rsidRPr="00F404FA" w:rsidRDefault="00F404FA" w:rsidP="00F404FA">
      <w:pPr>
        <w:pStyle w:val="BodyText"/>
        <w:widowControl w:val="0"/>
        <w:numPr>
          <w:ilvl w:val="0"/>
          <w:numId w:val="16"/>
        </w:numPr>
        <w:spacing w:after="0" w:line="480" w:lineRule="auto"/>
        <w:ind w:left="1440" w:hanging="720"/>
        <w:jc w:val="both"/>
        <w:rPr>
          <w:b/>
          <w:sz w:val="28"/>
          <w:szCs w:val="28"/>
        </w:rPr>
      </w:pPr>
      <w:r w:rsidRPr="00F404FA">
        <w:rPr>
          <w:b/>
          <w:sz w:val="28"/>
          <w:szCs w:val="28"/>
        </w:rPr>
        <w:t xml:space="preserve">Administrative Cost Issue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t>Some comments note that attaching the additional documentation will increase costs, administrative burden</w:t>
      </w:r>
      <w:r w:rsidR="00A93FC0">
        <w:rPr>
          <w:sz w:val="28"/>
          <w:szCs w:val="28"/>
        </w:rPr>
        <w:t xml:space="preserve"> to the landlord</w:t>
      </w:r>
      <w:r w:rsidRPr="00F404FA">
        <w:rPr>
          <w:sz w:val="28"/>
          <w:szCs w:val="28"/>
        </w:rPr>
        <w:t xml:space="preserve">, and significantly increase the amount of paper submitted to the court.  The tenant and landlord bars indicate that standardized leases are predominantly used but vary in length. Similar concerns are noted regarding ledger pages for rent delinquency cases – different accounting procedures or programs present a non-standardized format of differing page lengths.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t xml:space="preserve">A modified approach, to minimize a ballooning page count, would be a qualifier of only “relevant” attachments from the entire lease.  The countervailing </w:t>
      </w:r>
      <w:r w:rsidRPr="00F404FA">
        <w:rPr>
          <w:sz w:val="28"/>
          <w:szCs w:val="28"/>
        </w:rPr>
        <w:lastRenderedPageBreak/>
        <w:t xml:space="preserve">concern is that with a proposed potential sanction of dismissal, the landlord would cautiously choose to still attach everything.  Such a modification would most appropriately be made within the proposed Rule 5(d)(3), Rules of Procedure for Eviction Actions (RPEA).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t xml:space="preserve">Scanning technology and electronic case files become important considerations in evaluating the administrative and record keeping burdens from this proposed change.  Coordinated changes will need to be adopted for disclosure requirements in Rule 10, RPEA, as proposed – with a potential offset to administrative time.  </w:t>
      </w:r>
    </w:p>
    <w:p w:rsidR="00F404FA" w:rsidRPr="00F404FA" w:rsidRDefault="00F404FA" w:rsidP="00F404FA">
      <w:pPr>
        <w:pStyle w:val="BodyText"/>
        <w:widowControl w:val="0"/>
        <w:spacing w:line="480" w:lineRule="auto"/>
        <w:ind w:firstLine="720"/>
        <w:jc w:val="both"/>
        <w:rPr>
          <w:sz w:val="28"/>
          <w:szCs w:val="28"/>
        </w:rPr>
      </w:pPr>
      <w:r w:rsidRPr="00F404FA">
        <w:rPr>
          <w:sz w:val="28"/>
          <w:szCs w:val="28"/>
        </w:rPr>
        <w:t xml:space="preserve">Of prevailing importance, is that tenants have the documents needed to evaluate and prepare a defense sufficiently prior to the hearing date. This interest is furthered by providing the relevant documents with the complaint. Tenants’ rights can be balanced against the administrative cost and impact on the system by incorporating language that allows for the landlord to omit addendums or other superfluous documents that are not material to the basis for eviction. </w:t>
      </w:r>
    </w:p>
    <w:p w:rsidR="00F404FA" w:rsidRPr="00F404FA" w:rsidRDefault="00F404FA" w:rsidP="00F404FA">
      <w:pPr>
        <w:pStyle w:val="BodyText"/>
        <w:widowControl w:val="0"/>
        <w:numPr>
          <w:ilvl w:val="0"/>
          <w:numId w:val="16"/>
        </w:numPr>
        <w:spacing w:after="0" w:line="480" w:lineRule="auto"/>
        <w:ind w:left="1440" w:hanging="720"/>
        <w:jc w:val="both"/>
        <w:rPr>
          <w:b/>
          <w:sz w:val="28"/>
          <w:szCs w:val="28"/>
        </w:rPr>
      </w:pPr>
      <w:r w:rsidRPr="00F404FA">
        <w:rPr>
          <w:b/>
          <w:sz w:val="28"/>
          <w:szCs w:val="28"/>
        </w:rPr>
        <w:t xml:space="preserve">Comment Submitted by Maricopa County Justices of the Peace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t>The Comment by the Maricopa County Justices of the Peace</w:t>
      </w:r>
      <w:r w:rsidR="00A93FC0">
        <w:rPr>
          <w:sz w:val="28"/>
          <w:szCs w:val="28"/>
        </w:rPr>
        <w:t xml:space="preserve"> (“judges”) </w:t>
      </w:r>
      <w:r w:rsidR="00A93FC0" w:rsidRPr="00F404FA">
        <w:rPr>
          <w:sz w:val="28"/>
          <w:szCs w:val="28"/>
        </w:rPr>
        <w:t>suggest</w:t>
      </w:r>
      <w:r w:rsidR="00076BFD">
        <w:rPr>
          <w:sz w:val="28"/>
          <w:szCs w:val="28"/>
        </w:rPr>
        <w:t>s</w:t>
      </w:r>
      <w:r w:rsidRPr="00F404FA">
        <w:rPr>
          <w:sz w:val="28"/>
          <w:szCs w:val="28"/>
        </w:rPr>
        <w:t xml:space="preserve"> there are other </w:t>
      </w:r>
      <w:r w:rsidR="002215E0">
        <w:rPr>
          <w:sz w:val="28"/>
          <w:szCs w:val="28"/>
        </w:rPr>
        <w:t>potential</w:t>
      </w:r>
      <w:r w:rsidRPr="00F404FA">
        <w:rPr>
          <w:sz w:val="28"/>
          <w:szCs w:val="28"/>
        </w:rPr>
        <w:t xml:space="preserve"> amendments to the eviction rules that would be better pinpointed alternatives.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lastRenderedPageBreak/>
        <w:t xml:space="preserve">The </w:t>
      </w:r>
      <w:r w:rsidR="00A93FC0">
        <w:rPr>
          <w:sz w:val="28"/>
          <w:szCs w:val="28"/>
        </w:rPr>
        <w:t>judges</w:t>
      </w:r>
      <w:r w:rsidRPr="00F404FA">
        <w:rPr>
          <w:sz w:val="28"/>
          <w:szCs w:val="28"/>
        </w:rPr>
        <w:t xml:space="preserve"> propose first to amend the Residential Eviction Information Sheet (Appendix A, RPEA) required by Rule 5(a)(5) to explain how a tenant may request relevant information prior to the hearing. In conjunction with this, the justices also propose, instead, to add a requirement in Rule 5(d)(3) that the landlord informs the tenant, in the complaint, that the tenant can make requests for information prior to the initial appearance (rather than mandating the attachment of the documents).  </w:t>
      </w:r>
    </w:p>
    <w:p w:rsidR="00F404FA" w:rsidRPr="00F404FA" w:rsidRDefault="00F404FA" w:rsidP="00DF6F34">
      <w:pPr>
        <w:pStyle w:val="BodyText"/>
        <w:widowControl w:val="0"/>
        <w:spacing w:after="0" w:line="480" w:lineRule="auto"/>
        <w:ind w:firstLine="720"/>
        <w:jc w:val="both"/>
        <w:rPr>
          <w:sz w:val="28"/>
          <w:szCs w:val="28"/>
        </w:rPr>
      </w:pPr>
      <w:r w:rsidRPr="00F404FA">
        <w:rPr>
          <w:sz w:val="28"/>
          <w:szCs w:val="28"/>
        </w:rPr>
        <w:t xml:space="preserve">Next, the </w:t>
      </w:r>
      <w:r w:rsidR="00A93FC0">
        <w:rPr>
          <w:sz w:val="28"/>
          <w:szCs w:val="28"/>
        </w:rPr>
        <w:t>judges</w:t>
      </w:r>
      <w:r w:rsidRPr="00F404FA">
        <w:rPr>
          <w:sz w:val="28"/>
          <w:szCs w:val="28"/>
        </w:rPr>
        <w:t xml:space="preserve"> suggest adding a sentence to Rule 11(c) (rather than the additional sanction subparagraph as Rule 5(e)) </w:t>
      </w:r>
      <w:r w:rsidR="0082542C">
        <w:rPr>
          <w:sz w:val="28"/>
          <w:szCs w:val="28"/>
        </w:rPr>
        <w:t>requiring</w:t>
      </w:r>
      <w:r w:rsidRPr="00F404FA">
        <w:rPr>
          <w:sz w:val="28"/>
          <w:szCs w:val="28"/>
        </w:rPr>
        <w:t xml:space="preserve"> a continuance if the requested disclosures are not made</w:t>
      </w:r>
      <w:r w:rsidR="0082542C">
        <w:rPr>
          <w:sz w:val="28"/>
          <w:szCs w:val="28"/>
        </w:rPr>
        <w:t xml:space="preserve"> (unless both parties agree to proceeding)</w:t>
      </w:r>
      <w:r w:rsidRPr="00F404FA">
        <w:rPr>
          <w:sz w:val="28"/>
          <w:szCs w:val="28"/>
        </w:rPr>
        <w:t xml:space="preserve">.  The legal services attorneys note the </w:t>
      </w:r>
      <w:r w:rsidR="0082542C">
        <w:rPr>
          <w:sz w:val="28"/>
          <w:szCs w:val="28"/>
        </w:rPr>
        <w:t>potential hardships of needing time off from work, transportation</w:t>
      </w:r>
      <w:r w:rsidR="000653D8">
        <w:rPr>
          <w:sz w:val="28"/>
          <w:szCs w:val="28"/>
        </w:rPr>
        <w:t xml:space="preserve"> problems, and child care issues</w:t>
      </w:r>
      <w:r w:rsidR="0082542C" w:rsidRPr="00F404FA">
        <w:rPr>
          <w:sz w:val="28"/>
          <w:szCs w:val="28"/>
        </w:rPr>
        <w:t xml:space="preserve"> </w:t>
      </w:r>
      <w:r w:rsidRPr="00F404FA">
        <w:rPr>
          <w:sz w:val="28"/>
          <w:szCs w:val="28"/>
        </w:rPr>
        <w:t xml:space="preserve">that such continuances can have on a tenant (Comment of William E. Morris Institute for Justice, pp. 4-5).  Finally, the </w:t>
      </w:r>
      <w:r w:rsidR="000653D8">
        <w:rPr>
          <w:sz w:val="28"/>
          <w:szCs w:val="28"/>
        </w:rPr>
        <w:t>judges</w:t>
      </w:r>
      <w:r w:rsidRPr="00F404FA">
        <w:rPr>
          <w:sz w:val="28"/>
          <w:szCs w:val="28"/>
        </w:rPr>
        <w:t xml:space="preserve"> suggest that Rule 5(d)(1) be clarified</w:t>
      </w:r>
      <w:r w:rsidR="000653D8">
        <w:rPr>
          <w:sz w:val="28"/>
          <w:szCs w:val="28"/>
        </w:rPr>
        <w:t xml:space="preserve"> for cases where the tenant pays the overdue rent, </w:t>
      </w:r>
      <w:r w:rsidR="003E431A">
        <w:rPr>
          <w:sz w:val="28"/>
          <w:szCs w:val="28"/>
        </w:rPr>
        <w:t xml:space="preserve">reasonable accumulated </w:t>
      </w:r>
      <w:r w:rsidR="000653D8">
        <w:rPr>
          <w:sz w:val="28"/>
          <w:szCs w:val="28"/>
        </w:rPr>
        <w:t>fees, and costs prior to the entry of judgment</w:t>
      </w:r>
      <w:r w:rsidRPr="00F404FA">
        <w:rPr>
          <w:sz w:val="28"/>
          <w:szCs w:val="28"/>
        </w:rPr>
        <w:t xml:space="preserve">.  </w:t>
      </w:r>
    </w:p>
    <w:p w:rsidR="00F404FA" w:rsidRDefault="00F404FA" w:rsidP="00F404FA">
      <w:pPr>
        <w:pStyle w:val="BodyText"/>
        <w:widowControl w:val="0"/>
        <w:spacing w:line="480" w:lineRule="auto"/>
        <w:jc w:val="both"/>
        <w:rPr>
          <w:sz w:val="28"/>
          <w:szCs w:val="28"/>
        </w:rPr>
      </w:pPr>
      <w:r w:rsidRPr="00F404FA">
        <w:rPr>
          <w:sz w:val="28"/>
          <w:szCs w:val="28"/>
        </w:rPr>
        <w:tab/>
        <w:t xml:space="preserve">The State Bar </w:t>
      </w:r>
      <w:r w:rsidR="0009148C">
        <w:rPr>
          <w:sz w:val="28"/>
          <w:szCs w:val="28"/>
        </w:rPr>
        <w:t>recognizes the concern</w:t>
      </w:r>
      <w:r w:rsidR="0009148C" w:rsidRPr="00F404FA">
        <w:rPr>
          <w:sz w:val="28"/>
          <w:szCs w:val="28"/>
        </w:rPr>
        <w:t xml:space="preserve"> </w:t>
      </w:r>
      <w:r w:rsidR="004144DF">
        <w:rPr>
          <w:sz w:val="28"/>
          <w:szCs w:val="28"/>
        </w:rPr>
        <w:t xml:space="preserve">from the William E. Morris Institute for Justice </w:t>
      </w:r>
      <w:r w:rsidRPr="00F404FA">
        <w:rPr>
          <w:sz w:val="28"/>
          <w:szCs w:val="28"/>
        </w:rPr>
        <w:t xml:space="preserve">that some of the proposed changes set forth in </w:t>
      </w:r>
      <w:r w:rsidR="004144DF">
        <w:rPr>
          <w:sz w:val="28"/>
          <w:szCs w:val="28"/>
        </w:rPr>
        <w:t>the judges’</w:t>
      </w:r>
      <w:r w:rsidRPr="00F404FA">
        <w:rPr>
          <w:sz w:val="28"/>
          <w:szCs w:val="28"/>
        </w:rPr>
        <w:t xml:space="preserve"> Comment are better suited for a</w:t>
      </w:r>
      <w:r w:rsidR="004144DF">
        <w:rPr>
          <w:sz w:val="28"/>
          <w:szCs w:val="28"/>
        </w:rPr>
        <w:t xml:space="preserve"> separate</w:t>
      </w:r>
      <w:r w:rsidRPr="00F404FA">
        <w:rPr>
          <w:sz w:val="28"/>
          <w:szCs w:val="28"/>
        </w:rPr>
        <w:t xml:space="preserve"> Rule 28 petition</w:t>
      </w:r>
      <w:r w:rsidR="004144DF">
        <w:rPr>
          <w:sz w:val="28"/>
          <w:szCs w:val="28"/>
        </w:rPr>
        <w:t>.</w:t>
      </w:r>
      <w:r w:rsidRPr="00F404FA">
        <w:rPr>
          <w:sz w:val="28"/>
          <w:szCs w:val="28"/>
        </w:rPr>
        <w:t xml:space="preserve"> </w:t>
      </w:r>
      <w:r w:rsidR="004144DF">
        <w:rPr>
          <w:sz w:val="28"/>
          <w:szCs w:val="28"/>
        </w:rPr>
        <w:t>Such an approach would allow</w:t>
      </w:r>
      <w:r w:rsidR="004144DF" w:rsidRPr="00F404FA">
        <w:rPr>
          <w:sz w:val="28"/>
          <w:szCs w:val="28"/>
        </w:rPr>
        <w:t xml:space="preserve"> </w:t>
      </w:r>
      <w:r w:rsidRPr="00F404FA">
        <w:rPr>
          <w:sz w:val="28"/>
          <w:szCs w:val="28"/>
        </w:rPr>
        <w:t xml:space="preserve">the opportunity </w:t>
      </w:r>
      <w:r w:rsidR="004144DF">
        <w:rPr>
          <w:sz w:val="28"/>
          <w:szCs w:val="28"/>
        </w:rPr>
        <w:t>for more public</w:t>
      </w:r>
      <w:r w:rsidR="004144DF" w:rsidRPr="00F404FA">
        <w:rPr>
          <w:sz w:val="28"/>
          <w:szCs w:val="28"/>
        </w:rPr>
        <w:t xml:space="preserve"> </w:t>
      </w:r>
      <w:r w:rsidRPr="00F404FA">
        <w:rPr>
          <w:sz w:val="28"/>
          <w:szCs w:val="28"/>
        </w:rPr>
        <w:t>comment on a specific rule-change proposal</w:t>
      </w:r>
      <w:r w:rsidR="004144DF">
        <w:rPr>
          <w:sz w:val="28"/>
          <w:szCs w:val="28"/>
        </w:rPr>
        <w:t>,</w:t>
      </w:r>
      <w:r w:rsidRPr="00F404FA">
        <w:rPr>
          <w:sz w:val="28"/>
          <w:szCs w:val="28"/>
        </w:rPr>
        <w:t xml:space="preserve"> rather than as a </w:t>
      </w:r>
      <w:r w:rsidR="004144DF">
        <w:rPr>
          <w:sz w:val="28"/>
          <w:szCs w:val="28"/>
        </w:rPr>
        <w:t xml:space="preserve">limited reply to a </w:t>
      </w:r>
      <w:r w:rsidRPr="00F404FA">
        <w:rPr>
          <w:sz w:val="28"/>
          <w:szCs w:val="28"/>
        </w:rPr>
        <w:t xml:space="preserve">comment </w:t>
      </w:r>
      <w:r w:rsidR="005C3743">
        <w:rPr>
          <w:sz w:val="28"/>
          <w:szCs w:val="28"/>
        </w:rPr>
        <w:t>on</w:t>
      </w:r>
      <w:r w:rsidR="005C3743" w:rsidRPr="00F404FA">
        <w:rPr>
          <w:sz w:val="28"/>
          <w:szCs w:val="28"/>
        </w:rPr>
        <w:t xml:space="preserve"> </w:t>
      </w:r>
      <w:r w:rsidRPr="00F404FA">
        <w:rPr>
          <w:sz w:val="28"/>
          <w:szCs w:val="28"/>
        </w:rPr>
        <w:t xml:space="preserve">the State Bar’s </w:t>
      </w:r>
      <w:r>
        <w:rPr>
          <w:sz w:val="28"/>
          <w:szCs w:val="28"/>
        </w:rPr>
        <w:t>P</w:t>
      </w:r>
      <w:r w:rsidRPr="00F404FA">
        <w:rPr>
          <w:sz w:val="28"/>
          <w:szCs w:val="28"/>
        </w:rPr>
        <w:t>etition</w:t>
      </w:r>
      <w:r w:rsidR="00F5455F">
        <w:rPr>
          <w:sz w:val="28"/>
          <w:szCs w:val="28"/>
        </w:rPr>
        <w:t>.</w:t>
      </w:r>
    </w:p>
    <w:p w:rsidR="00F404FA" w:rsidRPr="00F404FA" w:rsidRDefault="00F404FA" w:rsidP="003E431A">
      <w:pPr>
        <w:pStyle w:val="BodyText"/>
        <w:widowControl w:val="0"/>
        <w:spacing w:after="0" w:line="480" w:lineRule="auto"/>
        <w:ind w:firstLine="720"/>
        <w:jc w:val="both"/>
        <w:rPr>
          <w:sz w:val="28"/>
          <w:szCs w:val="28"/>
        </w:rPr>
      </w:pPr>
      <w:r w:rsidRPr="00F404FA">
        <w:rPr>
          <w:b/>
          <w:sz w:val="28"/>
          <w:szCs w:val="28"/>
        </w:rPr>
        <w:lastRenderedPageBreak/>
        <w:t>Conclusion</w:t>
      </w:r>
    </w:p>
    <w:p w:rsidR="00F404FA" w:rsidRPr="00F404FA" w:rsidRDefault="00F404FA" w:rsidP="00DF6F34">
      <w:pPr>
        <w:pStyle w:val="BodyText"/>
        <w:spacing w:after="0" w:line="480" w:lineRule="auto"/>
        <w:ind w:firstLine="720"/>
        <w:jc w:val="both"/>
        <w:rPr>
          <w:sz w:val="28"/>
          <w:szCs w:val="28"/>
        </w:rPr>
      </w:pPr>
      <w:r w:rsidRPr="00F404FA">
        <w:rPr>
          <w:sz w:val="28"/>
          <w:szCs w:val="28"/>
        </w:rPr>
        <w:t xml:space="preserve">The State Bar’s Legal Services Advisory Panel substantially provided the analysis and input for the petition filed by the State Bar, after identifying the issue of incomplete notice to tenants facing eviction. </w:t>
      </w:r>
    </w:p>
    <w:p w:rsidR="000F7A7F" w:rsidRPr="00F404FA" w:rsidRDefault="00F404FA" w:rsidP="00DF6F34">
      <w:pPr>
        <w:pStyle w:val="FootnoteText"/>
        <w:spacing w:line="480" w:lineRule="auto"/>
        <w:ind w:firstLine="720"/>
        <w:jc w:val="both"/>
        <w:rPr>
          <w:sz w:val="28"/>
          <w:szCs w:val="28"/>
        </w:rPr>
      </w:pPr>
      <w:r w:rsidRPr="00F404FA">
        <w:rPr>
          <w:sz w:val="28"/>
          <w:szCs w:val="28"/>
        </w:rPr>
        <w:t xml:space="preserve">The goals of the proposed rule changes are: to afford due process to tenants by providing more complete notice upon the threat of eviction, so that tenant may be a better prepared litigant; and to decrease delay caused by rescheduling. If the Court is conflicted about the impact the proposed rule changes may have based on the comments submitted in opposition, then the State Bar respectfully requests the Court approve its Petition on an interim basis to allow all stakeholders time to analyze the practical impact of the rule change and allow for a future request to adopt the amendments on a permanent basis. Otherwise, the State Bar respectfully requests the Court adopt the proposed rule changes set forth in the Petition. </w:t>
      </w:r>
    </w:p>
    <w:p w:rsidR="000C48A9" w:rsidRPr="00F404FA" w:rsidRDefault="006F63FD" w:rsidP="000C48A9">
      <w:pPr>
        <w:pStyle w:val="Body"/>
        <w:widowControl w:val="0"/>
        <w:tabs>
          <w:tab w:val="left" w:pos="720"/>
        </w:tabs>
        <w:ind w:firstLine="0"/>
        <w:rPr>
          <w:sz w:val="28"/>
          <w:szCs w:val="28"/>
        </w:rPr>
      </w:pPr>
      <w:r w:rsidRPr="00F404FA">
        <w:rPr>
          <w:sz w:val="28"/>
          <w:szCs w:val="28"/>
        </w:rPr>
        <w:t xml:space="preserve">       </w:t>
      </w:r>
      <w:r w:rsidR="000C48A9" w:rsidRPr="00F404FA">
        <w:rPr>
          <w:sz w:val="28"/>
          <w:szCs w:val="28"/>
        </w:rPr>
        <w:t>RESPECTFULLY SUBMITTED this ____day of____________</w:t>
      </w:r>
      <w:r w:rsidR="000F7A7F" w:rsidRPr="00F404FA">
        <w:rPr>
          <w:sz w:val="28"/>
          <w:szCs w:val="28"/>
        </w:rPr>
        <w:t>_____</w:t>
      </w:r>
      <w:r w:rsidR="00D60D9B" w:rsidRPr="00F404FA">
        <w:rPr>
          <w:sz w:val="28"/>
          <w:szCs w:val="28"/>
        </w:rPr>
        <w:t>, 2019</w:t>
      </w:r>
      <w:r w:rsidR="000C48A9" w:rsidRPr="00F404FA">
        <w:rPr>
          <w:sz w:val="28"/>
          <w:szCs w:val="28"/>
        </w:rPr>
        <w:t>.</w:t>
      </w:r>
    </w:p>
    <w:p w:rsidR="000C48A9" w:rsidRPr="00F404FA" w:rsidRDefault="000C48A9" w:rsidP="000C48A9">
      <w:pPr>
        <w:pStyle w:val="Body"/>
        <w:widowControl w:val="0"/>
        <w:tabs>
          <w:tab w:val="left" w:pos="720"/>
        </w:tabs>
        <w:ind w:firstLine="0"/>
        <w:rPr>
          <w:sz w:val="28"/>
          <w:szCs w:val="28"/>
        </w:rPr>
      </w:pPr>
    </w:p>
    <w:p w:rsidR="000C48A9" w:rsidRPr="0098402C" w:rsidRDefault="0098402C" w:rsidP="000C48A9">
      <w:pPr>
        <w:pStyle w:val="Body"/>
        <w:widowControl w:val="0"/>
        <w:tabs>
          <w:tab w:val="left" w:pos="720"/>
        </w:tabs>
        <w:ind w:firstLine="0"/>
        <w:rPr>
          <w:i/>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8402C">
        <w:rPr>
          <w:i/>
          <w:sz w:val="28"/>
          <w:szCs w:val="28"/>
        </w:rPr>
        <w:t>/s/ Lisa M. Panahi</w:t>
      </w:r>
    </w:p>
    <w:p w:rsidR="000C48A9" w:rsidRPr="00F404FA" w:rsidRDefault="00F850BE" w:rsidP="000C48A9">
      <w:pPr>
        <w:pStyle w:val="PleadingSignature"/>
        <w:keepNext w:val="0"/>
        <w:keepLines w:val="0"/>
        <w:pBdr>
          <w:top w:val="single" w:sz="4" w:space="1" w:color="auto"/>
        </w:pBdr>
        <w:spacing w:line="240" w:lineRule="auto"/>
        <w:ind w:left="5070"/>
        <w:rPr>
          <w:sz w:val="28"/>
          <w:szCs w:val="28"/>
        </w:rPr>
      </w:pPr>
      <w:r w:rsidRPr="00F404FA">
        <w:rPr>
          <w:sz w:val="28"/>
          <w:szCs w:val="28"/>
        </w:rPr>
        <w:t>Lisa M. Panahi</w:t>
      </w:r>
    </w:p>
    <w:p w:rsidR="00F404FA" w:rsidRPr="00F404FA" w:rsidRDefault="000C48A9" w:rsidP="00F404FA">
      <w:pPr>
        <w:pStyle w:val="PleadingSignature"/>
        <w:keepNext w:val="0"/>
        <w:keepLines w:val="0"/>
        <w:spacing w:line="240" w:lineRule="auto"/>
        <w:ind w:left="5070"/>
        <w:rPr>
          <w:sz w:val="28"/>
          <w:szCs w:val="28"/>
        </w:rPr>
      </w:pPr>
      <w:r w:rsidRPr="00F404FA">
        <w:rPr>
          <w:sz w:val="28"/>
          <w:szCs w:val="28"/>
        </w:rPr>
        <w:t>General Counsel</w:t>
      </w:r>
    </w:p>
    <w:p w:rsidR="000C48A9" w:rsidRPr="00F404FA" w:rsidRDefault="000C48A9" w:rsidP="004331B2">
      <w:pPr>
        <w:widowControl w:val="0"/>
        <w:spacing w:line="240" w:lineRule="auto"/>
        <w:ind w:right="4140"/>
        <w:rPr>
          <w:sz w:val="28"/>
          <w:szCs w:val="28"/>
        </w:rPr>
      </w:pPr>
      <w:r w:rsidRPr="00F404FA">
        <w:rPr>
          <w:sz w:val="28"/>
          <w:szCs w:val="28"/>
        </w:rPr>
        <w:t>Electronic copy filed with the</w:t>
      </w:r>
    </w:p>
    <w:p w:rsidR="000C48A9" w:rsidRPr="00F404FA" w:rsidRDefault="000C48A9" w:rsidP="004331B2">
      <w:pPr>
        <w:spacing w:line="240" w:lineRule="auto"/>
        <w:ind w:right="4140"/>
        <w:rPr>
          <w:sz w:val="28"/>
          <w:szCs w:val="28"/>
        </w:rPr>
      </w:pPr>
      <w:r w:rsidRPr="00F404FA">
        <w:rPr>
          <w:sz w:val="28"/>
          <w:szCs w:val="28"/>
        </w:rPr>
        <w:t xml:space="preserve">Clerk of the </w:t>
      </w:r>
      <w:r w:rsidR="00692391" w:rsidRPr="00F404FA">
        <w:rPr>
          <w:sz w:val="28"/>
          <w:szCs w:val="28"/>
        </w:rPr>
        <w:t>Supreme Court of Arizona</w:t>
      </w:r>
    </w:p>
    <w:p w:rsidR="000C48A9" w:rsidRPr="00F404FA" w:rsidRDefault="000C48A9" w:rsidP="00C52E56">
      <w:pPr>
        <w:tabs>
          <w:tab w:val="left" w:pos="4836"/>
        </w:tabs>
        <w:spacing w:line="240" w:lineRule="auto"/>
        <w:ind w:right="3870"/>
        <w:rPr>
          <w:sz w:val="28"/>
          <w:szCs w:val="28"/>
        </w:rPr>
      </w:pPr>
      <w:r w:rsidRPr="00F404FA">
        <w:rPr>
          <w:sz w:val="28"/>
          <w:szCs w:val="28"/>
        </w:rPr>
        <w:t>t</w:t>
      </w:r>
      <w:r w:rsidR="000F7A7F" w:rsidRPr="00F404FA">
        <w:rPr>
          <w:sz w:val="28"/>
          <w:szCs w:val="28"/>
        </w:rPr>
        <w:t>his _____ day of ________________</w:t>
      </w:r>
      <w:r w:rsidR="006F63FD" w:rsidRPr="00F404FA">
        <w:rPr>
          <w:sz w:val="28"/>
          <w:szCs w:val="28"/>
        </w:rPr>
        <w:t xml:space="preserve">___, </w:t>
      </w:r>
      <w:r w:rsidR="00D60D9B" w:rsidRPr="00F404FA">
        <w:rPr>
          <w:sz w:val="28"/>
          <w:szCs w:val="28"/>
        </w:rPr>
        <w:t>2019</w:t>
      </w:r>
      <w:r w:rsidR="000F7A7F" w:rsidRPr="00F404FA">
        <w:rPr>
          <w:sz w:val="28"/>
          <w:szCs w:val="28"/>
        </w:rPr>
        <w:t>.</w:t>
      </w:r>
    </w:p>
    <w:p w:rsidR="000F7A7F" w:rsidRPr="00F404FA" w:rsidRDefault="000F7A7F" w:rsidP="000C48A9">
      <w:pPr>
        <w:spacing w:line="240" w:lineRule="auto"/>
        <w:ind w:right="4572"/>
        <w:rPr>
          <w:sz w:val="28"/>
          <w:szCs w:val="28"/>
        </w:rPr>
      </w:pPr>
    </w:p>
    <w:p w:rsidR="00052372" w:rsidRPr="00F404FA" w:rsidRDefault="000C48A9" w:rsidP="00F404FA">
      <w:pPr>
        <w:spacing w:line="240" w:lineRule="auto"/>
        <w:ind w:right="4572"/>
        <w:rPr>
          <w:sz w:val="28"/>
          <w:szCs w:val="28"/>
        </w:rPr>
      </w:pPr>
      <w:r w:rsidRPr="00F404FA">
        <w:rPr>
          <w:sz w:val="28"/>
          <w:szCs w:val="28"/>
        </w:rPr>
        <w:t>by: ___________________________</w:t>
      </w:r>
      <w:r w:rsidR="004331B2" w:rsidRPr="00F404FA">
        <w:rPr>
          <w:sz w:val="28"/>
          <w:szCs w:val="28"/>
        </w:rPr>
        <w:t>____</w:t>
      </w:r>
      <w:bookmarkStart w:id="2" w:name="_GoBack"/>
      <w:bookmarkEnd w:id="2"/>
    </w:p>
    <w:sectPr w:rsidR="00052372" w:rsidRPr="00F404FA"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644FF2"/>
    <w:multiLevelType w:val="hybridMultilevel"/>
    <w:tmpl w:val="0478ABDA"/>
    <w:lvl w:ilvl="0" w:tplc="3ED8335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6D939A9"/>
    <w:multiLevelType w:val="hybridMultilevel"/>
    <w:tmpl w:val="30129E5E"/>
    <w:lvl w:ilvl="0" w:tplc="9CFE6D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5"/>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4505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53D8"/>
    <w:rsid w:val="000666D1"/>
    <w:rsid w:val="00076BFD"/>
    <w:rsid w:val="0008003D"/>
    <w:rsid w:val="0009148C"/>
    <w:rsid w:val="000917C0"/>
    <w:rsid w:val="000A1D6B"/>
    <w:rsid w:val="000C48A9"/>
    <w:rsid w:val="000F7A7F"/>
    <w:rsid w:val="000F7C13"/>
    <w:rsid w:val="00135326"/>
    <w:rsid w:val="001A2520"/>
    <w:rsid w:val="001F591C"/>
    <w:rsid w:val="002215E0"/>
    <w:rsid w:val="00274D6A"/>
    <w:rsid w:val="00352347"/>
    <w:rsid w:val="003566D6"/>
    <w:rsid w:val="00357F4D"/>
    <w:rsid w:val="003617D1"/>
    <w:rsid w:val="00377199"/>
    <w:rsid w:val="003A28AC"/>
    <w:rsid w:val="003E431A"/>
    <w:rsid w:val="00407E2D"/>
    <w:rsid w:val="004144DF"/>
    <w:rsid w:val="004331B2"/>
    <w:rsid w:val="00440E4C"/>
    <w:rsid w:val="00463734"/>
    <w:rsid w:val="00494BDF"/>
    <w:rsid w:val="004A5AAE"/>
    <w:rsid w:val="004C3AE3"/>
    <w:rsid w:val="00504E1E"/>
    <w:rsid w:val="00506859"/>
    <w:rsid w:val="00520F93"/>
    <w:rsid w:val="00566856"/>
    <w:rsid w:val="005A21B0"/>
    <w:rsid w:val="005B5161"/>
    <w:rsid w:val="005C3743"/>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2542C"/>
    <w:rsid w:val="008360A1"/>
    <w:rsid w:val="00861563"/>
    <w:rsid w:val="00871AAA"/>
    <w:rsid w:val="00876F57"/>
    <w:rsid w:val="00891AAA"/>
    <w:rsid w:val="00933EA1"/>
    <w:rsid w:val="00951416"/>
    <w:rsid w:val="00960D21"/>
    <w:rsid w:val="00981D29"/>
    <w:rsid w:val="00981E11"/>
    <w:rsid w:val="0098402C"/>
    <w:rsid w:val="00A1564B"/>
    <w:rsid w:val="00A5194F"/>
    <w:rsid w:val="00A871D6"/>
    <w:rsid w:val="00A93A7C"/>
    <w:rsid w:val="00A93FC0"/>
    <w:rsid w:val="00AF282C"/>
    <w:rsid w:val="00AF3FF7"/>
    <w:rsid w:val="00B13FCC"/>
    <w:rsid w:val="00B1491D"/>
    <w:rsid w:val="00B47B7D"/>
    <w:rsid w:val="00C03E0F"/>
    <w:rsid w:val="00C52E56"/>
    <w:rsid w:val="00C5407A"/>
    <w:rsid w:val="00C662B0"/>
    <w:rsid w:val="00C84FD4"/>
    <w:rsid w:val="00C958EE"/>
    <w:rsid w:val="00CD21FB"/>
    <w:rsid w:val="00D423FE"/>
    <w:rsid w:val="00D442E4"/>
    <w:rsid w:val="00D60D9B"/>
    <w:rsid w:val="00D80EDC"/>
    <w:rsid w:val="00DF4F15"/>
    <w:rsid w:val="00DF6F34"/>
    <w:rsid w:val="00E047D3"/>
    <w:rsid w:val="00E266B7"/>
    <w:rsid w:val="00E321C5"/>
    <w:rsid w:val="00E5772B"/>
    <w:rsid w:val="00E67511"/>
    <w:rsid w:val="00E81026"/>
    <w:rsid w:val="00E82D0F"/>
    <w:rsid w:val="00E950B5"/>
    <w:rsid w:val="00F05879"/>
    <w:rsid w:val="00F06F5B"/>
    <w:rsid w:val="00F2485D"/>
    <w:rsid w:val="00F33926"/>
    <w:rsid w:val="00F404FA"/>
    <w:rsid w:val="00F5455F"/>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AC362FE"/>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rsid w:val="005A21B0"/>
    <w:pPr>
      <w:spacing w:line="240" w:lineRule="auto"/>
    </w:pPr>
  </w:style>
  <w:style w:type="character" w:customStyle="1" w:styleId="FootnoteTextChar">
    <w:name w:val="Footnote Text Char"/>
    <w:basedOn w:val="DefaultParagraphFont"/>
    <w:link w:val="FootnoteText"/>
    <w:rsid w:val="005A21B0"/>
  </w:style>
  <w:style w:type="character" w:styleId="FootnoteReference">
    <w:name w:val="footnote reference"/>
    <w:basedOn w:val="DefaultParagraphFont"/>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character" w:customStyle="1" w:styleId="FootnoteTextChar1">
    <w:name w:val="Footnote Text Char1"/>
    <w:semiHidden/>
    <w:rsid w:val="00F40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FE1A4-3EA6-4719-90D5-1BB23D66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71</TotalTime>
  <Pages>6</Pages>
  <Words>1226</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9</cp:revision>
  <cp:lastPrinted>2014-04-30T16:27:00Z</cp:lastPrinted>
  <dcterms:created xsi:type="dcterms:W3CDTF">2019-05-29T17:56:00Z</dcterms:created>
  <dcterms:modified xsi:type="dcterms:W3CDTF">2019-05-30T21:34:00Z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