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5F7081" w:rsidRDefault="00E67511" w:rsidP="005F7081">
            <w:pPr>
              <w:pStyle w:val="Caption"/>
              <w:spacing w:before="240" w:line="260" w:lineRule="exact"/>
              <w:rPr>
                <w:b/>
                <w:sz w:val="28"/>
                <w:szCs w:val="28"/>
              </w:rPr>
            </w:pPr>
            <w:r w:rsidRPr="00732169">
              <w:rPr>
                <w:b/>
                <w:sz w:val="28"/>
                <w:szCs w:val="28"/>
              </w:rPr>
              <w:t xml:space="preserve">PETITION TO </w:t>
            </w:r>
            <w:r w:rsidR="005F7081">
              <w:rPr>
                <w:b/>
                <w:sz w:val="28"/>
                <w:szCs w:val="28"/>
              </w:rPr>
              <w:t>AMEND THE ARIZONA RULES OF CRIMINAL PROCEDURE</w:t>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r w:rsidR="005F7081">
              <w:rPr>
                <w:sz w:val="28"/>
                <w:szCs w:val="28"/>
              </w:rPr>
              <w:t>0016</w:t>
            </w:r>
          </w:p>
          <w:p w:rsidR="005F7081" w:rsidRDefault="005F7081" w:rsidP="000F7A7F">
            <w:pPr>
              <w:pStyle w:val="Caption"/>
              <w:tabs>
                <w:tab w:val="left" w:pos="1238"/>
              </w:tabs>
              <w:spacing w:line="260" w:lineRule="exact"/>
              <w:ind w:right="115"/>
              <w:jc w:val="center"/>
              <w:rPr>
                <w:b/>
                <w:sz w:val="28"/>
                <w:szCs w:val="28"/>
              </w:rPr>
            </w:pPr>
            <w:r>
              <w:rPr>
                <w:b/>
                <w:sz w:val="28"/>
                <w:szCs w:val="28"/>
              </w:rPr>
              <w:t xml:space="preserve">COMMENT OF THE </w:t>
            </w:r>
          </w:p>
          <w:p w:rsidR="00357F4D" w:rsidRPr="005F7081" w:rsidRDefault="005F7081"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1F591C" w:rsidRDefault="0008003D" w:rsidP="006766BF">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p>
    <w:p w:rsidR="005F7081" w:rsidRDefault="005F7081" w:rsidP="005F7081">
      <w:pPr>
        <w:pStyle w:val="Body"/>
        <w:widowControl w:val="0"/>
        <w:spacing w:line="480" w:lineRule="auto"/>
        <w:ind w:firstLine="0"/>
        <w:jc w:val="both"/>
        <w:rPr>
          <w:sz w:val="28"/>
          <w:szCs w:val="28"/>
        </w:rPr>
      </w:pPr>
      <w:r w:rsidRPr="008E1F40">
        <w:rPr>
          <w:sz w:val="28"/>
          <w:szCs w:val="28"/>
        </w:rPr>
        <w:t xml:space="preserve">          The analysis and details for this Comment </w:t>
      </w:r>
      <w:r>
        <w:rPr>
          <w:sz w:val="28"/>
          <w:szCs w:val="28"/>
        </w:rPr>
        <w:t>are</w:t>
      </w:r>
      <w:r w:rsidRPr="008E1F40">
        <w:rPr>
          <w:sz w:val="28"/>
          <w:szCs w:val="28"/>
        </w:rPr>
        <w:t xml:space="preserve"> substantially </w:t>
      </w:r>
      <w:bookmarkStart w:id="2" w:name="_GoBack"/>
      <w:bookmarkEnd w:id="2"/>
      <w:r>
        <w:rPr>
          <w:sz w:val="28"/>
          <w:szCs w:val="28"/>
        </w:rPr>
        <w:t>the product of</w:t>
      </w:r>
      <w:r w:rsidRPr="008E1F40">
        <w:rPr>
          <w:sz w:val="28"/>
          <w:szCs w:val="28"/>
        </w:rPr>
        <w:t xml:space="preserve"> the State Bar’s Criminal Practice and Procedure Committee, </w:t>
      </w:r>
      <w:r>
        <w:rPr>
          <w:sz w:val="28"/>
          <w:szCs w:val="28"/>
        </w:rPr>
        <w:t>composed of a balance of</w:t>
      </w:r>
      <w:r w:rsidRPr="008E1F40">
        <w:rPr>
          <w:sz w:val="28"/>
          <w:szCs w:val="28"/>
        </w:rPr>
        <w:t xml:space="preserve"> prosecution and defense practitioners, </w:t>
      </w:r>
      <w:r>
        <w:rPr>
          <w:sz w:val="28"/>
          <w:szCs w:val="28"/>
        </w:rPr>
        <w:t>and</w:t>
      </w:r>
      <w:r w:rsidRPr="008E1F40">
        <w:rPr>
          <w:sz w:val="28"/>
          <w:szCs w:val="28"/>
        </w:rPr>
        <w:t xml:space="preserve"> judicial members.</w:t>
      </w:r>
    </w:p>
    <w:p w:rsidR="005F7081" w:rsidRPr="00950633" w:rsidRDefault="005F7081" w:rsidP="005F7081">
      <w:pPr>
        <w:pStyle w:val="Body"/>
        <w:widowControl w:val="0"/>
        <w:spacing w:line="480" w:lineRule="auto"/>
        <w:ind w:left="1080" w:firstLine="0"/>
        <w:jc w:val="center"/>
        <w:rPr>
          <w:b/>
          <w:sz w:val="28"/>
          <w:szCs w:val="28"/>
        </w:rPr>
      </w:pPr>
      <w:r w:rsidRPr="00950633">
        <w:rPr>
          <w:b/>
          <w:sz w:val="28"/>
          <w:szCs w:val="28"/>
        </w:rPr>
        <w:t>BACKGROUND OF PETITION R-19-0016</w:t>
      </w:r>
    </w:p>
    <w:p w:rsidR="005F7081" w:rsidRDefault="005F7081" w:rsidP="005F7081">
      <w:pPr>
        <w:pStyle w:val="Body"/>
        <w:widowControl w:val="0"/>
        <w:spacing w:line="480" w:lineRule="auto"/>
        <w:ind w:right="90" w:firstLine="720"/>
        <w:jc w:val="both"/>
        <w:rPr>
          <w:sz w:val="28"/>
          <w:szCs w:val="28"/>
        </w:rPr>
      </w:pPr>
      <w:r>
        <w:rPr>
          <w:sz w:val="28"/>
          <w:szCs w:val="28"/>
        </w:rPr>
        <w:t>M</w:t>
      </w:r>
      <w:r w:rsidRPr="00350CDA">
        <w:rPr>
          <w:sz w:val="28"/>
          <w:szCs w:val="28"/>
        </w:rPr>
        <w:t xml:space="preserve">ore than two years ago, the Supreme Court Task Force on the Arizona Rules of Criminal Procedure completed a </w:t>
      </w:r>
      <w:r>
        <w:rPr>
          <w:sz w:val="28"/>
          <w:szCs w:val="28"/>
        </w:rPr>
        <w:t xml:space="preserve">global restyling of the </w:t>
      </w:r>
      <w:r w:rsidRPr="00350CDA">
        <w:rPr>
          <w:sz w:val="28"/>
          <w:szCs w:val="28"/>
        </w:rPr>
        <w:t>Rules of Cri</w:t>
      </w:r>
      <w:r>
        <w:rPr>
          <w:sz w:val="28"/>
          <w:szCs w:val="28"/>
        </w:rPr>
        <w:t>minal Procedure and Submitted Rule Change Petition</w:t>
      </w:r>
      <w:r w:rsidRPr="00350CDA">
        <w:rPr>
          <w:sz w:val="28"/>
          <w:szCs w:val="28"/>
        </w:rPr>
        <w:t xml:space="preserve"> R-17-0002.  </w:t>
      </w:r>
      <w:r>
        <w:rPr>
          <w:sz w:val="28"/>
          <w:szCs w:val="28"/>
        </w:rPr>
        <w:t xml:space="preserve">The revisions proposed in R-17-0002 were approved by this Court.  During the Task Force review process, </w:t>
      </w:r>
      <w:r>
        <w:rPr>
          <w:sz w:val="28"/>
          <w:szCs w:val="28"/>
        </w:rPr>
        <w:lastRenderedPageBreak/>
        <w:t>representatives of victim’s rights organizations suggested that Rule 39 be deleted, and other criminal rules be modified to add language regarding victims’ rights.  The committee charged with revising the Rules of Criminal Procedure declined to adopt the suggested modifications.</w:t>
      </w:r>
    </w:p>
    <w:p w:rsidR="005F7081" w:rsidRPr="0048609C" w:rsidRDefault="005F7081" w:rsidP="005F7081">
      <w:pPr>
        <w:spacing w:line="480" w:lineRule="auto"/>
        <w:ind w:firstLine="720"/>
        <w:jc w:val="both"/>
        <w:rPr>
          <w:sz w:val="28"/>
          <w:szCs w:val="28"/>
        </w:rPr>
      </w:pPr>
      <w:r>
        <w:rPr>
          <w:sz w:val="28"/>
          <w:szCs w:val="28"/>
        </w:rPr>
        <w:t xml:space="preserve">This same Petitioner filed Petition R-18-0001 which sought to delete Rule 39, Ariz. Rules Crim. Pro., and amend dozens of criminal rules in the process.  Rule Petition R-18-0001 was not adopted.  In the instant petition, R-19-0016, the proposal again seeks to accomplish what was not accomplished via </w:t>
      </w:r>
      <w:r w:rsidRPr="00350CDA">
        <w:rPr>
          <w:sz w:val="28"/>
          <w:szCs w:val="28"/>
        </w:rPr>
        <w:t>the Supreme Court Task Force on the Arizona Rules of Criminal Procedure</w:t>
      </w:r>
      <w:r>
        <w:rPr>
          <w:sz w:val="28"/>
          <w:szCs w:val="28"/>
        </w:rPr>
        <w:t xml:space="preserve"> or via Petition R-18-0001.  </w:t>
      </w:r>
    </w:p>
    <w:p w:rsidR="005F7081" w:rsidRPr="00950633" w:rsidRDefault="005F7081" w:rsidP="005F7081">
      <w:pPr>
        <w:pStyle w:val="Body"/>
        <w:widowControl w:val="0"/>
        <w:spacing w:line="480" w:lineRule="auto"/>
        <w:ind w:left="1080" w:firstLine="0"/>
        <w:jc w:val="center"/>
        <w:rPr>
          <w:b/>
          <w:sz w:val="28"/>
          <w:szCs w:val="28"/>
        </w:rPr>
      </w:pPr>
      <w:r w:rsidRPr="00950633">
        <w:rPr>
          <w:b/>
          <w:sz w:val="28"/>
          <w:szCs w:val="28"/>
        </w:rPr>
        <w:t>DISCUSSION</w:t>
      </w:r>
    </w:p>
    <w:p w:rsidR="005F7081" w:rsidRDefault="005F7081" w:rsidP="005F7081">
      <w:pPr>
        <w:spacing w:line="480" w:lineRule="auto"/>
        <w:ind w:firstLine="720"/>
        <w:jc w:val="both"/>
        <w:rPr>
          <w:sz w:val="28"/>
          <w:szCs w:val="28"/>
        </w:rPr>
      </w:pPr>
      <w:r w:rsidRPr="0048609C">
        <w:rPr>
          <w:sz w:val="28"/>
          <w:szCs w:val="28"/>
        </w:rPr>
        <w:t>A comparison between Petition R-18-001 and Pe</w:t>
      </w:r>
      <w:r>
        <w:rPr>
          <w:sz w:val="28"/>
          <w:szCs w:val="28"/>
        </w:rPr>
        <w:t xml:space="preserve">tition R-19-0016 shows that </w:t>
      </w:r>
      <w:proofErr w:type="gramStart"/>
      <w:r>
        <w:rPr>
          <w:sz w:val="28"/>
          <w:szCs w:val="28"/>
        </w:rPr>
        <w:t>the majority</w:t>
      </w:r>
      <w:r w:rsidRPr="0048609C">
        <w:rPr>
          <w:sz w:val="28"/>
          <w:szCs w:val="28"/>
        </w:rPr>
        <w:t xml:space="preserve"> of</w:t>
      </w:r>
      <w:proofErr w:type="gramEnd"/>
      <w:r w:rsidRPr="0048609C">
        <w:rPr>
          <w:sz w:val="28"/>
          <w:szCs w:val="28"/>
        </w:rPr>
        <w:t xml:space="preserve"> proposed modifications contained in the new petition are virtually identical to the former peti</w:t>
      </w:r>
      <w:r>
        <w:rPr>
          <w:sz w:val="28"/>
          <w:szCs w:val="28"/>
        </w:rPr>
        <w:t>tion.  Some aspects</w:t>
      </w:r>
      <w:r w:rsidRPr="0048609C">
        <w:rPr>
          <w:sz w:val="28"/>
          <w:szCs w:val="28"/>
        </w:rPr>
        <w:t xml:space="preserve"> </w:t>
      </w:r>
      <w:r>
        <w:rPr>
          <w:sz w:val="28"/>
          <w:szCs w:val="28"/>
        </w:rPr>
        <w:t xml:space="preserve">of this Petition </w:t>
      </w:r>
      <w:r w:rsidRPr="0048609C">
        <w:rPr>
          <w:sz w:val="28"/>
          <w:szCs w:val="28"/>
        </w:rPr>
        <w:t>utilize slightly different language than previously proposed</w:t>
      </w:r>
      <w:r>
        <w:rPr>
          <w:sz w:val="28"/>
          <w:szCs w:val="28"/>
        </w:rPr>
        <w:t>,</w:t>
      </w:r>
      <w:r w:rsidRPr="0048609C">
        <w:rPr>
          <w:sz w:val="28"/>
          <w:szCs w:val="28"/>
        </w:rPr>
        <w:t xml:space="preserve"> </w:t>
      </w:r>
      <w:r>
        <w:rPr>
          <w:sz w:val="28"/>
          <w:szCs w:val="28"/>
        </w:rPr>
        <w:t>where others</w:t>
      </w:r>
      <w:r w:rsidRPr="0048609C">
        <w:rPr>
          <w:sz w:val="28"/>
          <w:szCs w:val="28"/>
        </w:rPr>
        <w:t xml:space="preserve"> u</w:t>
      </w:r>
      <w:r>
        <w:rPr>
          <w:sz w:val="28"/>
          <w:szCs w:val="28"/>
        </w:rPr>
        <w:t xml:space="preserve">tilize identical language but </w:t>
      </w:r>
      <w:r w:rsidRPr="0048609C">
        <w:rPr>
          <w:sz w:val="28"/>
          <w:szCs w:val="28"/>
        </w:rPr>
        <w:t>in a different subsection of the same rule.</w:t>
      </w:r>
      <w:r>
        <w:rPr>
          <w:sz w:val="28"/>
          <w:szCs w:val="28"/>
        </w:rPr>
        <w:t xml:space="preserve">  Consequently, much of this comment is </w:t>
      </w:r>
      <w:proofErr w:type="gramStart"/>
      <w:r>
        <w:rPr>
          <w:sz w:val="28"/>
          <w:szCs w:val="28"/>
        </w:rPr>
        <w:t>similar to</w:t>
      </w:r>
      <w:proofErr w:type="gramEnd"/>
      <w:r>
        <w:rPr>
          <w:sz w:val="28"/>
          <w:szCs w:val="28"/>
        </w:rPr>
        <w:t xml:space="preserve"> the State Bar’s Comment on R-18-0001.  There are, however, some</w:t>
      </w:r>
      <w:r w:rsidRPr="00B56A48">
        <w:rPr>
          <w:sz w:val="28"/>
          <w:szCs w:val="28"/>
        </w:rPr>
        <w:t xml:space="preserve"> newly proposed </w:t>
      </w:r>
      <w:r>
        <w:rPr>
          <w:sz w:val="28"/>
          <w:szCs w:val="28"/>
        </w:rPr>
        <w:t xml:space="preserve">rule changes in R-19-0016 that were </w:t>
      </w:r>
      <w:r w:rsidRPr="00350CDA">
        <w:rPr>
          <w:sz w:val="28"/>
          <w:szCs w:val="28"/>
        </w:rPr>
        <w:t>not</w:t>
      </w:r>
      <w:r>
        <w:rPr>
          <w:sz w:val="28"/>
          <w:szCs w:val="28"/>
        </w:rPr>
        <w:t xml:space="preserve"> </w:t>
      </w:r>
      <w:r w:rsidRPr="00B56A48">
        <w:rPr>
          <w:sz w:val="28"/>
          <w:szCs w:val="28"/>
        </w:rPr>
        <w:t>in the prior petition. </w:t>
      </w:r>
    </w:p>
    <w:p w:rsidR="005F7081" w:rsidRDefault="005F7081" w:rsidP="005F7081">
      <w:pPr>
        <w:spacing w:line="480" w:lineRule="auto"/>
        <w:ind w:firstLine="720"/>
        <w:jc w:val="both"/>
        <w:rPr>
          <w:sz w:val="28"/>
          <w:szCs w:val="28"/>
        </w:rPr>
      </w:pPr>
      <w:r>
        <w:rPr>
          <w:spacing w:val="-3"/>
          <w:sz w:val="28"/>
          <w:szCs w:val="28"/>
        </w:rPr>
        <w:t>Like Petition R-18-0001, many of the proposed</w:t>
      </w:r>
      <w:r w:rsidRPr="00717A96">
        <w:rPr>
          <w:spacing w:val="-3"/>
          <w:sz w:val="28"/>
          <w:szCs w:val="28"/>
        </w:rPr>
        <w:t xml:space="preserve"> modifications seek to raise crime victims to the status of parties, permitting them to file pleadings and otherwise be heard on matters which do not pertain</w:t>
      </w:r>
      <w:r>
        <w:rPr>
          <w:spacing w:val="-3"/>
          <w:sz w:val="28"/>
          <w:szCs w:val="28"/>
        </w:rPr>
        <w:t xml:space="preserve"> exclusively to victim</w:t>
      </w:r>
      <w:r w:rsidRPr="00717A96">
        <w:rPr>
          <w:spacing w:val="-3"/>
          <w:sz w:val="28"/>
          <w:szCs w:val="28"/>
        </w:rPr>
        <w:t>s</w:t>
      </w:r>
      <w:r>
        <w:rPr>
          <w:spacing w:val="-3"/>
          <w:sz w:val="28"/>
          <w:szCs w:val="28"/>
        </w:rPr>
        <w:t>’</w:t>
      </w:r>
      <w:r w:rsidRPr="00717A96">
        <w:rPr>
          <w:spacing w:val="-3"/>
          <w:sz w:val="28"/>
          <w:szCs w:val="28"/>
        </w:rPr>
        <w:t xml:space="preserve"> rig</w:t>
      </w:r>
      <w:r>
        <w:rPr>
          <w:spacing w:val="-3"/>
          <w:sz w:val="28"/>
          <w:szCs w:val="28"/>
        </w:rPr>
        <w:t xml:space="preserve">hts.  But victims </w:t>
      </w:r>
      <w:r>
        <w:rPr>
          <w:spacing w:val="-3"/>
          <w:sz w:val="28"/>
          <w:szCs w:val="28"/>
        </w:rPr>
        <w:lastRenderedPageBreak/>
        <w:t>are not parties to</w:t>
      </w:r>
      <w:r w:rsidRPr="00717A96">
        <w:rPr>
          <w:spacing w:val="-3"/>
          <w:sz w:val="28"/>
          <w:szCs w:val="28"/>
        </w:rPr>
        <w:t xml:space="preserve"> criminal proceeding</w:t>
      </w:r>
      <w:r>
        <w:rPr>
          <w:spacing w:val="-3"/>
          <w:sz w:val="28"/>
          <w:szCs w:val="28"/>
        </w:rPr>
        <w:t>s</w:t>
      </w:r>
      <w:r w:rsidRPr="00717A96">
        <w:rPr>
          <w:spacing w:val="-3"/>
          <w:sz w:val="28"/>
          <w:szCs w:val="28"/>
        </w:rPr>
        <w:t xml:space="preserve"> and may not challenge the legal rulings of trial judges pertaining to the merits of a criminal case. </w:t>
      </w:r>
    </w:p>
    <w:p w:rsidR="005F7081" w:rsidRPr="00FE6C02" w:rsidRDefault="005F7081" w:rsidP="005F7081">
      <w:pPr>
        <w:spacing w:line="480" w:lineRule="auto"/>
        <w:ind w:firstLine="720"/>
        <w:jc w:val="both"/>
        <w:rPr>
          <w:sz w:val="28"/>
          <w:szCs w:val="28"/>
        </w:rPr>
      </w:pPr>
      <w:r>
        <w:rPr>
          <w:spacing w:val="-3"/>
          <w:sz w:val="28"/>
          <w:szCs w:val="28"/>
        </w:rPr>
        <w:t>Article 2, Section 2.1(A) of the Arizona Constitution, otherwise referred to as the Victims’ Bill of Rights (VBR), provides</w:t>
      </w:r>
      <w:r w:rsidRPr="00717A96">
        <w:rPr>
          <w:spacing w:val="-3"/>
          <w:sz w:val="28"/>
          <w:szCs w:val="28"/>
        </w:rPr>
        <w:t xml:space="preserve"> that victims have a right to have “all rules governing criminal procedure and th</w:t>
      </w:r>
      <w:r>
        <w:rPr>
          <w:spacing w:val="-3"/>
          <w:sz w:val="28"/>
          <w:szCs w:val="28"/>
        </w:rPr>
        <w:t xml:space="preserve">e admissibility of evidence” </w:t>
      </w:r>
      <w:r w:rsidRPr="00717A96">
        <w:rPr>
          <w:spacing w:val="-3"/>
          <w:sz w:val="28"/>
          <w:szCs w:val="28"/>
        </w:rPr>
        <w:t>protect</w:t>
      </w:r>
      <w:r>
        <w:rPr>
          <w:spacing w:val="-3"/>
          <w:sz w:val="28"/>
          <w:szCs w:val="28"/>
        </w:rPr>
        <w:t xml:space="preserve"> victims. (</w:t>
      </w:r>
      <w:r>
        <w:rPr>
          <w:i/>
          <w:spacing w:val="-3"/>
          <w:sz w:val="28"/>
          <w:szCs w:val="28"/>
        </w:rPr>
        <w:t xml:space="preserve">Id. </w:t>
      </w:r>
      <w:r>
        <w:rPr>
          <w:spacing w:val="-3"/>
          <w:sz w:val="28"/>
          <w:szCs w:val="28"/>
        </w:rPr>
        <w:t>at Section 2.1(A</w:t>
      </w:r>
      <w:proofErr w:type="gramStart"/>
      <w:r>
        <w:rPr>
          <w:spacing w:val="-3"/>
          <w:sz w:val="28"/>
          <w:szCs w:val="28"/>
        </w:rPr>
        <w:t>)(</w:t>
      </w:r>
      <w:proofErr w:type="gramEnd"/>
      <w:r>
        <w:rPr>
          <w:spacing w:val="-3"/>
          <w:sz w:val="28"/>
          <w:szCs w:val="28"/>
        </w:rPr>
        <w:t>11)).  However, this court has held</w:t>
      </w:r>
      <w:r w:rsidRPr="00717A96">
        <w:rPr>
          <w:spacing w:val="-3"/>
          <w:sz w:val="28"/>
          <w:szCs w:val="28"/>
        </w:rPr>
        <w:t xml:space="preserve"> that this provision is to be “narrowly construed” to “deal</w:t>
      </w:r>
      <w:r>
        <w:rPr>
          <w:spacing w:val="-3"/>
          <w:sz w:val="28"/>
          <w:szCs w:val="28"/>
        </w:rPr>
        <w:t xml:space="preserve"> </w:t>
      </w:r>
      <w:r w:rsidRPr="00717A96">
        <w:rPr>
          <w:spacing w:val="-3"/>
          <w:sz w:val="28"/>
          <w:szCs w:val="28"/>
        </w:rPr>
        <w:t xml:space="preserve">[] with procedural rules </w:t>
      </w:r>
      <w:r w:rsidRPr="00717A96">
        <w:rPr>
          <w:i/>
          <w:spacing w:val="-3"/>
          <w:sz w:val="28"/>
          <w:szCs w:val="28"/>
        </w:rPr>
        <w:t>pertaining to victims</w:t>
      </w:r>
      <w:r w:rsidRPr="00717A96">
        <w:rPr>
          <w:spacing w:val="-3"/>
          <w:sz w:val="28"/>
          <w:szCs w:val="28"/>
        </w:rPr>
        <w:t xml:space="preserve"> and not with the subst</w:t>
      </w:r>
      <w:r>
        <w:rPr>
          <w:spacing w:val="-3"/>
          <w:sz w:val="28"/>
          <w:szCs w:val="28"/>
        </w:rPr>
        <w:t>antive general subject of the [Supreme C</w:t>
      </w:r>
      <w:r w:rsidRPr="00717A96">
        <w:rPr>
          <w:spacing w:val="-3"/>
          <w:sz w:val="28"/>
          <w:szCs w:val="28"/>
        </w:rPr>
        <w:t>ourt’s] rule making power.”</w:t>
      </w:r>
      <w:r>
        <w:rPr>
          <w:spacing w:val="-3"/>
          <w:sz w:val="28"/>
          <w:szCs w:val="28"/>
        </w:rPr>
        <w:t xml:space="preserve"> </w:t>
      </w:r>
      <w:r w:rsidRPr="005E7E30">
        <w:rPr>
          <w:i/>
          <w:sz w:val="28"/>
          <w:szCs w:val="28"/>
        </w:rPr>
        <w:t xml:space="preserve">Slayton v. Shumway, </w:t>
      </w:r>
      <w:r w:rsidRPr="005E7E30">
        <w:rPr>
          <w:sz w:val="28"/>
          <w:szCs w:val="28"/>
        </w:rPr>
        <w:t>166 Ariz. 87, 92 (</w:t>
      </w:r>
      <w:proofErr w:type="gramStart"/>
      <w:r w:rsidRPr="005E7E30">
        <w:rPr>
          <w:sz w:val="28"/>
          <w:szCs w:val="28"/>
        </w:rPr>
        <w:t>1990)</w:t>
      </w:r>
      <w:r>
        <w:rPr>
          <w:sz w:val="28"/>
          <w:szCs w:val="28"/>
        </w:rPr>
        <w:t>(</w:t>
      </w:r>
      <w:proofErr w:type="gramEnd"/>
      <w:r>
        <w:rPr>
          <w:sz w:val="28"/>
          <w:szCs w:val="28"/>
        </w:rPr>
        <w:t>emphasis added).</w:t>
      </w:r>
    </w:p>
    <w:p w:rsidR="005F7081" w:rsidRDefault="005F7081" w:rsidP="005F7081">
      <w:pPr>
        <w:pStyle w:val="FootnoteText"/>
        <w:spacing w:line="480" w:lineRule="auto"/>
        <w:ind w:right="90" w:firstLine="720"/>
        <w:jc w:val="both"/>
        <w:rPr>
          <w:spacing w:val="-3"/>
          <w:sz w:val="28"/>
          <w:szCs w:val="28"/>
        </w:rPr>
      </w:pPr>
      <w:r w:rsidRPr="0048001F">
        <w:rPr>
          <w:spacing w:val="-3"/>
          <w:sz w:val="28"/>
          <w:szCs w:val="28"/>
        </w:rPr>
        <w:t xml:space="preserve">Since </w:t>
      </w:r>
      <w:r w:rsidRPr="0048001F">
        <w:rPr>
          <w:i/>
          <w:spacing w:val="-3"/>
          <w:sz w:val="28"/>
          <w:szCs w:val="28"/>
        </w:rPr>
        <w:t>Slayton</w:t>
      </w:r>
      <w:r>
        <w:rPr>
          <w:i/>
          <w:spacing w:val="-3"/>
          <w:sz w:val="28"/>
          <w:szCs w:val="28"/>
        </w:rPr>
        <w:t xml:space="preserve"> </w:t>
      </w:r>
      <w:r>
        <w:rPr>
          <w:spacing w:val="-3"/>
          <w:sz w:val="28"/>
          <w:szCs w:val="28"/>
        </w:rPr>
        <w:t xml:space="preserve">was decided, </w:t>
      </w:r>
      <w:r w:rsidRPr="0048001F">
        <w:rPr>
          <w:spacing w:val="-3"/>
          <w:sz w:val="28"/>
          <w:szCs w:val="28"/>
        </w:rPr>
        <w:t xml:space="preserve">Arizona has consistently </w:t>
      </w:r>
      <w:r>
        <w:rPr>
          <w:spacing w:val="-3"/>
          <w:sz w:val="28"/>
          <w:szCs w:val="28"/>
        </w:rPr>
        <w:t>reaffirmed its holding:</w:t>
      </w:r>
    </w:p>
    <w:p w:rsidR="005F7081" w:rsidRDefault="005F7081" w:rsidP="005F7081">
      <w:pPr>
        <w:pStyle w:val="FootnoteText"/>
        <w:ind w:left="1440" w:right="1440"/>
        <w:jc w:val="both"/>
        <w:rPr>
          <w:sz w:val="28"/>
          <w:szCs w:val="28"/>
        </w:rPr>
      </w:pPr>
      <w:r>
        <w:rPr>
          <w:spacing w:val="-3"/>
          <w:sz w:val="28"/>
          <w:szCs w:val="28"/>
        </w:rPr>
        <w:t>[T</w:t>
      </w:r>
      <w:r w:rsidRPr="0048001F">
        <w:rPr>
          <w:spacing w:val="-3"/>
          <w:sz w:val="28"/>
          <w:szCs w:val="28"/>
        </w:rPr>
        <w:t>he</w:t>
      </w:r>
      <w:r>
        <w:rPr>
          <w:spacing w:val="-3"/>
          <w:sz w:val="28"/>
          <w:szCs w:val="28"/>
        </w:rPr>
        <w:t>] ‘</w:t>
      </w:r>
      <w:r w:rsidRPr="0048001F">
        <w:rPr>
          <w:spacing w:val="-3"/>
          <w:sz w:val="28"/>
          <w:szCs w:val="28"/>
        </w:rPr>
        <w:t xml:space="preserve">scope of legislative rulemaking power under </w:t>
      </w:r>
      <w:r>
        <w:rPr>
          <w:spacing w:val="-3"/>
          <w:sz w:val="28"/>
          <w:szCs w:val="28"/>
        </w:rPr>
        <w:t xml:space="preserve">[the] </w:t>
      </w:r>
      <w:r w:rsidRPr="0048001F">
        <w:rPr>
          <w:spacing w:val="-3"/>
          <w:sz w:val="28"/>
          <w:szCs w:val="28"/>
        </w:rPr>
        <w:t xml:space="preserve">VBR extends to those rules that define, implement, preserve and protect </w:t>
      </w:r>
      <w:r w:rsidRPr="0048001F">
        <w:rPr>
          <w:i/>
          <w:spacing w:val="-3"/>
          <w:sz w:val="28"/>
          <w:szCs w:val="28"/>
        </w:rPr>
        <w:t>the specific</w:t>
      </w:r>
      <w:r w:rsidRPr="0048001F">
        <w:rPr>
          <w:spacing w:val="-3"/>
          <w:sz w:val="28"/>
          <w:szCs w:val="28"/>
        </w:rPr>
        <w:t xml:space="preserve"> rights </w:t>
      </w:r>
      <w:r w:rsidRPr="0048001F">
        <w:rPr>
          <w:i/>
          <w:spacing w:val="-3"/>
          <w:sz w:val="28"/>
          <w:szCs w:val="28"/>
        </w:rPr>
        <w:t xml:space="preserve">unique </w:t>
      </w:r>
      <w:r w:rsidRPr="0048001F">
        <w:rPr>
          <w:spacing w:val="-3"/>
          <w:sz w:val="28"/>
          <w:szCs w:val="28"/>
        </w:rPr>
        <w:t>and particular</w:t>
      </w:r>
      <w:r>
        <w:rPr>
          <w:spacing w:val="-3"/>
          <w:sz w:val="28"/>
          <w:szCs w:val="28"/>
        </w:rPr>
        <w:t xml:space="preserve"> </w:t>
      </w:r>
      <w:r w:rsidRPr="0048001F">
        <w:rPr>
          <w:sz w:val="28"/>
          <w:szCs w:val="28"/>
        </w:rPr>
        <w:t xml:space="preserve">to crime victims, as guaranteed and </w:t>
      </w:r>
      <w:r w:rsidRPr="0048001F">
        <w:rPr>
          <w:i/>
          <w:sz w:val="28"/>
          <w:szCs w:val="28"/>
        </w:rPr>
        <w:t xml:space="preserve">created by </w:t>
      </w:r>
      <w:r>
        <w:rPr>
          <w:sz w:val="28"/>
          <w:szCs w:val="28"/>
        </w:rPr>
        <w:t xml:space="preserve">[the] VBR.’ </w:t>
      </w:r>
    </w:p>
    <w:p w:rsidR="005F7081" w:rsidRDefault="005F7081" w:rsidP="005F7081">
      <w:pPr>
        <w:pStyle w:val="FootnoteText"/>
        <w:ind w:right="1440"/>
        <w:jc w:val="both"/>
        <w:rPr>
          <w:sz w:val="28"/>
          <w:szCs w:val="28"/>
        </w:rPr>
      </w:pPr>
    </w:p>
    <w:p w:rsidR="005F7081" w:rsidRDefault="005F7081" w:rsidP="005F7081">
      <w:pPr>
        <w:pStyle w:val="FootnoteText"/>
        <w:ind w:right="90"/>
        <w:jc w:val="both"/>
        <w:rPr>
          <w:sz w:val="28"/>
          <w:szCs w:val="28"/>
        </w:rPr>
      </w:pPr>
      <w:r w:rsidRPr="005E7E30">
        <w:rPr>
          <w:i/>
          <w:sz w:val="28"/>
          <w:szCs w:val="28"/>
        </w:rPr>
        <w:t xml:space="preserve">State v. Brown, </w:t>
      </w:r>
      <w:r w:rsidRPr="005E7E30">
        <w:rPr>
          <w:sz w:val="28"/>
          <w:szCs w:val="28"/>
        </w:rPr>
        <w:t>194 Ariz. 340, 343 (1999)</w:t>
      </w:r>
      <w:r w:rsidRPr="005E7E30">
        <w:rPr>
          <w:spacing w:val="-3"/>
          <w:sz w:val="28"/>
          <w:szCs w:val="28"/>
        </w:rPr>
        <w:t xml:space="preserve"> (emphasis</w:t>
      </w:r>
      <w:r w:rsidRPr="005E7E30">
        <w:rPr>
          <w:sz w:val="28"/>
          <w:szCs w:val="28"/>
        </w:rPr>
        <w:t xml:space="preserve"> added); </w:t>
      </w:r>
      <w:r w:rsidRPr="005E7E30">
        <w:rPr>
          <w:i/>
          <w:sz w:val="28"/>
          <w:szCs w:val="28"/>
        </w:rPr>
        <w:t>See also</w:t>
      </w:r>
      <w:r w:rsidRPr="005E7E30">
        <w:rPr>
          <w:sz w:val="28"/>
          <w:szCs w:val="28"/>
        </w:rPr>
        <w:t xml:space="preserve">, </w:t>
      </w:r>
      <w:r w:rsidRPr="005E7E30">
        <w:rPr>
          <w:i/>
          <w:sz w:val="28"/>
          <w:szCs w:val="28"/>
        </w:rPr>
        <w:t xml:space="preserve">Champlin v. </w:t>
      </w:r>
      <w:proofErr w:type="spellStart"/>
      <w:r w:rsidRPr="005E7E30">
        <w:rPr>
          <w:i/>
          <w:sz w:val="28"/>
          <w:szCs w:val="28"/>
        </w:rPr>
        <w:t>Sargeant</w:t>
      </w:r>
      <w:proofErr w:type="spellEnd"/>
      <w:r w:rsidRPr="005E7E30">
        <w:rPr>
          <w:i/>
          <w:sz w:val="28"/>
          <w:szCs w:val="28"/>
        </w:rPr>
        <w:t xml:space="preserve">, </w:t>
      </w:r>
      <w:r w:rsidRPr="005E7E30">
        <w:rPr>
          <w:sz w:val="28"/>
          <w:szCs w:val="28"/>
        </w:rPr>
        <w:t>192 Ariz. 371, 373 n. 2 (1998)</w:t>
      </w:r>
      <w:r w:rsidRPr="005E7E30">
        <w:rPr>
          <w:i/>
          <w:sz w:val="28"/>
          <w:szCs w:val="28"/>
        </w:rPr>
        <w:t xml:space="preserve"> </w:t>
      </w:r>
      <w:r w:rsidRPr="005E7E30">
        <w:rPr>
          <w:sz w:val="28"/>
          <w:szCs w:val="28"/>
        </w:rPr>
        <w:t>(rulemaking power under VBR “extends only so far as necessary to protect rights created by</w:t>
      </w:r>
      <w:r w:rsidRPr="005E7E30">
        <w:rPr>
          <w:i/>
          <w:sz w:val="28"/>
          <w:szCs w:val="28"/>
        </w:rPr>
        <w:t xml:space="preserve"> </w:t>
      </w:r>
      <w:r w:rsidRPr="005E7E30">
        <w:rPr>
          <w:sz w:val="28"/>
          <w:szCs w:val="28"/>
        </w:rPr>
        <w:t xml:space="preserve">the [VBR] and not beyond.”); </w:t>
      </w:r>
      <w:r w:rsidRPr="005E7E30">
        <w:rPr>
          <w:i/>
          <w:sz w:val="28"/>
          <w:szCs w:val="28"/>
        </w:rPr>
        <w:t>State v. Hansen</w:t>
      </w:r>
      <w:r w:rsidRPr="005E7E30">
        <w:rPr>
          <w:sz w:val="28"/>
          <w:szCs w:val="28"/>
        </w:rPr>
        <w:t>, 215 Ariz. 287, 290 (2007) (same).</w:t>
      </w:r>
    </w:p>
    <w:p w:rsidR="005F7081" w:rsidRPr="005E7E30" w:rsidRDefault="005F7081" w:rsidP="005F7081">
      <w:pPr>
        <w:pStyle w:val="FootnoteText"/>
        <w:ind w:right="90"/>
        <w:jc w:val="both"/>
        <w:rPr>
          <w:sz w:val="28"/>
          <w:szCs w:val="28"/>
        </w:rPr>
      </w:pPr>
    </w:p>
    <w:p w:rsidR="005F7081" w:rsidRPr="005E7E30" w:rsidRDefault="005F7081" w:rsidP="005F7081">
      <w:pPr>
        <w:pStyle w:val="FootnoteText"/>
        <w:spacing w:line="480" w:lineRule="auto"/>
        <w:ind w:firstLine="720"/>
        <w:jc w:val="both"/>
        <w:rPr>
          <w:sz w:val="28"/>
          <w:szCs w:val="28"/>
        </w:rPr>
      </w:pPr>
      <w:r w:rsidRPr="0048001F">
        <w:rPr>
          <w:i/>
          <w:spacing w:val="-3"/>
          <w:sz w:val="28"/>
          <w:szCs w:val="28"/>
        </w:rPr>
        <w:t>Slayton</w:t>
      </w:r>
      <w:r w:rsidRPr="0048001F">
        <w:rPr>
          <w:sz w:val="28"/>
          <w:szCs w:val="28"/>
        </w:rPr>
        <w:t xml:space="preserve"> </w:t>
      </w:r>
      <w:r>
        <w:rPr>
          <w:sz w:val="28"/>
          <w:szCs w:val="28"/>
        </w:rPr>
        <w:t>and its progeny make it</w:t>
      </w:r>
      <w:r w:rsidRPr="0048001F">
        <w:rPr>
          <w:sz w:val="28"/>
          <w:szCs w:val="28"/>
        </w:rPr>
        <w:t xml:space="preserve"> clear that </w:t>
      </w:r>
      <w:r>
        <w:rPr>
          <w:sz w:val="28"/>
          <w:szCs w:val="28"/>
        </w:rPr>
        <w:t xml:space="preserve">the </w:t>
      </w:r>
      <w:r w:rsidRPr="0048001F">
        <w:rPr>
          <w:sz w:val="28"/>
          <w:szCs w:val="28"/>
        </w:rPr>
        <w:t>VBR</w:t>
      </w:r>
      <w:r>
        <w:rPr>
          <w:sz w:val="28"/>
          <w:szCs w:val="28"/>
        </w:rPr>
        <w:t>, Article 2, S</w:t>
      </w:r>
      <w:r w:rsidRPr="0048001F">
        <w:rPr>
          <w:sz w:val="28"/>
          <w:szCs w:val="28"/>
        </w:rPr>
        <w:t>ection 2.1(A</w:t>
      </w:r>
      <w:proofErr w:type="gramStart"/>
      <w:r w:rsidRPr="0048001F">
        <w:rPr>
          <w:sz w:val="28"/>
          <w:szCs w:val="28"/>
        </w:rPr>
        <w:t>)(</w:t>
      </w:r>
      <w:proofErr w:type="gramEnd"/>
      <w:r w:rsidRPr="0048001F">
        <w:rPr>
          <w:sz w:val="28"/>
          <w:szCs w:val="28"/>
        </w:rPr>
        <w:t>11)</w:t>
      </w:r>
      <w:r>
        <w:rPr>
          <w:sz w:val="28"/>
          <w:szCs w:val="28"/>
        </w:rPr>
        <w:t>,</w:t>
      </w:r>
      <w:r w:rsidRPr="0048001F">
        <w:rPr>
          <w:sz w:val="28"/>
          <w:szCs w:val="28"/>
        </w:rPr>
        <w:t xml:space="preserve"> cannot and does not require consideration of victim rights in connection with </w:t>
      </w:r>
      <w:r w:rsidRPr="0048001F">
        <w:rPr>
          <w:i/>
          <w:sz w:val="28"/>
          <w:szCs w:val="28"/>
        </w:rPr>
        <w:t>all</w:t>
      </w:r>
      <w:r w:rsidRPr="0048001F">
        <w:rPr>
          <w:sz w:val="28"/>
          <w:szCs w:val="28"/>
        </w:rPr>
        <w:t xml:space="preserve"> evidentiary matters and </w:t>
      </w:r>
      <w:r w:rsidRPr="0048001F">
        <w:rPr>
          <w:i/>
          <w:sz w:val="28"/>
          <w:szCs w:val="28"/>
        </w:rPr>
        <w:t>all</w:t>
      </w:r>
      <w:r w:rsidRPr="0048001F">
        <w:rPr>
          <w:sz w:val="28"/>
          <w:szCs w:val="28"/>
        </w:rPr>
        <w:t xml:space="preserve"> Arizona Rules of Criminal Procedure.</w:t>
      </w:r>
      <w:r>
        <w:rPr>
          <w:sz w:val="28"/>
          <w:szCs w:val="28"/>
        </w:rPr>
        <w:t xml:space="preserve"> </w:t>
      </w:r>
      <w:r w:rsidRPr="005E7E30">
        <w:rPr>
          <w:i/>
          <w:sz w:val="28"/>
          <w:szCs w:val="28"/>
        </w:rPr>
        <w:t xml:space="preserve">Slayton, </w:t>
      </w:r>
      <w:r w:rsidRPr="005E7E30">
        <w:rPr>
          <w:sz w:val="28"/>
          <w:szCs w:val="28"/>
        </w:rPr>
        <w:t>166 Ariz. at 89, 92.</w:t>
      </w:r>
    </w:p>
    <w:p w:rsidR="005F7081" w:rsidRPr="005233D2" w:rsidRDefault="005F7081" w:rsidP="005F7081">
      <w:pPr>
        <w:spacing w:line="480" w:lineRule="auto"/>
        <w:ind w:firstLine="720"/>
        <w:jc w:val="both"/>
        <w:rPr>
          <w:i/>
          <w:sz w:val="28"/>
          <w:szCs w:val="28"/>
        </w:rPr>
      </w:pPr>
      <w:r>
        <w:rPr>
          <w:sz w:val="28"/>
          <w:szCs w:val="28"/>
        </w:rPr>
        <w:lastRenderedPageBreak/>
        <w:t>As before, the Petition seeks to abrogate Rule 39. (</w:t>
      </w:r>
      <w:r>
        <w:rPr>
          <w:i/>
          <w:sz w:val="28"/>
          <w:szCs w:val="28"/>
        </w:rPr>
        <w:t xml:space="preserve">See, </w:t>
      </w:r>
      <w:r>
        <w:rPr>
          <w:sz w:val="28"/>
          <w:szCs w:val="28"/>
        </w:rPr>
        <w:t xml:space="preserve">Appendix A of the Petition at pp. 63-68).  The Petition asserts that abrogating Rule 39 and integrating its provisions into the remaining Rules of Criminal Procedure will not create new victims’ rights. (Petition at 6, l. 6-7).  However, many of the proposed modifications discussed in Exhibit A, below, clearly </w:t>
      </w:r>
      <w:r w:rsidRPr="00B56A48">
        <w:rPr>
          <w:sz w:val="28"/>
          <w:szCs w:val="28"/>
        </w:rPr>
        <w:t xml:space="preserve">attempt to create victim rights where no such right exists in </w:t>
      </w:r>
      <w:r>
        <w:rPr>
          <w:sz w:val="28"/>
          <w:szCs w:val="28"/>
        </w:rPr>
        <w:t xml:space="preserve">either </w:t>
      </w:r>
      <w:r w:rsidRPr="00B56A48">
        <w:rPr>
          <w:sz w:val="28"/>
          <w:szCs w:val="28"/>
        </w:rPr>
        <w:t>Article</w:t>
      </w:r>
      <w:r>
        <w:rPr>
          <w:sz w:val="28"/>
          <w:szCs w:val="28"/>
        </w:rPr>
        <w:t xml:space="preserve"> 2, Section</w:t>
      </w:r>
      <w:r w:rsidRPr="00B56A48">
        <w:rPr>
          <w:sz w:val="28"/>
          <w:szCs w:val="28"/>
        </w:rPr>
        <w:t xml:space="preserve"> 2.1 </w:t>
      </w:r>
      <w:r>
        <w:rPr>
          <w:sz w:val="28"/>
          <w:szCs w:val="28"/>
        </w:rPr>
        <w:t>of the Arizona Constitution,</w:t>
      </w:r>
      <w:r w:rsidRPr="00B56A48">
        <w:rPr>
          <w:sz w:val="28"/>
          <w:szCs w:val="28"/>
        </w:rPr>
        <w:t xml:space="preserve"> </w:t>
      </w:r>
      <w:r>
        <w:rPr>
          <w:sz w:val="28"/>
          <w:szCs w:val="28"/>
        </w:rPr>
        <w:t xml:space="preserve">Rule 39 of the Rules of Criminal Procedure, or the </w:t>
      </w:r>
      <w:r w:rsidRPr="00B56A48">
        <w:rPr>
          <w:sz w:val="28"/>
          <w:szCs w:val="28"/>
        </w:rPr>
        <w:t>implementing statutes</w:t>
      </w:r>
      <w:r>
        <w:rPr>
          <w:sz w:val="28"/>
          <w:szCs w:val="28"/>
        </w:rPr>
        <w:t xml:space="preserve">, A.R.S. </w:t>
      </w:r>
      <w:r w:rsidRPr="00A551D4">
        <w:rPr>
          <w:sz w:val="28"/>
          <w:szCs w:val="28"/>
        </w:rPr>
        <w:t>§§</w:t>
      </w:r>
      <w:r>
        <w:rPr>
          <w:sz w:val="28"/>
          <w:szCs w:val="28"/>
        </w:rPr>
        <w:t xml:space="preserve">13-4401, </w:t>
      </w:r>
      <w:r w:rsidRPr="005233D2">
        <w:rPr>
          <w:i/>
          <w:sz w:val="28"/>
          <w:szCs w:val="28"/>
        </w:rPr>
        <w:t>et. seq.</w:t>
      </w:r>
    </w:p>
    <w:p w:rsidR="005F7081" w:rsidRPr="003340B8" w:rsidRDefault="005F7081" w:rsidP="005F7081">
      <w:pPr>
        <w:tabs>
          <w:tab w:val="left" w:pos="-720"/>
        </w:tabs>
        <w:suppressAutoHyphens/>
        <w:spacing w:line="480" w:lineRule="auto"/>
        <w:ind w:right="90" w:firstLine="720"/>
        <w:jc w:val="both"/>
        <w:rPr>
          <w:sz w:val="28"/>
          <w:szCs w:val="28"/>
        </w:rPr>
      </w:pPr>
      <w:r>
        <w:rPr>
          <w:sz w:val="28"/>
          <w:szCs w:val="28"/>
        </w:rPr>
        <w:t>Like last year’s petition, the changes sought by R-19-0016 are too numerous to address in a memorandum format.  Attached to this Comment as Exhibit A is an analysis of many of the proposals contained within Petition R-19-0016.</w:t>
      </w:r>
    </w:p>
    <w:p w:rsidR="005F7081" w:rsidRPr="00950633" w:rsidRDefault="005F7081" w:rsidP="005F7081">
      <w:pPr>
        <w:pStyle w:val="Body"/>
        <w:widowControl w:val="0"/>
        <w:spacing w:line="480" w:lineRule="auto"/>
        <w:ind w:firstLine="720"/>
        <w:jc w:val="center"/>
        <w:rPr>
          <w:b/>
          <w:sz w:val="28"/>
          <w:szCs w:val="28"/>
        </w:rPr>
      </w:pPr>
      <w:r w:rsidRPr="00950633">
        <w:rPr>
          <w:b/>
          <w:sz w:val="28"/>
          <w:szCs w:val="28"/>
        </w:rPr>
        <w:t>CONCLUSION</w:t>
      </w:r>
    </w:p>
    <w:p w:rsidR="005F7081" w:rsidRPr="00B56A48" w:rsidRDefault="005F7081" w:rsidP="005F7081">
      <w:pPr>
        <w:spacing w:line="480" w:lineRule="auto"/>
        <w:ind w:firstLine="720"/>
        <w:jc w:val="both"/>
        <w:rPr>
          <w:sz w:val="28"/>
          <w:szCs w:val="28"/>
        </w:rPr>
      </w:pPr>
      <w:r>
        <w:rPr>
          <w:sz w:val="28"/>
          <w:szCs w:val="28"/>
        </w:rPr>
        <w:t xml:space="preserve">Victims’ rights </w:t>
      </w:r>
      <w:r w:rsidRPr="00B56A48">
        <w:rPr>
          <w:sz w:val="28"/>
          <w:szCs w:val="28"/>
        </w:rPr>
        <w:t>are already succinctly stated in Rule 39</w:t>
      </w:r>
      <w:r>
        <w:rPr>
          <w:sz w:val="28"/>
          <w:szCs w:val="28"/>
        </w:rPr>
        <w:t xml:space="preserve">, Ariz. Rules of Crim. Pro., and many are duplicated in the Arizona statutes.  The Petition seeks to abrogate Rule 39 and redistribute the enumerated victims’ rights throughout virtually every other Rule of Criminal Procedure.  Such an overhaul and redistribution of Rule 39’s protections remove from the rules an easily accessible, comprehensive listing of all victims’ rights.  In addition to creating rights where none currently exist, this petition will not provide attorneys and judges with a better understanding of victims’ rights.  It will have the opposite result, making it more difficult for Victims, the Courts, the </w:t>
      </w:r>
      <w:r>
        <w:rPr>
          <w:sz w:val="28"/>
          <w:szCs w:val="28"/>
        </w:rPr>
        <w:lastRenderedPageBreak/>
        <w:t xml:space="preserve">State, and the Defense, to understand the scope of victims’ rights, to access the rights, and to determine how to apply the law to victims’ rights.  </w:t>
      </w:r>
    </w:p>
    <w:p w:rsidR="005F7081" w:rsidRDefault="005F7081" w:rsidP="005F7081">
      <w:pPr>
        <w:pStyle w:val="Body"/>
        <w:widowControl w:val="0"/>
        <w:spacing w:line="480" w:lineRule="auto"/>
        <w:ind w:firstLine="720"/>
        <w:jc w:val="both"/>
        <w:rPr>
          <w:sz w:val="28"/>
          <w:szCs w:val="28"/>
        </w:rPr>
      </w:pPr>
      <w:r>
        <w:rPr>
          <w:sz w:val="28"/>
          <w:szCs w:val="28"/>
        </w:rPr>
        <w:t xml:space="preserve">Modification and/or expansion of Victims’ Rights coupled with a substantial overhaul of the newly modified Rules of Criminal Procedure should proceed through consultation, review, and discussion with other interested members of the criminal justice system such as State, County, and Municipal Prosecution Agencies, the Defense Bar, and members of the State, County, and Municipal Judiciary. </w:t>
      </w:r>
    </w:p>
    <w:p w:rsidR="005F7081" w:rsidRPr="0024734A" w:rsidRDefault="005F7081" w:rsidP="005F7081">
      <w:pPr>
        <w:pStyle w:val="Body"/>
        <w:widowControl w:val="0"/>
        <w:spacing w:after="120" w:line="480" w:lineRule="auto"/>
        <w:ind w:firstLine="720"/>
        <w:jc w:val="both"/>
        <w:rPr>
          <w:sz w:val="28"/>
          <w:szCs w:val="28"/>
        </w:rPr>
      </w:pPr>
      <w:r w:rsidRPr="0024734A">
        <w:rPr>
          <w:sz w:val="28"/>
          <w:szCs w:val="28"/>
        </w:rPr>
        <w:t>For the above-stated reasons, the State Bar of Arizona respectfully requests that the Arizona Supreme Court not amend the Criminal Rules as requested in the Petition.</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5F7081" w:rsidRPr="00C52E56" w:rsidRDefault="005F7081"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476ED"/>
    <w:multiLevelType w:val="hybridMultilevel"/>
    <w:tmpl w:val="EC948A8E"/>
    <w:lvl w:ilvl="0" w:tplc="BC0A54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5F7081"/>
    <w:rsid w:val="006338C1"/>
    <w:rsid w:val="00636F5E"/>
    <w:rsid w:val="00665CCF"/>
    <w:rsid w:val="006666D1"/>
    <w:rsid w:val="006721EC"/>
    <w:rsid w:val="006766BF"/>
    <w:rsid w:val="00692391"/>
    <w:rsid w:val="006932BA"/>
    <w:rsid w:val="006B4F9A"/>
    <w:rsid w:val="006C4454"/>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6EE0D-58DC-4E33-B073-E738EB8A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5</Pages>
  <Words>1019</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2019-05-01T21:47:00Z</dcterms:created>
  <dcterms:modified xsi:type="dcterms:W3CDTF">2019-05-01T23:39:00Z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