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8C09B" w14:textId="15FF8DB1" w:rsidR="00A72DC0" w:rsidRPr="00D866C1" w:rsidRDefault="00A72DC0">
      <w:pPr>
        <w:spacing w:after="160" w:line="259" w:lineRule="auto"/>
        <w:rPr>
          <w:b/>
          <w:sz w:val="28"/>
          <w:szCs w:val="28"/>
        </w:rPr>
      </w:pPr>
    </w:p>
    <w:p w14:paraId="40FBD565" w14:textId="1BB70121" w:rsidR="00C60C3B" w:rsidRPr="00D866C1" w:rsidRDefault="00B75EB9" w:rsidP="0027381A">
      <w:pPr>
        <w:tabs>
          <w:tab w:val="left" w:pos="8145"/>
        </w:tabs>
        <w:spacing w:after="120"/>
        <w:jc w:val="center"/>
        <w:rPr>
          <w:b/>
          <w:sz w:val="28"/>
          <w:szCs w:val="28"/>
        </w:rPr>
      </w:pPr>
      <w:r w:rsidRPr="00D866C1">
        <w:rPr>
          <w:b/>
          <w:sz w:val="28"/>
          <w:szCs w:val="28"/>
        </w:rPr>
        <w:t>Exhibit</w:t>
      </w:r>
      <w:r w:rsidR="00C60C3B" w:rsidRPr="00D866C1">
        <w:rPr>
          <w:b/>
          <w:sz w:val="28"/>
          <w:szCs w:val="28"/>
        </w:rPr>
        <w:t xml:space="preserve"> A</w:t>
      </w:r>
      <w:r w:rsidRPr="00D866C1">
        <w:rPr>
          <w:b/>
          <w:sz w:val="28"/>
          <w:szCs w:val="28"/>
        </w:rPr>
        <w:t xml:space="preserve"> </w:t>
      </w:r>
      <w:bookmarkStart w:id="0" w:name="_GoBack"/>
      <w:bookmarkEnd w:id="0"/>
    </w:p>
    <w:p w14:paraId="183663C1" w14:textId="77777777" w:rsidR="00C60C3B" w:rsidRPr="00D866C1" w:rsidRDefault="00C60C3B" w:rsidP="0027381A">
      <w:pPr>
        <w:tabs>
          <w:tab w:val="left" w:pos="8145"/>
        </w:tabs>
        <w:spacing w:line="240" w:lineRule="auto"/>
        <w:rPr>
          <w:b/>
          <w:sz w:val="28"/>
          <w:szCs w:val="28"/>
        </w:rPr>
      </w:pPr>
      <w:r w:rsidRPr="00D866C1">
        <w:rPr>
          <w:b/>
          <w:sz w:val="28"/>
          <w:szCs w:val="28"/>
        </w:rPr>
        <w:t>Rule 18.5, Arizona Rules of Criminal Procedure.</w:t>
      </w:r>
    </w:p>
    <w:p w14:paraId="799D9157" w14:textId="77777777" w:rsidR="00C60C3B" w:rsidRPr="00D866C1" w:rsidRDefault="00C60C3B" w:rsidP="00C60C3B">
      <w:pPr>
        <w:jc w:val="both"/>
        <w:rPr>
          <w:b/>
          <w:sz w:val="28"/>
          <w:szCs w:val="28"/>
        </w:rPr>
      </w:pPr>
      <w:r w:rsidRPr="00D866C1">
        <w:rPr>
          <w:b/>
          <w:sz w:val="28"/>
          <w:szCs w:val="28"/>
        </w:rPr>
        <w:tab/>
        <w:t xml:space="preserve"> </w:t>
      </w:r>
      <w:r w:rsidRPr="00D866C1">
        <w:rPr>
          <w:sz w:val="28"/>
          <w:szCs w:val="28"/>
        </w:rPr>
        <w:t>(a)-(</w:t>
      </w:r>
      <w:proofErr w:type="spellStart"/>
      <w:r w:rsidRPr="00D866C1">
        <w:rPr>
          <w:sz w:val="28"/>
          <w:szCs w:val="28"/>
        </w:rPr>
        <w:t>i</w:t>
      </w:r>
      <w:proofErr w:type="spellEnd"/>
      <w:r w:rsidRPr="00D866C1">
        <w:rPr>
          <w:sz w:val="28"/>
          <w:szCs w:val="28"/>
        </w:rPr>
        <w:t>) [No Change.]</w:t>
      </w:r>
      <w:r w:rsidRPr="00D866C1">
        <w:rPr>
          <w:b/>
          <w:sz w:val="28"/>
          <w:szCs w:val="28"/>
        </w:rPr>
        <w:t xml:space="preserve"> </w:t>
      </w:r>
    </w:p>
    <w:p w14:paraId="2CDDB995" w14:textId="304AB2AB" w:rsidR="00C60C3B" w:rsidRPr="00D866C1" w:rsidRDefault="00C60C3B" w:rsidP="0027381A">
      <w:pPr>
        <w:tabs>
          <w:tab w:val="left" w:pos="8145"/>
        </w:tabs>
        <w:spacing w:after="120" w:line="240" w:lineRule="auto"/>
        <w:ind w:firstLine="720"/>
        <w:rPr>
          <w:sz w:val="28"/>
          <w:szCs w:val="28"/>
        </w:rPr>
      </w:pPr>
      <w:r w:rsidRPr="00D866C1">
        <w:rPr>
          <w:sz w:val="28"/>
          <w:szCs w:val="28"/>
        </w:rPr>
        <w:t xml:space="preserve">(j)  </w:t>
      </w:r>
      <w:r w:rsidRPr="00D866C1">
        <w:rPr>
          <w:b/>
          <w:sz w:val="28"/>
          <w:szCs w:val="28"/>
          <w:u w:val="single"/>
        </w:rPr>
        <w:t xml:space="preserve">Contact with Jurors.  </w:t>
      </w:r>
      <w:r w:rsidRPr="00D866C1">
        <w:rPr>
          <w:sz w:val="28"/>
          <w:szCs w:val="28"/>
          <w:u w:val="single"/>
        </w:rPr>
        <w:t>A party or a party’s representative must not have any contact with prospective jurors</w:t>
      </w:r>
      <w:r w:rsidRPr="00D866C1">
        <w:rPr>
          <w:sz w:val="28"/>
          <w:szCs w:val="28"/>
        </w:rPr>
        <w:t xml:space="preserve"> </w:t>
      </w:r>
      <w:proofErr w:type="gramStart"/>
      <w:r w:rsidRPr="00D866C1">
        <w:rPr>
          <w:b/>
          <w:color w:val="FF0000"/>
          <w:sz w:val="28"/>
          <w:szCs w:val="28"/>
          <w:u w:val="single"/>
        </w:rPr>
        <w:t>[.]</w:t>
      </w:r>
      <w:r w:rsidRPr="00D866C1">
        <w:rPr>
          <w:b/>
          <w:sz w:val="28"/>
          <w:szCs w:val="28"/>
          <w:u w:val="single"/>
        </w:rPr>
        <w:t xml:space="preserve">  </w:t>
      </w:r>
      <w:r w:rsidRPr="00D866C1">
        <w:rPr>
          <w:b/>
          <w:color w:val="FF0000"/>
          <w:sz w:val="28"/>
          <w:szCs w:val="28"/>
          <w:u w:val="single"/>
        </w:rPr>
        <w:t>Absent</w:t>
      </w:r>
      <w:proofErr w:type="gramEnd"/>
      <w:r w:rsidRPr="00D866C1">
        <w:rPr>
          <w:b/>
          <w:color w:val="FF0000"/>
          <w:sz w:val="28"/>
          <w:szCs w:val="28"/>
          <w:u w:val="single"/>
        </w:rPr>
        <w:t xml:space="preserve"> a court order, a party or a party’s representative must not have any contact with</w:t>
      </w:r>
      <w:r w:rsidRPr="00D866C1">
        <w:rPr>
          <w:color w:val="FF0000"/>
          <w:sz w:val="28"/>
          <w:szCs w:val="28"/>
        </w:rPr>
        <w:t xml:space="preserve"> </w:t>
      </w:r>
      <w:r w:rsidRPr="00D866C1">
        <w:rPr>
          <w:sz w:val="28"/>
          <w:szCs w:val="28"/>
          <w:u w:val="single"/>
        </w:rPr>
        <w:t>alternate jurors, or jurors who have not been discharged</w:t>
      </w:r>
      <w:r w:rsidRPr="00D866C1">
        <w:rPr>
          <w:sz w:val="28"/>
          <w:szCs w:val="28"/>
        </w:rPr>
        <w:t xml:space="preserve"> </w:t>
      </w:r>
      <w:r w:rsidRPr="00D866C1">
        <w:rPr>
          <w:b/>
          <w:color w:val="FF0000"/>
          <w:sz w:val="28"/>
          <w:szCs w:val="28"/>
          <w:u w:val="single"/>
        </w:rPr>
        <w:t>by the court</w:t>
      </w:r>
      <w:r w:rsidRPr="00D866C1">
        <w:rPr>
          <w:color w:val="FF0000"/>
          <w:sz w:val="28"/>
          <w:szCs w:val="28"/>
        </w:rPr>
        <w:t>.</w:t>
      </w:r>
    </w:p>
    <w:p w14:paraId="51255016" w14:textId="77777777" w:rsidR="00C60C3B" w:rsidRPr="00D866C1" w:rsidRDefault="00C60C3B" w:rsidP="00C60C3B">
      <w:pPr>
        <w:tabs>
          <w:tab w:val="left" w:pos="8145"/>
        </w:tabs>
        <w:rPr>
          <w:b/>
          <w:sz w:val="28"/>
          <w:szCs w:val="28"/>
        </w:rPr>
      </w:pPr>
      <w:r w:rsidRPr="00D866C1">
        <w:rPr>
          <w:b/>
          <w:sz w:val="28"/>
          <w:szCs w:val="28"/>
        </w:rPr>
        <w:t xml:space="preserve">Rule 22.5, Arizona Rules of Criminal Procedure. </w:t>
      </w:r>
      <w:r w:rsidRPr="00D866C1">
        <w:rPr>
          <w:sz w:val="28"/>
          <w:szCs w:val="28"/>
        </w:rPr>
        <w:t xml:space="preserve">  </w:t>
      </w:r>
      <w:r w:rsidRPr="00D866C1">
        <w:rPr>
          <w:b/>
          <w:sz w:val="28"/>
          <w:szCs w:val="28"/>
        </w:rPr>
        <w:tab/>
      </w:r>
    </w:p>
    <w:p w14:paraId="1F7E365C" w14:textId="77777777" w:rsidR="00C60C3B" w:rsidRPr="00D866C1" w:rsidRDefault="00C60C3B" w:rsidP="00C60C3B">
      <w:pPr>
        <w:pStyle w:val="ListParagraph"/>
        <w:numPr>
          <w:ilvl w:val="0"/>
          <w:numId w:val="1"/>
        </w:numPr>
        <w:spacing w:line="240" w:lineRule="auto"/>
        <w:rPr>
          <w:rFonts w:eastAsia="Calibri"/>
          <w:sz w:val="28"/>
          <w:szCs w:val="28"/>
        </w:rPr>
      </w:pPr>
      <w:r w:rsidRPr="00D866C1">
        <w:rPr>
          <w:b/>
          <w:sz w:val="28"/>
          <w:szCs w:val="28"/>
        </w:rPr>
        <w:t xml:space="preserve"> </w:t>
      </w:r>
      <w:r w:rsidRPr="00D866C1">
        <w:rPr>
          <w:rFonts w:eastAsia="Calibri"/>
          <w:sz w:val="28"/>
          <w:szCs w:val="28"/>
        </w:rPr>
        <w:t>(no change)</w:t>
      </w:r>
    </w:p>
    <w:p w14:paraId="47F81D25" w14:textId="77777777" w:rsidR="00C60C3B" w:rsidRPr="00D866C1" w:rsidRDefault="00C60C3B" w:rsidP="00B75EB9">
      <w:pPr>
        <w:numPr>
          <w:ilvl w:val="0"/>
          <w:numId w:val="1"/>
        </w:numPr>
        <w:spacing w:line="240" w:lineRule="auto"/>
        <w:contextualSpacing/>
        <w:jc w:val="both"/>
        <w:rPr>
          <w:rFonts w:eastAsia="Calibri"/>
          <w:sz w:val="28"/>
          <w:szCs w:val="28"/>
        </w:rPr>
      </w:pPr>
      <w:r w:rsidRPr="00D866C1">
        <w:rPr>
          <w:rFonts w:eastAsia="Calibri"/>
          <w:b/>
          <w:sz w:val="28"/>
          <w:szCs w:val="28"/>
        </w:rPr>
        <w:t>Disclosures and Release from Confidentiality</w:t>
      </w:r>
      <w:r w:rsidRPr="00D866C1">
        <w:rPr>
          <w:rFonts w:eastAsia="Calibri"/>
          <w:sz w:val="28"/>
          <w:szCs w:val="28"/>
        </w:rPr>
        <w:t xml:space="preserve">. When discharging a jury </w:t>
      </w:r>
      <w:proofErr w:type="gramStart"/>
      <w:r w:rsidRPr="00D866C1">
        <w:rPr>
          <w:rFonts w:eastAsia="Calibri"/>
          <w:sz w:val="28"/>
          <w:szCs w:val="28"/>
        </w:rPr>
        <w:t>at the conclusion of</w:t>
      </w:r>
      <w:proofErr w:type="gramEnd"/>
      <w:r w:rsidRPr="00D866C1">
        <w:rPr>
          <w:rFonts w:eastAsia="Calibri"/>
          <w:sz w:val="28"/>
          <w:szCs w:val="28"/>
        </w:rPr>
        <w:t xml:space="preserve"> the case, the court must advise the jurors that they are released from service. If appropriate, the court must release them from their duty of confidentiality and explain their rights regarding inquiries from </w:t>
      </w:r>
      <w:r w:rsidRPr="00D866C1">
        <w:rPr>
          <w:rFonts w:eastAsia="Calibri"/>
          <w:strike/>
          <w:sz w:val="28"/>
          <w:szCs w:val="28"/>
        </w:rPr>
        <w:t>counsel</w:t>
      </w:r>
      <w:r w:rsidRPr="00D866C1">
        <w:rPr>
          <w:rFonts w:eastAsia="Calibri"/>
          <w:sz w:val="28"/>
          <w:szCs w:val="28"/>
        </w:rPr>
        <w:t xml:space="preserve"> </w:t>
      </w:r>
      <w:r w:rsidRPr="00D866C1">
        <w:rPr>
          <w:rFonts w:eastAsia="Calibri"/>
          <w:b/>
          <w:color w:val="FF0000"/>
          <w:sz w:val="28"/>
          <w:szCs w:val="28"/>
          <w:u w:val="single"/>
        </w:rPr>
        <w:t>the parties</w:t>
      </w:r>
      <w:r w:rsidRPr="00D866C1">
        <w:rPr>
          <w:rFonts w:eastAsia="Calibri"/>
          <w:sz w:val="28"/>
          <w:szCs w:val="28"/>
        </w:rPr>
        <w:t>, the media, or any person.</w:t>
      </w:r>
    </w:p>
    <w:p w14:paraId="1482F75A" w14:textId="77777777" w:rsidR="00C60C3B" w:rsidRPr="00D866C1" w:rsidRDefault="00C60C3B" w:rsidP="00C60C3B">
      <w:pPr>
        <w:numPr>
          <w:ilvl w:val="0"/>
          <w:numId w:val="1"/>
        </w:numPr>
        <w:spacing w:line="240" w:lineRule="auto"/>
        <w:contextualSpacing/>
        <w:rPr>
          <w:rFonts w:eastAsia="Calibri"/>
          <w:sz w:val="28"/>
          <w:szCs w:val="28"/>
        </w:rPr>
      </w:pPr>
      <w:r w:rsidRPr="00D866C1">
        <w:rPr>
          <w:rFonts w:eastAsia="Calibri"/>
          <w:b/>
          <w:sz w:val="28"/>
          <w:szCs w:val="28"/>
        </w:rPr>
        <w:t>Consent to Inquiries after Discharge from Service</w:t>
      </w:r>
      <w:r w:rsidRPr="00D866C1">
        <w:rPr>
          <w:rFonts w:eastAsia="Calibri"/>
          <w:sz w:val="28"/>
          <w:szCs w:val="28"/>
        </w:rPr>
        <w:t xml:space="preserve">. </w:t>
      </w:r>
    </w:p>
    <w:p w14:paraId="7F57E22D" w14:textId="77777777" w:rsidR="00C60C3B" w:rsidRPr="00D866C1" w:rsidRDefault="00C60C3B" w:rsidP="003E337B">
      <w:pPr>
        <w:numPr>
          <w:ilvl w:val="0"/>
          <w:numId w:val="2"/>
        </w:numPr>
        <w:spacing w:line="240" w:lineRule="auto"/>
        <w:contextualSpacing/>
        <w:jc w:val="both"/>
        <w:rPr>
          <w:rFonts w:eastAsia="Calibri"/>
          <w:b/>
          <w:color w:val="FF0000"/>
          <w:sz w:val="28"/>
          <w:szCs w:val="28"/>
          <w:u w:val="single"/>
        </w:rPr>
      </w:pPr>
      <w:r w:rsidRPr="00D866C1">
        <w:rPr>
          <w:rFonts w:eastAsia="Calibri"/>
          <w:i/>
          <w:sz w:val="28"/>
          <w:szCs w:val="28"/>
        </w:rPr>
        <w:t>Notice of Rights</w:t>
      </w:r>
      <w:r w:rsidRPr="00D866C1">
        <w:rPr>
          <w:rFonts w:eastAsia="Calibri"/>
          <w:sz w:val="28"/>
          <w:szCs w:val="28"/>
        </w:rPr>
        <w:t>. Upon discharge</w:t>
      </w:r>
      <w:r w:rsidRPr="00D866C1">
        <w:rPr>
          <w:rFonts w:eastAsia="Calibri"/>
          <w:b/>
          <w:color w:val="FF0000"/>
          <w:sz w:val="28"/>
          <w:szCs w:val="28"/>
          <w:u w:val="single"/>
        </w:rPr>
        <w:t>,</w:t>
      </w:r>
      <w:r w:rsidRPr="00D866C1">
        <w:rPr>
          <w:rFonts w:eastAsia="Calibri"/>
          <w:sz w:val="28"/>
          <w:szCs w:val="28"/>
        </w:rPr>
        <w:t xml:space="preserve"> the court must inform jurors that they may agree or refuse to </w:t>
      </w:r>
      <w:r w:rsidRPr="00D866C1">
        <w:rPr>
          <w:rFonts w:eastAsia="Calibri"/>
          <w:strike/>
          <w:sz w:val="28"/>
          <w:szCs w:val="28"/>
        </w:rPr>
        <w:t>speak</w:t>
      </w:r>
      <w:r w:rsidRPr="00D866C1">
        <w:rPr>
          <w:rFonts w:eastAsia="Calibri"/>
          <w:sz w:val="28"/>
          <w:szCs w:val="28"/>
        </w:rPr>
        <w:t xml:space="preserve"> </w:t>
      </w:r>
      <w:r w:rsidRPr="00D866C1">
        <w:rPr>
          <w:rFonts w:eastAsia="Calibri"/>
          <w:b/>
          <w:color w:val="FF0000"/>
          <w:sz w:val="28"/>
          <w:szCs w:val="28"/>
          <w:u w:val="single"/>
        </w:rPr>
        <w:t>communicate</w:t>
      </w:r>
      <w:r w:rsidRPr="00D866C1">
        <w:rPr>
          <w:rFonts w:eastAsia="Calibri"/>
          <w:color w:val="FF0000"/>
          <w:sz w:val="28"/>
          <w:szCs w:val="28"/>
        </w:rPr>
        <w:t xml:space="preserve"> </w:t>
      </w:r>
      <w:r w:rsidRPr="00D866C1">
        <w:rPr>
          <w:rFonts w:eastAsia="Calibri"/>
          <w:sz w:val="28"/>
          <w:szCs w:val="28"/>
        </w:rPr>
        <w:t xml:space="preserve">with the parties about the case. The court must also inform the jurors that, if they agree </w:t>
      </w:r>
      <w:r w:rsidRPr="00D866C1">
        <w:rPr>
          <w:rFonts w:eastAsia="Calibri"/>
          <w:b/>
          <w:color w:val="FF0000"/>
          <w:sz w:val="28"/>
          <w:szCs w:val="28"/>
          <w:u w:val="single"/>
        </w:rPr>
        <w:t>to communicate with the parties</w:t>
      </w:r>
      <w:r w:rsidRPr="00D866C1">
        <w:rPr>
          <w:rFonts w:eastAsia="Calibri"/>
          <w:sz w:val="28"/>
          <w:szCs w:val="28"/>
        </w:rPr>
        <w:t>, the parties may contact them now or in the future</w:t>
      </w:r>
      <w:r w:rsidRPr="00D866C1">
        <w:rPr>
          <w:rFonts w:eastAsia="Calibri"/>
          <w:b/>
          <w:color w:val="FF0000"/>
          <w:sz w:val="28"/>
          <w:szCs w:val="28"/>
          <w:u w:val="single"/>
        </w:rPr>
        <w:t>.</w:t>
      </w:r>
      <w:r w:rsidRPr="00D866C1">
        <w:rPr>
          <w:rFonts w:eastAsia="Calibri"/>
          <w:sz w:val="28"/>
          <w:szCs w:val="28"/>
        </w:rPr>
        <w:t xml:space="preserve"> </w:t>
      </w:r>
      <w:r w:rsidRPr="00D866C1">
        <w:rPr>
          <w:rFonts w:eastAsia="Calibri"/>
          <w:strike/>
          <w:sz w:val="28"/>
          <w:szCs w:val="28"/>
        </w:rPr>
        <w:t>and</w:t>
      </w:r>
      <w:r w:rsidRPr="00D866C1">
        <w:rPr>
          <w:rFonts w:eastAsia="Calibri"/>
          <w:sz w:val="28"/>
          <w:szCs w:val="28"/>
        </w:rPr>
        <w:t xml:space="preserve"> </w:t>
      </w:r>
      <w:proofErr w:type="gramStart"/>
      <w:r w:rsidRPr="00D866C1">
        <w:rPr>
          <w:rFonts w:eastAsia="Calibri"/>
          <w:b/>
          <w:color w:val="FF0000"/>
          <w:sz w:val="28"/>
          <w:szCs w:val="28"/>
          <w:u w:val="single"/>
        </w:rPr>
        <w:t>The</w:t>
      </w:r>
      <w:proofErr w:type="gramEnd"/>
      <w:r w:rsidRPr="00D866C1">
        <w:rPr>
          <w:rFonts w:eastAsia="Calibri"/>
          <w:b/>
          <w:color w:val="FF0000"/>
          <w:sz w:val="28"/>
          <w:szCs w:val="28"/>
          <w:u w:val="single"/>
        </w:rPr>
        <w:t xml:space="preserve"> court must inform the jurors that</w:t>
      </w:r>
      <w:r w:rsidRPr="00D866C1">
        <w:rPr>
          <w:rFonts w:eastAsia="Calibri"/>
          <w:color w:val="FF0000"/>
          <w:sz w:val="28"/>
          <w:szCs w:val="28"/>
        </w:rPr>
        <w:t xml:space="preserve"> </w:t>
      </w:r>
      <w:r w:rsidRPr="00D866C1">
        <w:rPr>
          <w:rFonts w:eastAsia="Calibri"/>
          <w:sz w:val="28"/>
          <w:szCs w:val="28"/>
        </w:rPr>
        <w:t xml:space="preserve">if they refuse </w:t>
      </w:r>
      <w:r w:rsidRPr="00D866C1">
        <w:rPr>
          <w:rFonts w:eastAsia="Calibri"/>
          <w:b/>
          <w:color w:val="FF0000"/>
          <w:sz w:val="28"/>
          <w:szCs w:val="28"/>
          <w:u w:val="single"/>
        </w:rPr>
        <w:t>to communicate about the case</w:t>
      </w:r>
      <w:r w:rsidRPr="00D866C1">
        <w:rPr>
          <w:rFonts w:eastAsia="Calibri"/>
          <w:sz w:val="28"/>
          <w:szCs w:val="28"/>
        </w:rPr>
        <w:t xml:space="preserve">, the parties must not </w:t>
      </w:r>
      <w:r w:rsidRPr="00D866C1">
        <w:rPr>
          <w:rFonts w:eastAsia="Calibri"/>
          <w:strike/>
          <w:sz w:val="28"/>
          <w:szCs w:val="28"/>
        </w:rPr>
        <w:t>talk to them</w:t>
      </w:r>
      <w:r w:rsidRPr="00D866C1">
        <w:rPr>
          <w:rFonts w:eastAsia="Calibri"/>
          <w:sz w:val="28"/>
          <w:szCs w:val="28"/>
        </w:rPr>
        <w:t xml:space="preserve"> </w:t>
      </w:r>
      <w:r w:rsidRPr="00D866C1">
        <w:rPr>
          <w:rFonts w:eastAsia="Calibri"/>
          <w:b/>
          <w:color w:val="FF0000"/>
          <w:sz w:val="28"/>
          <w:szCs w:val="28"/>
          <w:u w:val="single"/>
        </w:rPr>
        <w:t>communicate with them</w:t>
      </w:r>
      <w:r w:rsidRPr="00D866C1">
        <w:rPr>
          <w:rFonts w:eastAsia="Calibri"/>
          <w:color w:val="FF0000"/>
          <w:sz w:val="28"/>
          <w:szCs w:val="28"/>
        </w:rPr>
        <w:t xml:space="preserve"> </w:t>
      </w:r>
      <w:r w:rsidRPr="00D866C1">
        <w:rPr>
          <w:rFonts w:eastAsia="Calibri"/>
          <w:sz w:val="28"/>
          <w:szCs w:val="28"/>
        </w:rPr>
        <w:t xml:space="preserve">about the case without a court order. </w:t>
      </w:r>
      <w:r w:rsidRPr="00D866C1">
        <w:rPr>
          <w:rFonts w:eastAsia="Calibri"/>
          <w:strike/>
          <w:sz w:val="28"/>
          <w:szCs w:val="28"/>
        </w:rPr>
        <w:t>Even if a juror agrees to speak they can decide to end any conversation at any time.</w:t>
      </w:r>
      <w:r w:rsidRPr="00D866C1">
        <w:rPr>
          <w:rFonts w:eastAsia="Calibri"/>
          <w:sz w:val="28"/>
          <w:szCs w:val="28"/>
        </w:rPr>
        <w:t xml:space="preserve"> </w:t>
      </w:r>
      <w:r w:rsidRPr="00D866C1">
        <w:rPr>
          <w:rFonts w:eastAsia="Calibri"/>
          <w:b/>
          <w:color w:val="FF0000"/>
          <w:sz w:val="28"/>
          <w:szCs w:val="28"/>
          <w:u w:val="single"/>
        </w:rPr>
        <w:t xml:space="preserve">The court must inform the jurors that they may revoke their consent to communicate about the case at any time.  </w:t>
      </w:r>
    </w:p>
    <w:p w14:paraId="698CD82C" w14:textId="77777777" w:rsidR="00C60C3B" w:rsidRPr="00D866C1" w:rsidRDefault="00C60C3B" w:rsidP="003E337B">
      <w:pPr>
        <w:numPr>
          <w:ilvl w:val="0"/>
          <w:numId w:val="2"/>
        </w:numPr>
        <w:spacing w:line="240" w:lineRule="auto"/>
        <w:contextualSpacing/>
        <w:jc w:val="both"/>
        <w:rPr>
          <w:rFonts w:eastAsia="Calibri"/>
          <w:b/>
          <w:color w:val="FF0000"/>
          <w:sz w:val="28"/>
          <w:szCs w:val="28"/>
          <w:u w:val="single"/>
        </w:rPr>
      </w:pPr>
      <w:r w:rsidRPr="00D866C1">
        <w:rPr>
          <w:rFonts w:eastAsia="Calibri"/>
          <w:i/>
          <w:sz w:val="28"/>
          <w:szCs w:val="28"/>
        </w:rPr>
        <w:t>Decision on the Record.</w:t>
      </w:r>
      <w:r w:rsidRPr="00D866C1">
        <w:rPr>
          <w:rFonts w:eastAsia="Calibri"/>
          <w:sz w:val="28"/>
          <w:szCs w:val="28"/>
        </w:rPr>
        <w:t xml:space="preserve"> Each juror’s</w:t>
      </w:r>
      <w:r w:rsidR="003E337B" w:rsidRPr="00D866C1">
        <w:rPr>
          <w:rFonts w:eastAsia="Calibri"/>
          <w:sz w:val="28"/>
          <w:szCs w:val="28"/>
        </w:rPr>
        <w:t xml:space="preserve"> option must be recorded by </w:t>
      </w:r>
      <w:r w:rsidRPr="00D866C1">
        <w:rPr>
          <w:rFonts w:eastAsia="Calibri"/>
          <w:sz w:val="28"/>
          <w:szCs w:val="28"/>
        </w:rPr>
        <w:t>using a written form which will then be filed with the clerk.</w:t>
      </w:r>
    </w:p>
    <w:p w14:paraId="5B4E0BB1" w14:textId="77777777" w:rsidR="00C60C3B" w:rsidRPr="00D866C1" w:rsidRDefault="00C60C3B" w:rsidP="00C60C3B">
      <w:pPr>
        <w:numPr>
          <w:ilvl w:val="0"/>
          <w:numId w:val="2"/>
        </w:numPr>
        <w:spacing w:line="240" w:lineRule="auto"/>
        <w:contextualSpacing/>
        <w:jc w:val="both"/>
        <w:rPr>
          <w:rFonts w:eastAsia="Calibri"/>
          <w:b/>
          <w:color w:val="FF0000"/>
          <w:sz w:val="28"/>
          <w:szCs w:val="28"/>
          <w:u w:val="single"/>
        </w:rPr>
      </w:pPr>
      <w:r w:rsidRPr="00D866C1">
        <w:rPr>
          <w:rFonts w:eastAsia="Calibri"/>
          <w:i/>
          <w:sz w:val="28"/>
          <w:szCs w:val="28"/>
        </w:rPr>
        <w:t xml:space="preserve">Refusal. </w:t>
      </w:r>
      <w:r w:rsidRPr="00D866C1">
        <w:rPr>
          <w:rFonts w:eastAsia="Calibri"/>
          <w:sz w:val="28"/>
          <w:szCs w:val="28"/>
        </w:rPr>
        <w:t>A party or any person acting on behalf of a party may not contact a juror who has refused to</w:t>
      </w:r>
      <w:r w:rsidRPr="00D866C1">
        <w:rPr>
          <w:rFonts w:eastAsia="Calibri"/>
          <w:strike/>
          <w:sz w:val="28"/>
          <w:szCs w:val="28"/>
        </w:rPr>
        <w:t xml:space="preserve"> speak to discuss</w:t>
      </w:r>
      <w:r w:rsidRPr="00D866C1">
        <w:rPr>
          <w:rFonts w:eastAsia="Calibri"/>
          <w:sz w:val="28"/>
          <w:szCs w:val="28"/>
        </w:rPr>
        <w:t xml:space="preserve"> </w:t>
      </w:r>
      <w:r w:rsidRPr="00D866C1">
        <w:rPr>
          <w:rFonts w:eastAsia="Calibri"/>
          <w:b/>
          <w:color w:val="FF0000"/>
          <w:sz w:val="28"/>
          <w:szCs w:val="28"/>
          <w:u w:val="single"/>
        </w:rPr>
        <w:t>communicate about</w:t>
      </w:r>
      <w:r w:rsidRPr="00D866C1">
        <w:rPr>
          <w:rFonts w:eastAsia="Calibri"/>
          <w:color w:val="FF0000"/>
          <w:sz w:val="28"/>
          <w:szCs w:val="28"/>
        </w:rPr>
        <w:t xml:space="preserve"> </w:t>
      </w:r>
      <w:r w:rsidRPr="00D866C1">
        <w:rPr>
          <w:rFonts w:eastAsia="Calibri"/>
          <w:sz w:val="28"/>
          <w:szCs w:val="28"/>
        </w:rPr>
        <w:t>any aspect of jury service without a court order, as provided in Rule 32.1.</w:t>
      </w:r>
    </w:p>
    <w:p w14:paraId="5C235ADE" w14:textId="77777777" w:rsidR="0027381A" w:rsidRPr="00D866C1" w:rsidRDefault="0027381A" w:rsidP="0027381A">
      <w:pPr>
        <w:spacing w:line="240" w:lineRule="auto"/>
        <w:ind w:left="1170"/>
        <w:contextualSpacing/>
        <w:jc w:val="both"/>
        <w:rPr>
          <w:rFonts w:eastAsia="Calibri"/>
          <w:b/>
          <w:color w:val="FF0000"/>
          <w:sz w:val="28"/>
          <w:szCs w:val="28"/>
          <w:u w:val="single"/>
        </w:rPr>
      </w:pPr>
    </w:p>
    <w:p w14:paraId="5361E11F" w14:textId="77777777" w:rsidR="009D7197" w:rsidRPr="00D866C1" w:rsidRDefault="00C60C3B" w:rsidP="009D7197">
      <w:pPr>
        <w:spacing w:line="240" w:lineRule="auto"/>
        <w:rPr>
          <w:rFonts w:eastAsia="Calibri"/>
          <w:b/>
          <w:sz w:val="28"/>
          <w:szCs w:val="28"/>
        </w:rPr>
      </w:pPr>
      <w:r w:rsidRPr="00D866C1">
        <w:rPr>
          <w:b/>
          <w:sz w:val="28"/>
          <w:szCs w:val="28"/>
        </w:rPr>
        <w:t xml:space="preserve"> </w:t>
      </w:r>
      <w:r w:rsidR="0027381A" w:rsidRPr="00D866C1">
        <w:rPr>
          <w:rFonts w:eastAsia="Calibri"/>
          <w:b/>
          <w:sz w:val="28"/>
          <w:szCs w:val="28"/>
          <w:u w:val="single"/>
        </w:rPr>
        <w:t>RULE 32.1, Arizona Rules of Criminal Procedure</w:t>
      </w:r>
      <w:r w:rsidR="0027381A" w:rsidRPr="00D866C1">
        <w:rPr>
          <w:rFonts w:eastAsia="Calibri"/>
          <w:b/>
          <w:sz w:val="28"/>
          <w:szCs w:val="28"/>
        </w:rPr>
        <w:t>.</w:t>
      </w:r>
    </w:p>
    <w:p w14:paraId="6D06405F" w14:textId="77777777" w:rsidR="009D7197" w:rsidRPr="00D866C1" w:rsidRDefault="009D7197" w:rsidP="009D7197">
      <w:pPr>
        <w:spacing w:line="240" w:lineRule="auto"/>
        <w:rPr>
          <w:rFonts w:eastAsia="Calibri"/>
          <w:b/>
          <w:sz w:val="28"/>
          <w:szCs w:val="28"/>
          <w:u w:val="single"/>
        </w:rPr>
      </w:pPr>
    </w:p>
    <w:p w14:paraId="23E05BBF" w14:textId="77777777" w:rsidR="00C60C3B" w:rsidRPr="00D866C1" w:rsidRDefault="00C60C3B" w:rsidP="00C60C3B">
      <w:pPr>
        <w:spacing w:line="240" w:lineRule="auto"/>
        <w:rPr>
          <w:rFonts w:eastAsia="Calibri"/>
          <w:sz w:val="28"/>
          <w:szCs w:val="28"/>
        </w:rPr>
      </w:pPr>
      <w:r w:rsidRPr="00D866C1">
        <w:rPr>
          <w:rFonts w:eastAsia="Calibri"/>
          <w:b/>
          <w:sz w:val="28"/>
          <w:szCs w:val="28"/>
        </w:rPr>
        <w:t>JURORS WHO REFUSED POST-VERDICT CONTACT</w:t>
      </w:r>
      <w:r w:rsidR="0027381A" w:rsidRPr="00D866C1">
        <w:rPr>
          <w:rFonts w:eastAsia="Calibri"/>
          <w:sz w:val="28"/>
          <w:szCs w:val="28"/>
        </w:rPr>
        <w:t>.</w:t>
      </w:r>
    </w:p>
    <w:p w14:paraId="712C8321" w14:textId="77777777" w:rsidR="00C60C3B" w:rsidRPr="00D866C1" w:rsidRDefault="00C60C3B" w:rsidP="00C60C3B">
      <w:pPr>
        <w:numPr>
          <w:ilvl w:val="0"/>
          <w:numId w:val="3"/>
        </w:numPr>
        <w:spacing w:line="240" w:lineRule="auto"/>
        <w:contextualSpacing/>
        <w:rPr>
          <w:rFonts w:eastAsia="Calibri"/>
          <w:b/>
          <w:color w:val="FF0000"/>
          <w:sz w:val="28"/>
          <w:szCs w:val="28"/>
          <w:u w:val="single"/>
        </w:rPr>
      </w:pPr>
      <w:r w:rsidRPr="00D866C1">
        <w:rPr>
          <w:rFonts w:eastAsia="Calibri"/>
          <w:i/>
          <w:sz w:val="28"/>
          <w:szCs w:val="28"/>
        </w:rPr>
        <w:t>Generally</w:t>
      </w:r>
      <w:r w:rsidRPr="00D866C1">
        <w:rPr>
          <w:rFonts w:eastAsia="Calibri"/>
          <w:sz w:val="28"/>
          <w:szCs w:val="28"/>
        </w:rPr>
        <w:t>. If a juror refused contact under Rule 22.5(c), no party</w:t>
      </w:r>
      <w:r w:rsidRPr="00D866C1">
        <w:rPr>
          <w:rFonts w:eastAsia="Calibri"/>
          <w:b/>
          <w:color w:val="FF0000"/>
          <w:sz w:val="28"/>
          <w:szCs w:val="28"/>
          <w:u w:val="single"/>
        </w:rPr>
        <w:t>, party’s attorney</w:t>
      </w:r>
      <w:r w:rsidRPr="00D866C1">
        <w:rPr>
          <w:rFonts w:eastAsia="Calibri"/>
          <w:color w:val="FF0000"/>
          <w:sz w:val="28"/>
          <w:szCs w:val="28"/>
        </w:rPr>
        <w:t xml:space="preserve"> </w:t>
      </w:r>
      <w:r w:rsidRPr="00D866C1">
        <w:rPr>
          <w:rFonts w:eastAsia="Calibri"/>
          <w:sz w:val="28"/>
          <w:szCs w:val="28"/>
        </w:rPr>
        <w:t xml:space="preserve">or </w:t>
      </w:r>
      <w:r w:rsidRPr="00D866C1">
        <w:rPr>
          <w:rFonts w:eastAsia="Calibri"/>
          <w:strike/>
          <w:sz w:val="28"/>
          <w:szCs w:val="28"/>
        </w:rPr>
        <w:t>anyone</w:t>
      </w:r>
      <w:r w:rsidRPr="00D866C1">
        <w:rPr>
          <w:rFonts w:eastAsia="Calibri"/>
          <w:sz w:val="28"/>
          <w:szCs w:val="28"/>
        </w:rPr>
        <w:t xml:space="preserve"> </w:t>
      </w:r>
      <w:r w:rsidRPr="00D866C1">
        <w:rPr>
          <w:rFonts w:eastAsia="Calibri"/>
          <w:b/>
          <w:color w:val="FF0000"/>
          <w:sz w:val="28"/>
          <w:szCs w:val="28"/>
          <w:u w:val="single"/>
        </w:rPr>
        <w:t>other person acting</w:t>
      </w:r>
      <w:r w:rsidRPr="00D866C1">
        <w:rPr>
          <w:rFonts w:eastAsia="Calibri"/>
          <w:color w:val="FF0000"/>
          <w:sz w:val="28"/>
          <w:szCs w:val="28"/>
        </w:rPr>
        <w:t xml:space="preserve"> </w:t>
      </w:r>
      <w:r w:rsidRPr="00D866C1">
        <w:rPr>
          <w:rFonts w:eastAsia="Calibri"/>
          <w:sz w:val="28"/>
          <w:szCs w:val="28"/>
        </w:rPr>
        <w:t xml:space="preserve">on behalf of any party may </w:t>
      </w:r>
      <w:r w:rsidRPr="00D866C1">
        <w:rPr>
          <w:rFonts w:eastAsia="Calibri"/>
          <w:strike/>
          <w:sz w:val="28"/>
          <w:szCs w:val="28"/>
        </w:rPr>
        <w:t>have any</w:t>
      </w:r>
      <w:r w:rsidRPr="00D866C1">
        <w:rPr>
          <w:rFonts w:eastAsia="Calibri"/>
          <w:sz w:val="28"/>
          <w:szCs w:val="28"/>
        </w:rPr>
        <w:t xml:space="preserve"> </w:t>
      </w:r>
      <w:r w:rsidRPr="00D866C1">
        <w:rPr>
          <w:rFonts w:eastAsia="Calibri"/>
          <w:sz w:val="28"/>
          <w:szCs w:val="28"/>
        </w:rPr>
        <w:lastRenderedPageBreak/>
        <w:t xml:space="preserve">contact </w:t>
      </w:r>
      <w:r w:rsidRPr="00D866C1">
        <w:rPr>
          <w:rFonts w:eastAsia="Calibri"/>
          <w:strike/>
          <w:sz w:val="28"/>
          <w:szCs w:val="28"/>
        </w:rPr>
        <w:t>with</w:t>
      </w:r>
      <w:r w:rsidRPr="00D866C1">
        <w:rPr>
          <w:rFonts w:eastAsia="Calibri"/>
          <w:sz w:val="28"/>
          <w:szCs w:val="28"/>
        </w:rPr>
        <w:t xml:space="preserve"> </w:t>
      </w:r>
      <w:r w:rsidRPr="00D866C1">
        <w:rPr>
          <w:rFonts w:eastAsia="Calibri"/>
          <w:strike/>
          <w:sz w:val="28"/>
          <w:szCs w:val="28"/>
        </w:rPr>
        <w:t>that</w:t>
      </w:r>
      <w:r w:rsidRPr="00D866C1">
        <w:rPr>
          <w:rFonts w:eastAsia="Calibri"/>
          <w:sz w:val="28"/>
          <w:szCs w:val="28"/>
        </w:rPr>
        <w:t xml:space="preserve"> </w:t>
      </w:r>
      <w:r w:rsidRPr="00D866C1">
        <w:rPr>
          <w:rFonts w:eastAsia="Calibri"/>
          <w:b/>
          <w:color w:val="FF0000"/>
          <w:sz w:val="28"/>
          <w:szCs w:val="28"/>
          <w:u w:val="single"/>
        </w:rPr>
        <w:t>the</w:t>
      </w:r>
      <w:r w:rsidRPr="00D866C1">
        <w:rPr>
          <w:rFonts w:eastAsia="Calibri"/>
          <w:sz w:val="28"/>
          <w:szCs w:val="28"/>
        </w:rPr>
        <w:t xml:space="preserve"> juror to discuss any aspect of jury service, unless the court issues an order authorizing the contact.</w:t>
      </w:r>
    </w:p>
    <w:p w14:paraId="53AF7389" w14:textId="77777777" w:rsidR="00C60C3B" w:rsidRPr="00D866C1" w:rsidRDefault="00C60C3B" w:rsidP="00C60C3B">
      <w:pPr>
        <w:numPr>
          <w:ilvl w:val="0"/>
          <w:numId w:val="3"/>
        </w:numPr>
        <w:spacing w:line="240" w:lineRule="auto"/>
        <w:contextualSpacing/>
        <w:rPr>
          <w:rFonts w:eastAsia="Calibri"/>
          <w:b/>
          <w:color w:val="FF0000"/>
          <w:sz w:val="28"/>
          <w:szCs w:val="28"/>
          <w:u w:val="single"/>
        </w:rPr>
      </w:pPr>
      <w:r w:rsidRPr="00D866C1">
        <w:rPr>
          <w:rFonts w:eastAsia="Calibri"/>
          <w:b/>
          <w:i/>
          <w:color w:val="FF0000"/>
          <w:sz w:val="28"/>
          <w:szCs w:val="28"/>
          <w:u w:val="single"/>
        </w:rPr>
        <w:t>Motion</w:t>
      </w:r>
      <w:r w:rsidRPr="00D866C1">
        <w:rPr>
          <w:rFonts w:eastAsia="Calibri"/>
          <w:b/>
          <w:color w:val="FF0000"/>
          <w:sz w:val="28"/>
          <w:szCs w:val="28"/>
          <w:u w:val="single"/>
        </w:rPr>
        <w:t>. A party may ask to contact a juror who has refused contact under Rule 22.5(c) by filing a motion stating the specific reasons for the request.</w:t>
      </w:r>
    </w:p>
    <w:p w14:paraId="0CF03400" w14:textId="77777777" w:rsidR="00C60C3B" w:rsidRPr="00D866C1" w:rsidRDefault="00C60C3B" w:rsidP="00C60C3B">
      <w:pPr>
        <w:spacing w:line="240" w:lineRule="auto"/>
        <w:ind w:left="60"/>
        <w:rPr>
          <w:rFonts w:eastAsia="Calibri"/>
          <w:b/>
          <w:color w:val="FF0000"/>
          <w:sz w:val="28"/>
          <w:szCs w:val="28"/>
          <w:u w:val="single"/>
        </w:rPr>
      </w:pPr>
      <w:r w:rsidRPr="00D866C1">
        <w:rPr>
          <w:rFonts w:eastAsia="Calibri"/>
          <w:sz w:val="28"/>
          <w:szCs w:val="28"/>
        </w:rPr>
        <w:t>(</w:t>
      </w:r>
      <w:r w:rsidRPr="00D866C1">
        <w:rPr>
          <w:rFonts w:eastAsia="Calibri"/>
          <w:strike/>
          <w:sz w:val="28"/>
          <w:szCs w:val="28"/>
        </w:rPr>
        <w:t>b)(</w:t>
      </w:r>
      <w:r w:rsidRPr="00D866C1">
        <w:rPr>
          <w:rFonts w:eastAsia="Calibri"/>
          <w:b/>
          <w:color w:val="FF0000"/>
          <w:sz w:val="28"/>
          <w:szCs w:val="28"/>
          <w:u w:val="single"/>
        </w:rPr>
        <w:t>c)</w:t>
      </w:r>
      <w:r w:rsidRPr="00D866C1">
        <w:rPr>
          <w:rFonts w:eastAsia="Calibri"/>
          <w:b/>
          <w:i/>
          <w:color w:val="FF0000"/>
          <w:sz w:val="28"/>
          <w:szCs w:val="28"/>
          <w:u w:val="single"/>
        </w:rPr>
        <w:t xml:space="preserve"> </w:t>
      </w:r>
      <w:r w:rsidRPr="00D866C1">
        <w:rPr>
          <w:rFonts w:eastAsia="Calibri"/>
          <w:i/>
          <w:sz w:val="28"/>
          <w:szCs w:val="28"/>
        </w:rPr>
        <w:t>Right to Respond</w:t>
      </w:r>
      <w:r w:rsidRPr="00D866C1">
        <w:rPr>
          <w:rFonts w:eastAsia="Calibri"/>
          <w:sz w:val="28"/>
          <w:szCs w:val="28"/>
        </w:rPr>
        <w:t xml:space="preserve">. </w:t>
      </w:r>
      <w:r w:rsidRPr="00D866C1">
        <w:rPr>
          <w:rFonts w:eastAsia="Calibri"/>
          <w:strike/>
          <w:sz w:val="28"/>
          <w:szCs w:val="28"/>
        </w:rPr>
        <w:t>All</w:t>
      </w:r>
      <w:r w:rsidRPr="00D866C1">
        <w:rPr>
          <w:rFonts w:eastAsia="Calibri"/>
          <w:sz w:val="28"/>
          <w:szCs w:val="28"/>
        </w:rPr>
        <w:t xml:space="preserve"> </w:t>
      </w:r>
      <w:r w:rsidRPr="00D866C1">
        <w:rPr>
          <w:rFonts w:eastAsia="Calibri"/>
          <w:b/>
          <w:color w:val="FF0000"/>
          <w:sz w:val="28"/>
          <w:szCs w:val="28"/>
          <w:u w:val="single"/>
        </w:rPr>
        <w:t>The</w:t>
      </w:r>
      <w:r w:rsidRPr="00D866C1">
        <w:rPr>
          <w:rFonts w:eastAsia="Calibri"/>
          <w:sz w:val="28"/>
          <w:szCs w:val="28"/>
        </w:rPr>
        <w:t xml:space="preserve"> parties have the right to respond to any motion seeking a court order for contact under this rule.</w:t>
      </w:r>
    </w:p>
    <w:p w14:paraId="7607A6AF" w14:textId="77777777" w:rsidR="00443827" w:rsidRPr="00D866C1" w:rsidRDefault="00C60C3B" w:rsidP="00B75EB9">
      <w:pPr>
        <w:spacing w:line="240" w:lineRule="auto"/>
        <w:rPr>
          <w:rFonts w:eastAsia="Calibri"/>
          <w:b/>
          <w:color w:val="FF0000"/>
          <w:sz w:val="28"/>
          <w:szCs w:val="28"/>
          <w:u w:val="single"/>
        </w:rPr>
      </w:pPr>
      <w:r w:rsidRPr="00D866C1">
        <w:rPr>
          <w:rFonts w:eastAsia="Calibri"/>
          <w:sz w:val="28"/>
          <w:szCs w:val="28"/>
        </w:rPr>
        <w:t>(</w:t>
      </w:r>
      <w:r w:rsidRPr="00D866C1">
        <w:rPr>
          <w:rFonts w:eastAsia="Calibri"/>
          <w:strike/>
          <w:sz w:val="28"/>
          <w:szCs w:val="28"/>
        </w:rPr>
        <w:t>c)(</w:t>
      </w:r>
      <w:r w:rsidRPr="00D866C1">
        <w:rPr>
          <w:rFonts w:eastAsia="Calibri"/>
          <w:color w:val="FF0000"/>
          <w:sz w:val="28"/>
          <w:szCs w:val="28"/>
          <w:u w:val="single"/>
        </w:rPr>
        <w:t>d</w:t>
      </w:r>
      <w:r w:rsidRPr="00D866C1">
        <w:rPr>
          <w:rFonts w:eastAsia="Calibri"/>
          <w:b/>
          <w:color w:val="FF0000"/>
          <w:sz w:val="28"/>
          <w:szCs w:val="28"/>
          <w:u w:val="single"/>
        </w:rPr>
        <w:t>)</w:t>
      </w:r>
      <w:r w:rsidRPr="00D866C1">
        <w:rPr>
          <w:rFonts w:eastAsia="Calibri"/>
          <w:b/>
          <w:i/>
          <w:color w:val="FF0000"/>
          <w:sz w:val="28"/>
          <w:szCs w:val="28"/>
          <w:u w:val="single"/>
        </w:rPr>
        <w:t xml:space="preserve"> </w:t>
      </w:r>
      <w:r w:rsidRPr="00D866C1">
        <w:rPr>
          <w:rFonts w:eastAsia="Calibri"/>
          <w:i/>
          <w:sz w:val="28"/>
          <w:szCs w:val="28"/>
        </w:rPr>
        <w:t>Nature of the Order</w:t>
      </w:r>
      <w:r w:rsidRPr="00D866C1">
        <w:rPr>
          <w:rFonts w:eastAsia="Calibri"/>
          <w:sz w:val="28"/>
          <w:szCs w:val="28"/>
        </w:rPr>
        <w:t xml:space="preserve">. The court may issue an order permitting the juror contact only upon a showing of good cause. </w:t>
      </w:r>
      <w:r w:rsidRPr="00D866C1">
        <w:rPr>
          <w:rFonts w:eastAsia="Calibri"/>
          <w:b/>
          <w:color w:val="FF0000"/>
          <w:sz w:val="28"/>
          <w:szCs w:val="28"/>
          <w:u w:val="single"/>
        </w:rPr>
        <w:t>The court must state specific reasons for</w:t>
      </w:r>
      <w:r w:rsidRPr="00D866C1">
        <w:rPr>
          <w:rFonts w:eastAsia="Calibri"/>
          <w:color w:val="FF0000"/>
          <w:sz w:val="28"/>
          <w:szCs w:val="28"/>
        </w:rPr>
        <w:t xml:space="preserve"> </w:t>
      </w:r>
      <w:r w:rsidRPr="00D866C1">
        <w:rPr>
          <w:rFonts w:eastAsia="Calibri"/>
          <w:strike/>
          <w:sz w:val="28"/>
          <w:szCs w:val="28"/>
        </w:rPr>
        <w:t>Any order</w:t>
      </w:r>
      <w:r w:rsidRPr="00D866C1">
        <w:rPr>
          <w:rFonts w:eastAsia="Calibri"/>
          <w:sz w:val="28"/>
          <w:szCs w:val="28"/>
        </w:rPr>
        <w:t xml:space="preserve"> permitting contact </w:t>
      </w:r>
      <w:r w:rsidRPr="00D866C1">
        <w:rPr>
          <w:rFonts w:eastAsia="Calibri"/>
          <w:strike/>
          <w:sz w:val="28"/>
          <w:szCs w:val="28"/>
        </w:rPr>
        <w:t>must specify the good cause found</w:t>
      </w:r>
      <w:r w:rsidRPr="00D866C1">
        <w:rPr>
          <w:rFonts w:eastAsia="Calibri"/>
          <w:sz w:val="28"/>
          <w:szCs w:val="28"/>
        </w:rPr>
        <w:t xml:space="preserve"> and define the scope of permissible contact</w:t>
      </w:r>
      <w:r w:rsidRPr="00D866C1">
        <w:rPr>
          <w:rFonts w:eastAsia="Calibri"/>
          <w:color w:val="FF0000"/>
          <w:sz w:val="28"/>
          <w:szCs w:val="28"/>
        </w:rPr>
        <w:t xml:space="preserve"> </w:t>
      </w:r>
      <w:r w:rsidRPr="00D866C1">
        <w:rPr>
          <w:rFonts w:eastAsia="Calibri"/>
          <w:b/>
          <w:color w:val="FF0000"/>
          <w:sz w:val="28"/>
          <w:szCs w:val="28"/>
          <w:u w:val="single"/>
        </w:rPr>
        <w:t>permissible in accordance with that authorized in Rule 24.1(d)</w:t>
      </w:r>
      <w:r w:rsidRPr="00D866C1">
        <w:rPr>
          <w:rFonts w:eastAsia="Calibri"/>
          <w:sz w:val="28"/>
          <w:szCs w:val="28"/>
          <w:u w:val="single"/>
        </w:rPr>
        <w:t xml:space="preserve">. </w:t>
      </w:r>
    </w:p>
    <w:sectPr w:rsidR="00443827" w:rsidRPr="00D86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72DD"/>
    <w:multiLevelType w:val="hybridMultilevel"/>
    <w:tmpl w:val="72FE0856"/>
    <w:lvl w:ilvl="0" w:tplc="57FCBD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FD4CDA"/>
    <w:multiLevelType w:val="hybridMultilevel"/>
    <w:tmpl w:val="80E41C3E"/>
    <w:lvl w:ilvl="0" w:tplc="E0D28F70">
      <w:start w:val="1"/>
      <w:numFmt w:val="decimal"/>
      <w:lvlText w:val="(%1)"/>
      <w:lvlJc w:val="left"/>
      <w:pPr>
        <w:ind w:left="1170" w:hanging="360"/>
      </w:pPr>
      <w:rPr>
        <w:rFonts w:hint="default"/>
        <w:b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4FC3730"/>
    <w:multiLevelType w:val="hybridMultilevel"/>
    <w:tmpl w:val="20E43150"/>
    <w:lvl w:ilvl="0" w:tplc="DF9031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4206F"/>
    <w:multiLevelType w:val="hybridMultilevel"/>
    <w:tmpl w:val="D0B8AC0C"/>
    <w:lvl w:ilvl="0" w:tplc="7A826158">
      <w:start w:val="1"/>
      <w:numFmt w:val="lowerLetter"/>
      <w:lvlText w:val="(%1)"/>
      <w:lvlJc w:val="left"/>
      <w:pPr>
        <w:ind w:left="420" w:hanging="360"/>
      </w:pPr>
      <w:rPr>
        <w:rFonts w:hint="default"/>
        <w:b w:val="0"/>
        <w:color w:val="auto"/>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9B"/>
    <w:rsid w:val="00061323"/>
    <w:rsid w:val="000811C6"/>
    <w:rsid w:val="0027381A"/>
    <w:rsid w:val="00301470"/>
    <w:rsid w:val="003940A2"/>
    <w:rsid w:val="003B4F86"/>
    <w:rsid w:val="003E337B"/>
    <w:rsid w:val="00443827"/>
    <w:rsid w:val="004F585D"/>
    <w:rsid w:val="005D14FD"/>
    <w:rsid w:val="00866352"/>
    <w:rsid w:val="008F00BE"/>
    <w:rsid w:val="008F5032"/>
    <w:rsid w:val="00954DDA"/>
    <w:rsid w:val="009D7197"/>
    <w:rsid w:val="00A72DC0"/>
    <w:rsid w:val="00AF31BD"/>
    <w:rsid w:val="00B75EB9"/>
    <w:rsid w:val="00BD4859"/>
    <w:rsid w:val="00C60C3B"/>
    <w:rsid w:val="00C676C7"/>
    <w:rsid w:val="00CA14C8"/>
    <w:rsid w:val="00D1649B"/>
    <w:rsid w:val="00D866C1"/>
    <w:rsid w:val="00D92448"/>
    <w:rsid w:val="00DC6C40"/>
    <w:rsid w:val="00EF1450"/>
    <w:rsid w:val="00FE6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A2B5"/>
  <w15:chartTrackingRefBased/>
  <w15:docId w15:val="{3316655C-6A5E-4138-9B12-E7B4090A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49B"/>
    <w:pPr>
      <w:spacing w:after="0" w:line="508" w:lineRule="exac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649B"/>
    <w:pPr>
      <w:spacing w:after="120"/>
    </w:pPr>
  </w:style>
  <w:style w:type="character" w:customStyle="1" w:styleId="BodyTextChar">
    <w:name w:val="Body Text Char"/>
    <w:basedOn w:val="DefaultParagraphFont"/>
    <w:link w:val="BodyText"/>
    <w:rsid w:val="00D1649B"/>
    <w:rPr>
      <w:rFonts w:ascii="Times New Roman" w:eastAsia="Times New Roman" w:hAnsi="Times New Roman" w:cs="Times New Roman"/>
      <w:sz w:val="20"/>
      <w:szCs w:val="20"/>
    </w:rPr>
  </w:style>
  <w:style w:type="paragraph" w:styleId="Caption">
    <w:name w:val="caption"/>
    <w:basedOn w:val="Normal"/>
    <w:next w:val="Normal"/>
    <w:qFormat/>
    <w:rsid w:val="00D1649B"/>
    <w:pPr>
      <w:widowControl w:val="0"/>
      <w:spacing w:line="240" w:lineRule="exact"/>
    </w:pPr>
    <w:rPr>
      <w:bCs/>
      <w:sz w:val="26"/>
    </w:rPr>
  </w:style>
  <w:style w:type="paragraph" w:customStyle="1" w:styleId="Court">
    <w:name w:val="Court"/>
    <w:basedOn w:val="Normal"/>
    <w:rsid w:val="00D1649B"/>
    <w:pPr>
      <w:widowControl w:val="0"/>
      <w:spacing w:after="240" w:line="480" w:lineRule="exact"/>
      <w:jc w:val="center"/>
    </w:pPr>
    <w:rPr>
      <w:caps/>
      <w:sz w:val="26"/>
      <w:szCs w:val="26"/>
    </w:rPr>
  </w:style>
  <w:style w:type="paragraph" w:customStyle="1" w:styleId="DocumentTitle">
    <w:name w:val="Document Title"/>
    <w:basedOn w:val="Normal"/>
    <w:rsid w:val="00D1649B"/>
    <w:pPr>
      <w:widowControl w:val="0"/>
      <w:tabs>
        <w:tab w:val="left" w:pos="1238"/>
      </w:tabs>
      <w:spacing w:line="240" w:lineRule="exact"/>
      <w:ind w:left="259"/>
    </w:pPr>
    <w:rPr>
      <w:sz w:val="26"/>
      <w:szCs w:val="24"/>
    </w:rPr>
  </w:style>
  <w:style w:type="paragraph" w:customStyle="1" w:styleId="FirmInformation">
    <w:name w:val="Firm Information"/>
    <w:basedOn w:val="Normal"/>
    <w:rsid w:val="00D1649B"/>
    <w:pPr>
      <w:widowControl w:val="0"/>
      <w:spacing w:line="240" w:lineRule="exact"/>
      <w:ind w:right="144"/>
    </w:pPr>
    <w:rPr>
      <w:sz w:val="26"/>
    </w:rPr>
  </w:style>
  <w:style w:type="paragraph" w:customStyle="1" w:styleId="PleadingSignature">
    <w:name w:val="Pleading Signature"/>
    <w:basedOn w:val="Normal"/>
    <w:rsid w:val="00D1649B"/>
    <w:pPr>
      <w:keepNext/>
      <w:keepLines/>
      <w:widowControl w:val="0"/>
      <w:spacing w:line="240" w:lineRule="exact"/>
    </w:pPr>
    <w:rPr>
      <w:sz w:val="26"/>
    </w:rPr>
  </w:style>
  <w:style w:type="paragraph" w:customStyle="1" w:styleId="Body">
    <w:name w:val="Body"/>
    <w:basedOn w:val="Normal"/>
    <w:rsid w:val="00D1649B"/>
    <w:pPr>
      <w:spacing w:line="480" w:lineRule="exact"/>
      <w:ind w:firstLine="1440"/>
    </w:pPr>
    <w:rPr>
      <w:sz w:val="26"/>
    </w:rPr>
  </w:style>
  <w:style w:type="paragraph" w:styleId="BalloonText">
    <w:name w:val="Balloon Text"/>
    <w:basedOn w:val="Normal"/>
    <w:link w:val="BalloonTextChar"/>
    <w:uiPriority w:val="99"/>
    <w:semiHidden/>
    <w:unhideWhenUsed/>
    <w:rsid w:val="00CA14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C8"/>
    <w:rPr>
      <w:rFonts w:ascii="Segoe UI" w:eastAsia="Times New Roman" w:hAnsi="Segoe UI" w:cs="Segoe UI"/>
      <w:sz w:val="18"/>
      <w:szCs w:val="18"/>
    </w:rPr>
  </w:style>
  <w:style w:type="paragraph" w:styleId="ListParagraph">
    <w:name w:val="List Paragraph"/>
    <w:basedOn w:val="Normal"/>
    <w:uiPriority w:val="34"/>
    <w:qFormat/>
    <w:rsid w:val="00C60C3B"/>
    <w:pPr>
      <w:ind w:left="720"/>
      <w:contextualSpacing/>
    </w:pPr>
  </w:style>
  <w:style w:type="character" w:styleId="CommentReference">
    <w:name w:val="annotation reference"/>
    <w:basedOn w:val="DefaultParagraphFont"/>
    <w:uiPriority w:val="99"/>
    <w:semiHidden/>
    <w:unhideWhenUsed/>
    <w:rsid w:val="005D14FD"/>
    <w:rPr>
      <w:sz w:val="16"/>
      <w:szCs w:val="16"/>
    </w:rPr>
  </w:style>
  <w:style w:type="paragraph" w:styleId="CommentText">
    <w:name w:val="annotation text"/>
    <w:basedOn w:val="Normal"/>
    <w:link w:val="CommentTextChar"/>
    <w:uiPriority w:val="99"/>
    <w:semiHidden/>
    <w:unhideWhenUsed/>
    <w:rsid w:val="005D14FD"/>
    <w:pPr>
      <w:spacing w:line="240" w:lineRule="auto"/>
    </w:pPr>
  </w:style>
  <w:style w:type="character" w:customStyle="1" w:styleId="CommentTextChar">
    <w:name w:val="Comment Text Char"/>
    <w:basedOn w:val="DefaultParagraphFont"/>
    <w:link w:val="CommentText"/>
    <w:uiPriority w:val="99"/>
    <w:semiHidden/>
    <w:rsid w:val="005D14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14FD"/>
    <w:rPr>
      <w:b/>
      <w:bCs/>
    </w:rPr>
  </w:style>
  <w:style w:type="character" w:customStyle="1" w:styleId="CommentSubjectChar">
    <w:name w:val="Comment Subject Char"/>
    <w:basedOn w:val="CommentTextChar"/>
    <w:link w:val="CommentSubject"/>
    <w:uiPriority w:val="99"/>
    <w:semiHidden/>
    <w:rsid w:val="005D14F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Matthew (OPD)</dc:creator>
  <cp:keywords/>
  <dc:description/>
  <cp:lastModifiedBy>Patricia Seguin</cp:lastModifiedBy>
  <cp:revision>2</cp:revision>
  <cp:lastPrinted>2019-03-29T23:10:00Z</cp:lastPrinted>
  <dcterms:created xsi:type="dcterms:W3CDTF">2019-05-01T23:01:00Z</dcterms:created>
  <dcterms:modified xsi:type="dcterms:W3CDTF">2019-05-01T23:01:00Z</dcterms:modified>
</cp:coreProperties>
</file>