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9159B" w:rsidRDefault="0039159B" w:rsidP="00000C35">
      <w:pPr>
        <w:pStyle w:val="Court"/>
        <w:spacing w:line="240" w:lineRule="auto"/>
        <w:rPr>
          <w:b/>
          <w:sz w:val="28"/>
          <w:szCs w:val="28"/>
        </w:rPr>
      </w:pPr>
    </w:p>
    <w:p w:rsidR="0039159B" w:rsidRDefault="0039159B" w:rsidP="00000C35">
      <w:pPr>
        <w:pStyle w:val="Court"/>
        <w:spacing w:line="240" w:lineRule="auto"/>
        <w:rPr>
          <w:b/>
          <w:sz w:val="28"/>
          <w:szCs w:val="28"/>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39159B" w:rsidRDefault="00E67511" w:rsidP="0039159B">
            <w:pPr>
              <w:pStyle w:val="Caption"/>
              <w:spacing w:before="240" w:line="260" w:lineRule="exact"/>
              <w:rPr>
                <w:b/>
                <w:sz w:val="28"/>
                <w:szCs w:val="28"/>
              </w:rPr>
            </w:pPr>
            <w:r w:rsidRPr="00732169">
              <w:rPr>
                <w:b/>
                <w:sz w:val="28"/>
                <w:szCs w:val="28"/>
              </w:rPr>
              <w:t xml:space="preserve">PETITION TO </w:t>
            </w:r>
            <w:r w:rsidR="0039159B">
              <w:rPr>
                <w:b/>
                <w:sz w:val="28"/>
                <w:szCs w:val="28"/>
              </w:rPr>
              <w:t>MODIFY RULES 5.4, 7.2, and 7.4 OF THE ARIZONA RULES OF CRIMINAL PROCEDURE</w:t>
            </w:r>
            <w:r w:rsidR="0039159B">
              <w:rPr>
                <w:b/>
                <w:sz w:val="28"/>
                <w:szCs w:val="28"/>
              </w:rPr>
              <w:br/>
            </w:r>
            <w:r w:rsidR="0039159B">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39159B">
              <w:rPr>
                <w:sz w:val="28"/>
                <w:szCs w:val="28"/>
              </w:rPr>
              <w:t>0013</w:t>
            </w:r>
          </w:p>
          <w:p w:rsidR="0039159B" w:rsidRDefault="0039159B" w:rsidP="000F7A7F">
            <w:pPr>
              <w:pStyle w:val="Caption"/>
              <w:tabs>
                <w:tab w:val="left" w:pos="1238"/>
              </w:tabs>
              <w:spacing w:line="260" w:lineRule="exact"/>
              <w:ind w:right="115"/>
              <w:jc w:val="center"/>
              <w:rPr>
                <w:b/>
                <w:sz w:val="28"/>
                <w:szCs w:val="28"/>
              </w:rPr>
            </w:pPr>
            <w:r>
              <w:rPr>
                <w:b/>
                <w:sz w:val="28"/>
                <w:szCs w:val="28"/>
              </w:rPr>
              <w:t xml:space="preserve">COMMENT OF THE </w:t>
            </w:r>
          </w:p>
          <w:p w:rsidR="00357F4D" w:rsidRPr="0039159B" w:rsidRDefault="0039159B"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F591C" w:rsidRDefault="0008003D" w:rsidP="006766BF">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p>
    <w:p w:rsidR="0039159B" w:rsidRPr="00F11E49" w:rsidRDefault="0039159B" w:rsidP="0039159B">
      <w:pPr>
        <w:pStyle w:val="Body"/>
        <w:widowControl w:val="0"/>
        <w:spacing w:line="240" w:lineRule="auto"/>
        <w:ind w:firstLine="720"/>
        <w:rPr>
          <w:b/>
          <w:sz w:val="28"/>
          <w:szCs w:val="28"/>
        </w:rPr>
      </w:pPr>
      <w:r w:rsidRPr="00F11E49">
        <w:rPr>
          <w:b/>
          <w:sz w:val="28"/>
          <w:szCs w:val="28"/>
        </w:rPr>
        <w:t>I.</w:t>
      </w:r>
      <w:r>
        <w:rPr>
          <w:b/>
          <w:szCs w:val="26"/>
        </w:rPr>
        <w:t xml:space="preserve">  </w:t>
      </w:r>
      <w:r w:rsidRPr="00F11E49">
        <w:rPr>
          <w:b/>
          <w:sz w:val="28"/>
          <w:szCs w:val="28"/>
        </w:rPr>
        <w:t>BACKGROUND OF PETITION</w:t>
      </w:r>
    </w:p>
    <w:p w:rsidR="0039159B" w:rsidRPr="00812024" w:rsidRDefault="0039159B" w:rsidP="0039159B">
      <w:pPr>
        <w:pStyle w:val="Body"/>
        <w:widowControl w:val="0"/>
        <w:spacing w:line="240" w:lineRule="auto"/>
        <w:ind w:firstLine="720"/>
        <w:rPr>
          <w:b/>
          <w:szCs w:val="26"/>
        </w:rPr>
      </w:pPr>
    </w:p>
    <w:p w:rsidR="0039159B" w:rsidRPr="00F11E49" w:rsidRDefault="0039159B" w:rsidP="0039159B">
      <w:pPr>
        <w:pStyle w:val="Body"/>
        <w:widowControl w:val="0"/>
        <w:spacing w:line="480" w:lineRule="auto"/>
        <w:ind w:right="144" w:firstLine="720"/>
        <w:jc w:val="both"/>
        <w:rPr>
          <w:sz w:val="28"/>
          <w:szCs w:val="28"/>
        </w:rPr>
      </w:pPr>
      <w:r>
        <w:rPr>
          <w:sz w:val="28"/>
          <w:szCs w:val="28"/>
        </w:rPr>
        <w:t>Petitioner</w:t>
      </w:r>
      <w:r w:rsidRPr="00F11E49">
        <w:rPr>
          <w:sz w:val="28"/>
          <w:szCs w:val="28"/>
        </w:rPr>
        <w:t xml:space="preserve"> has proposed a modification to the above-referenced Rules of Criminal Procedure.  The Petition states that the recent changes to the Rules of Criminal Procedure have impeded the efficiency of the bail eligibility and preliminary hearing process. (Petition </w:t>
      </w:r>
      <w:r>
        <w:rPr>
          <w:sz w:val="28"/>
          <w:szCs w:val="28"/>
        </w:rPr>
        <w:t xml:space="preserve">at 2).  The stated goal of the Petition is to make the bail eligibility and preliminary hearing process more efficient. (Petition </w:t>
      </w:r>
      <w:r>
        <w:rPr>
          <w:sz w:val="28"/>
          <w:szCs w:val="28"/>
        </w:rPr>
        <w:lastRenderedPageBreak/>
        <w:t xml:space="preserve">at 2). </w:t>
      </w:r>
      <w:r w:rsidRPr="00F11E49">
        <w:rPr>
          <w:sz w:val="28"/>
          <w:szCs w:val="28"/>
        </w:rPr>
        <w:t xml:space="preserve"> </w:t>
      </w:r>
    </w:p>
    <w:p w:rsidR="0039159B" w:rsidRDefault="0039159B" w:rsidP="0039159B">
      <w:pPr>
        <w:pStyle w:val="Body"/>
        <w:widowControl w:val="0"/>
        <w:spacing w:line="240" w:lineRule="auto"/>
        <w:ind w:firstLine="720"/>
        <w:rPr>
          <w:b/>
          <w:sz w:val="28"/>
          <w:szCs w:val="28"/>
        </w:rPr>
      </w:pPr>
      <w:r w:rsidRPr="00F11E49">
        <w:rPr>
          <w:b/>
          <w:sz w:val="28"/>
          <w:szCs w:val="28"/>
        </w:rPr>
        <w:t xml:space="preserve">II.  </w:t>
      </w:r>
      <w:r>
        <w:rPr>
          <w:b/>
          <w:sz w:val="28"/>
          <w:szCs w:val="28"/>
        </w:rPr>
        <w:t xml:space="preserve">DISCUSSION and </w:t>
      </w:r>
      <w:r w:rsidRPr="00F11E49">
        <w:rPr>
          <w:b/>
          <w:sz w:val="28"/>
          <w:szCs w:val="28"/>
        </w:rPr>
        <w:t>ANALYSIS</w:t>
      </w:r>
    </w:p>
    <w:p w:rsidR="0039159B" w:rsidRDefault="0039159B" w:rsidP="0039159B">
      <w:pPr>
        <w:pStyle w:val="Body"/>
        <w:widowControl w:val="0"/>
        <w:spacing w:line="240" w:lineRule="auto"/>
        <w:ind w:firstLine="720"/>
        <w:rPr>
          <w:b/>
          <w:sz w:val="28"/>
          <w:szCs w:val="28"/>
        </w:rPr>
      </w:pPr>
    </w:p>
    <w:p w:rsidR="0039159B" w:rsidRDefault="0039159B" w:rsidP="0039159B">
      <w:pPr>
        <w:pStyle w:val="Body"/>
        <w:widowControl w:val="0"/>
        <w:spacing w:line="480" w:lineRule="auto"/>
        <w:ind w:firstLine="0"/>
        <w:jc w:val="both"/>
        <w:rPr>
          <w:sz w:val="28"/>
          <w:szCs w:val="28"/>
        </w:rPr>
      </w:pPr>
      <w:r w:rsidRPr="008E1F40">
        <w:rPr>
          <w:sz w:val="28"/>
          <w:szCs w:val="28"/>
        </w:rPr>
        <w:t xml:space="preserve">          The analysis and details for this Comment </w:t>
      </w:r>
      <w:r>
        <w:rPr>
          <w:sz w:val="28"/>
          <w:szCs w:val="28"/>
        </w:rPr>
        <w:t>are</w:t>
      </w:r>
      <w:r w:rsidRPr="008E1F40">
        <w:rPr>
          <w:sz w:val="28"/>
          <w:szCs w:val="28"/>
        </w:rPr>
        <w:t xml:space="preserve"> substantially </w:t>
      </w:r>
      <w:r>
        <w:rPr>
          <w:sz w:val="28"/>
          <w:szCs w:val="28"/>
        </w:rPr>
        <w:t>the product of</w:t>
      </w:r>
      <w:r w:rsidRPr="008E1F40">
        <w:rPr>
          <w:sz w:val="28"/>
          <w:szCs w:val="28"/>
        </w:rPr>
        <w:t xml:space="preserve"> the State Bar’s Criminal Practice and Procedure Committee, </w:t>
      </w:r>
      <w:r>
        <w:rPr>
          <w:sz w:val="28"/>
          <w:szCs w:val="28"/>
        </w:rPr>
        <w:t>composed of a balance of</w:t>
      </w:r>
      <w:r w:rsidRPr="008E1F40">
        <w:rPr>
          <w:sz w:val="28"/>
          <w:szCs w:val="28"/>
        </w:rPr>
        <w:t xml:space="preserve"> prosecution and defense practitioners, </w:t>
      </w:r>
      <w:r>
        <w:rPr>
          <w:sz w:val="28"/>
          <w:szCs w:val="28"/>
        </w:rPr>
        <w:t>and</w:t>
      </w:r>
      <w:r w:rsidRPr="008E1F40">
        <w:rPr>
          <w:sz w:val="28"/>
          <w:szCs w:val="28"/>
        </w:rPr>
        <w:t xml:space="preserve"> judicial members.</w:t>
      </w:r>
    </w:p>
    <w:p w:rsidR="0039159B" w:rsidRPr="00C71189" w:rsidRDefault="0039159B" w:rsidP="0039159B">
      <w:pPr>
        <w:pStyle w:val="Body"/>
        <w:widowControl w:val="0"/>
        <w:spacing w:line="480" w:lineRule="auto"/>
        <w:ind w:firstLine="720"/>
        <w:jc w:val="both"/>
        <w:rPr>
          <w:sz w:val="28"/>
          <w:szCs w:val="28"/>
        </w:rPr>
      </w:pPr>
      <w:r>
        <w:rPr>
          <w:sz w:val="28"/>
          <w:szCs w:val="28"/>
        </w:rPr>
        <w:t>The State Bar supports the concept of efficiency and judicial economy in criminal proceedings, but there are various concerns with amending the Criminal Rules as proposed.  Each is discussed below.</w:t>
      </w:r>
    </w:p>
    <w:p w:rsidR="0039159B" w:rsidRPr="00F11E49" w:rsidRDefault="0039159B" w:rsidP="0039159B">
      <w:pPr>
        <w:pStyle w:val="Body"/>
        <w:widowControl w:val="0"/>
        <w:numPr>
          <w:ilvl w:val="0"/>
          <w:numId w:val="15"/>
        </w:numPr>
        <w:spacing w:line="480" w:lineRule="auto"/>
        <w:ind w:right="144"/>
        <w:jc w:val="both"/>
        <w:rPr>
          <w:b/>
          <w:sz w:val="28"/>
          <w:szCs w:val="28"/>
        </w:rPr>
      </w:pPr>
      <w:r w:rsidRPr="00F11E49">
        <w:rPr>
          <w:b/>
          <w:sz w:val="28"/>
          <w:szCs w:val="28"/>
        </w:rPr>
        <w:t>Proposed Change to Rule 7.2(b)(4)(B)</w:t>
      </w:r>
    </w:p>
    <w:p w:rsidR="0039159B" w:rsidRDefault="0039159B" w:rsidP="0039159B">
      <w:pPr>
        <w:pStyle w:val="Body"/>
        <w:widowControl w:val="0"/>
        <w:spacing w:line="480" w:lineRule="auto"/>
        <w:ind w:right="144" w:firstLine="0"/>
        <w:jc w:val="both"/>
        <w:rPr>
          <w:sz w:val="28"/>
          <w:szCs w:val="28"/>
        </w:rPr>
      </w:pPr>
      <w:r w:rsidRPr="00F11E49">
        <w:rPr>
          <w:sz w:val="28"/>
          <w:szCs w:val="28"/>
        </w:rPr>
        <w:tab/>
        <w:t>This subsection of the rule promulgates</w:t>
      </w:r>
      <w:r>
        <w:rPr>
          <w:sz w:val="28"/>
          <w:szCs w:val="28"/>
        </w:rPr>
        <w:t xml:space="preserve"> the time deadlines for a bail eligibility</w:t>
      </w:r>
      <w:r w:rsidRPr="00F11E49">
        <w:rPr>
          <w:sz w:val="28"/>
          <w:szCs w:val="28"/>
        </w:rPr>
        <w:t xml:space="preserve"> hearing to take place.  Arizona revised statute §13-3961(E) addresses time limitations imposed on continuances requested by either party.  As currently written, the rule provides that if no motion to continue is made pursuant to the terms of </w:t>
      </w:r>
      <w:r w:rsidRPr="00A551D4">
        <w:rPr>
          <w:sz w:val="28"/>
          <w:szCs w:val="28"/>
        </w:rPr>
        <w:t>§</w:t>
      </w:r>
      <w:r w:rsidRPr="00F11E49">
        <w:rPr>
          <w:sz w:val="28"/>
          <w:szCs w:val="28"/>
        </w:rPr>
        <w:t>13-3961(E), then the hearing must be held as soon as practicable, but not later than 7 days after the initial appearance unless the defendant moves for a continuance.  The petition seeks to augment the limitations by adding, “or the Court finds that extraordinary circumstances exist.” (Petition at 10).</w:t>
      </w:r>
    </w:p>
    <w:p w:rsidR="0039159B" w:rsidRDefault="0039159B" w:rsidP="0039159B">
      <w:pPr>
        <w:pStyle w:val="FootnoteText"/>
        <w:spacing w:line="480" w:lineRule="auto"/>
        <w:jc w:val="both"/>
        <w:rPr>
          <w:sz w:val="28"/>
          <w:szCs w:val="28"/>
        </w:rPr>
      </w:pPr>
      <w:r>
        <w:rPr>
          <w:sz w:val="28"/>
          <w:szCs w:val="28"/>
        </w:rPr>
        <w:tab/>
      </w:r>
      <w:r w:rsidRPr="00F11E49">
        <w:rPr>
          <w:sz w:val="28"/>
          <w:szCs w:val="28"/>
        </w:rPr>
        <w:t>This proposed change crea</w:t>
      </w:r>
      <w:r>
        <w:rPr>
          <w:sz w:val="28"/>
          <w:szCs w:val="28"/>
        </w:rPr>
        <w:t>tes an ambiguity.  As stated, the proposal</w:t>
      </w:r>
      <w:r w:rsidRPr="00F11E49">
        <w:rPr>
          <w:sz w:val="28"/>
          <w:szCs w:val="28"/>
        </w:rPr>
        <w:t xml:space="preserve"> provides a mechanism for the </w:t>
      </w:r>
      <w:r>
        <w:rPr>
          <w:sz w:val="28"/>
          <w:szCs w:val="28"/>
        </w:rPr>
        <w:t xml:space="preserve">court to </w:t>
      </w:r>
      <w:r w:rsidRPr="00F11E49">
        <w:rPr>
          <w:sz w:val="28"/>
          <w:szCs w:val="28"/>
        </w:rPr>
        <w:t>continue the hearing</w:t>
      </w:r>
      <w:r>
        <w:rPr>
          <w:sz w:val="28"/>
          <w:szCs w:val="28"/>
        </w:rPr>
        <w:t xml:space="preserve">, </w:t>
      </w:r>
      <w:proofErr w:type="spellStart"/>
      <w:r>
        <w:rPr>
          <w:i/>
          <w:sz w:val="28"/>
          <w:szCs w:val="28"/>
        </w:rPr>
        <w:t>sua</w:t>
      </w:r>
      <w:proofErr w:type="spellEnd"/>
      <w:r>
        <w:rPr>
          <w:i/>
          <w:sz w:val="28"/>
          <w:szCs w:val="28"/>
        </w:rPr>
        <w:t xml:space="preserve"> sponte</w:t>
      </w:r>
      <w:r>
        <w:rPr>
          <w:sz w:val="28"/>
          <w:szCs w:val="28"/>
        </w:rPr>
        <w:t>,</w:t>
      </w:r>
      <w:r w:rsidRPr="00F11E49">
        <w:rPr>
          <w:sz w:val="28"/>
          <w:szCs w:val="28"/>
        </w:rPr>
        <w:t xml:space="preserve"> and</w:t>
      </w:r>
      <w:r>
        <w:rPr>
          <w:sz w:val="28"/>
          <w:szCs w:val="28"/>
        </w:rPr>
        <w:t xml:space="preserve"> it is not clear whether </w:t>
      </w:r>
      <w:r w:rsidRPr="00F11E49">
        <w:rPr>
          <w:sz w:val="28"/>
          <w:szCs w:val="28"/>
        </w:rPr>
        <w:t>the Court is bound by the 7-day limitation.</w:t>
      </w:r>
      <w:r>
        <w:rPr>
          <w:sz w:val="28"/>
          <w:szCs w:val="28"/>
        </w:rPr>
        <w:t xml:space="preserve">  The petition acknowledges the </w:t>
      </w:r>
      <w:r>
        <w:rPr>
          <w:sz w:val="28"/>
          <w:szCs w:val="28"/>
        </w:rPr>
        <w:lastRenderedPageBreak/>
        <w:t xml:space="preserve">modification is sought to grant the Court such authority. (Petition at 8).  But while the </w:t>
      </w:r>
      <w:r>
        <w:rPr>
          <w:sz w:val="28"/>
          <w:szCs w:val="28"/>
        </w:rPr>
        <w:t>p</w:t>
      </w:r>
      <w:r>
        <w:rPr>
          <w:sz w:val="28"/>
          <w:szCs w:val="28"/>
        </w:rPr>
        <w:t>etition posits that any continuances will usually be for 1 day, and not more than 3 days, there is nothing in the proposed rule change that places any limitation on the continuance, or the number of continuances that may be ordered.  Further, the petition concedes that the problems requiring a continuance arise – with only one noted medical exception – as the result of scheduling errors and docket congestion in Maricopa County. (</w:t>
      </w:r>
      <w:r>
        <w:rPr>
          <w:i/>
          <w:sz w:val="28"/>
          <w:szCs w:val="28"/>
        </w:rPr>
        <w:t>Id.</w:t>
      </w:r>
      <w:r>
        <w:rPr>
          <w:sz w:val="28"/>
          <w:szCs w:val="28"/>
        </w:rPr>
        <w:t xml:space="preserve">).  The proposal is too vague and ambiguous to be able to give meaning to due process and the presumption of innocence.  </w:t>
      </w:r>
      <w:proofErr w:type="spellStart"/>
      <w:r w:rsidRPr="004A607B">
        <w:rPr>
          <w:i/>
          <w:sz w:val="28"/>
          <w:szCs w:val="28"/>
        </w:rPr>
        <w:t>Foucha</w:t>
      </w:r>
      <w:proofErr w:type="spellEnd"/>
      <w:r w:rsidRPr="004A607B">
        <w:rPr>
          <w:i/>
          <w:sz w:val="28"/>
          <w:szCs w:val="28"/>
        </w:rPr>
        <w:t xml:space="preserve"> v. Louisiana, </w:t>
      </w:r>
      <w:r>
        <w:rPr>
          <w:sz w:val="28"/>
          <w:szCs w:val="28"/>
        </w:rPr>
        <w:t xml:space="preserve">504 U.S. 71, 80 (1992) (the right to be free from restraint is fundamental). </w:t>
      </w:r>
    </w:p>
    <w:p w:rsidR="0039159B" w:rsidRPr="00F11E49" w:rsidRDefault="0039159B" w:rsidP="0039159B">
      <w:pPr>
        <w:pStyle w:val="Body"/>
        <w:widowControl w:val="0"/>
        <w:spacing w:line="480" w:lineRule="auto"/>
        <w:ind w:right="144" w:firstLine="0"/>
        <w:jc w:val="both"/>
        <w:rPr>
          <w:sz w:val="28"/>
          <w:szCs w:val="28"/>
        </w:rPr>
      </w:pPr>
      <w:r>
        <w:rPr>
          <w:sz w:val="28"/>
          <w:szCs w:val="28"/>
        </w:rPr>
        <w:tab/>
        <w:t xml:space="preserve">Certainly, occasions will arise due to unforeseen circumstances that are not the fault of any person or entity.  If this Court acts favorably on the proposed change, any modification should contain unambiguous language spelling out what may constitute an extraordinary circumstance and what the limits are regarding the length and number of any continuance.  </w:t>
      </w:r>
    </w:p>
    <w:p w:rsidR="0039159B" w:rsidRPr="00F11E49" w:rsidRDefault="0039159B" w:rsidP="0039159B">
      <w:pPr>
        <w:pStyle w:val="Body"/>
        <w:widowControl w:val="0"/>
        <w:numPr>
          <w:ilvl w:val="0"/>
          <w:numId w:val="15"/>
        </w:numPr>
        <w:spacing w:line="480" w:lineRule="auto"/>
        <w:ind w:right="144"/>
        <w:jc w:val="both"/>
        <w:rPr>
          <w:b/>
          <w:sz w:val="28"/>
          <w:szCs w:val="28"/>
        </w:rPr>
      </w:pPr>
      <w:r>
        <w:rPr>
          <w:b/>
          <w:sz w:val="28"/>
          <w:szCs w:val="28"/>
        </w:rPr>
        <w:t xml:space="preserve">Proposed </w:t>
      </w:r>
      <w:r w:rsidRPr="00F11E49">
        <w:rPr>
          <w:b/>
          <w:sz w:val="28"/>
          <w:szCs w:val="28"/>
        </w:rPr>
        <w:t>Rule 7</w:t>
      </w:r>
      <w:r>
        <w:rPr>
          <w:b/>
          <w:sz w:val="28"/>
          <w:szCs w:val="28"/>
        </w:rPr>
        <w:t>.2(b)</w:t>
      </w:r>
      <w:r w:rsidRPr="00F11E49">
        <w:rPr>
          <w:b/>
          <w:sz w:val="28"/>
          <w:szCs w:val="28"/>
        </w:rPr>
        <w:t>(4)(C)</w:t>
      </w:r>
      <w:r>
        <w:rPr>
          <w:b/>
          <w:sz w:val="28"/>
          <w:szCs w:val="28"/>
        </w:rPr>
        <w:t>(</w:t>
      </w:r>
      <w:proofErr w:type="spellStart"/>
      <w:r>
        <w:rPr>
          <w:b/>
          <w:sz w:val="28"/>
          <w:szCs w:val="28"/>
        </w:rPr>
        <w:t>i</w:t>
      </w:r>
      <w:proofErr w:type="spellEnd"/>
      <w:r>
        <w:rPr>
          <w:b/>
          <w:sz w:val="28"/>
          <w:szCs w:val="28"/>
        </w:rPr>
        <w:t xml:space="preserve">) and </w:t>
      </w:r>
      <w:r w:rsidRPr="00F11E49">
        <w:rPr>
          <w:b/>
          <w:sz w:val="28"/>
          <w:szCs w:val="28"/>
        </w:rPr>
        <w:t>(ii)</w:t>
      </w:r>
    </w:p>
    <w:p w:rsidR="0039159B" w:rsidRDefault="0039159B" w:rsidP="0039159B">
      <w:pPr>
        <w:pStyle w:val="Body"/>
        <w:widowControl w:val="0"/>
        <w:spacing w:line="480" w:lineRule="auto"/>
        <w:ind w:right="144" w:firstLine="0"/>
        <w:jc w:val="both"/>
        <w:rPr>
          <w:sz w:val="28"/>
          <w:szCs w:val="28"/>
        </w:rPr>
      </w:pPr>
      <w:r w:rsidRPr="00F11E49">
        <w:rPr>
          <w:b/>
          <w:sz w:val="28"/>
          <w:szCs w:val="28"/>
        </w:rPr>
        <w:tab/>
      </w:r>
      <w:r w:rsidRPr="00310BCD">
        <w:rPr>
          <w:sz w:val="28"/>
          <w:szCs w:val="28"/>
        </w:rPr>
        <w:t xml:space="preserve">The </w:t>
      </w:r>
      <w:r>
        <w:rPr>
          <w:sz w:val="28"/>
          <w:szCs w:val="28"/>
        </w:rPr>
        <w:t>Petition proposes to amend Subsection (4)(C) of Rule 7.2(b) by creating subsections for when probable cause is found (subsection (4)(C)(</w:t>
      </w:r>
      <w:proofErr w:type="spellStart"/>
      <w:r>
        <w:rPr>
          <w:sz w:val="28"/>
          <w:szCs w:val="28"/>
        </w:rPr>
        <w:t>i</w:t>
      </w:r>
      <w:proofErr w:type="spellEnd"/>
      <w:r>
        <w:rPr>
          <w:sz w:val="28"/>
          <w:szCs w:val="28"/>
        </w:rPr>
        <w:t xml:space="preserve">)) and when probable cause is not found (subsection (4)(C)(ii)). (Petition at 11).  </w:t>
      </w:r>
      <w:r w:rsidRPr="00F11E49">
        <w:rPr>
          <w:sz w:val="28"/>
          <w:szCs w:val="28"/>
        </w:rPr>
        <w:t>The proposed</w:t>
      </w:r>
      <w:r>
        <w:rPr>
          <w:sz w:val="28"/>
          <w:szCs w:val="28"/>
        </w:rPr>
        <w:t xml:space="preserve"> deletions to subsection (4)(C) coupled with the new language found in (4)(C)(ii) – </w:t>
      </w:r>
    </w:p>
    <w:p w:rsidR="0039159B" w:rsidRPr="00F11E49" w:rsidRDefault="0039159B" w:rsidP="0039159B">
      <w:pPr>
        <w:pStyle w:val="Body"/>
        <w:widowControl w:val="0"/>
        <w:spacing w:line="480" w:lineRule="auto"/>
        <w:ind w:right="144" w:firstLine="0"/>
        <w:jc w:val="both"/>
        <w:rPr>
          <w:sz w:val="28"/>
          <w:szCs w:val="28"/>
        </w:rPr>
      </w:pPr>
      <w:r>
        <w:rPr>
          <w:sz w:val="28"/>
          <w:szCs w:val="28"/>
        </w:rPr>
        <w:t>mandating dismissal of the complaint and discharge of the defendant</w:t>
      </w:r>
      <w:r w:rsidRPr="00F11E49">
        <w:rPr>
          <w:sz w:val="28"/>
          <w:szCs w:val="28"/>
        </w:rPr>
        <w:t xml:space="preserve"> </w:t>
      </w:r>
      <w:r>
        <w:rPr>
          <w:sz w:val="28"/>
          <w:szCs w:val="28"/>
        </w:rPr>
        <w:t xml:space="preserve">– </w:t>
      </w:r>
      <w:r w:rsidRPr="00F11E49">
        <w:rPr>
          <w:sz w:val="28"/>
          <w:szCs w:val="28"/>
        </w:rPr>
        <w:t xml:space="preserve">will result </w:t>
      </w:r>
      <w:r w:rsidRPr="00F11E49">
        <w:rPr>
          <w:sz w:val="28"/>
          <w:szCs w:val="28"/>
        </w:rPr>
        <w:lastRenderedPageBreak/>
        <w:t>in some cases being dismissed at a bail eligibility hearing where probable cause has already been found as the resu</w:t>
      </w:r>
      <w:r>
        <w:rPr>
          <w:sz w:val="28"/>
          <w:szCs w:val="28"/>
        </w:rPr>
        <w:t>lt of a grand jury indictment or by a</w:t>
      </w:r>
      <w:r w:rsidRPr="00F11E49">
        <w:rPr>
          <w:sz w:val="28"/>
          <w:szCs w:val="28"/>
        </w:rPr>
        <w:t xml:space="preserve"> finding of probable cause at a preliminary hearing.  While a bail eligibility hearing usually takes place before a preliminary hearing or the return of an indictment, this is not always the case.</w:t>
      </w:r>
      <w:r>
        <w:rPr>
          <w:sz w:val="28"/>
          <w:szCs w:val="28"/>
        </w:rPr>
        <w:t xml:space="preserve">  As proposed, the requested modification creates a situation whereby a defendant may be discharged after an indictment is issued or probable cause has been found following a preliminary hearing.</w:t>
      </w:r>
    </w:p>
    <w:p w:rsidR="0039159B" w:rsidRPr="00C06399" w:rsidRDefault="0039159B" w:rsidP="0039159B">
      <w:pPr>
        <w:pStyle w:val="Body"/>
        <w:widowControl w:val="0"/>
        <w:numPr>
          <w:ilvl w:val="0"/>
          <w:numId w:val="15"/>
        </w:numPr>
        <w:spacing w:after="240" w:line="240" w:lineRule="auto"/>
        <w:ind w:right="144"/>
        <w:jc w:val="both"/>
        <w:rPr>
          <w:b/>
          <w:sz w:val="28"/>
          <w:szCs w:val="28"/>
        </w:rPr>
      </w:pPr>
      <w:r>
        <w:rPr>
          <w:b/>
          <w:sz w:val="28"/>
          <w:szCs w:val="28"/>
        </w:rPr>
        <w:t>Proposed Change to Rule 7.4(b)(3).</w:t>
      </w:r>
    </w:p>
    <w:p w:rsidR="0039159B" w:rsidRDefault="0039159B" w:rsidP="0039159B">
      <w:pPr>
        <w:pStyle w:val="Body"/>
        <w:widowControl w:val="0"/>
        <w:spacing w:line="480" w:lineRule="auto"/>
        <w:ind w:right="144" w:firstLine="720"/>
        <w:jc w:val="both"/>
        <w:rPr>
          <w:sz w:val="28"/>
          <w:szCs w:val="28"/>
        </w:rPr>
      </w:pPr>
      <w:r w:rsidRPr="00F11E49">
        <w:rPr>
          <w:sz w:val="28"/>
          <w:szCs w:val="28"/>
        </w:rPr>
        <w:t xml:space="preserve">The Petition notes that the requested change to Rule 7.4(b)(3) is only </w:t>
      </w:r>
      <w:r>
        <w:rPr>
          <w:sz w:val="28"/>
          <w:szCs w:val="28"/>
        </w:rPr>
        <w:t>being made</w:t>
      </w:r>
      <w:r w:rsidRPr="00F11E49">
        <w:rPr>
          <w:sz w:val="28"/>
          <w:szCs w:val="28"/>
        </w:rPr>
        <w:t xml:space="preserve"> to conform the language of Rule 7.4 to the proposed change to Rule 7.2(b).</w:t>
      </w:r>
      <w:r>
        <w:rPr>
          <w:sz w:val="28"/>
          <w:szCs w:val="28"/>
        </w:rPr>
        <w:t xml:space="preserve"> (Petition at 7).</w:t>
      </w:r>
    </w:p>
    <w:p w:rsidR="0039159B" w:rsidRDefault="0039159B" w:rsidP="0039159B">
      <w:pPr>
        <w:pStyle w:val="Body"/>
        <w:widowControl w:val="0"/>
        <w:spacing w:line="480" w:lineRule="auto"/>
        <w:ind w:right="144" w:firstLine="720"/>
        <w:jc w:val="both"/>
        <w:rPr>
          <w:sz w:val="28"/>
          <w:szCs w:val="28"/>
        </w:rPr>
      </w:pPr>
    </w:p>
    <w:p w:rsidR="0039159B" w:rsidRDefault="0039159B" w:rsidP="0039159B">
      <w:pPr>
        <w:pStyle w:val="Body"/>
        <w:widowControl w:val="0"/>
        <w:spacing w:line="480" w:lineRule="auto"/>
        <w:ind w:right="144" w:firstLine="720"/>
        <w:jc w:val="center"/>
        <w:rPr>
          <w:b/>
          <w:sz w:val="28"/>
          <w:szCs w:val="28"/>
        </w:rPr>
      </w:pPr>
      <w:r w:rsidRPr="00F11E49">
        <w:rPr>
          <w:b/>
          <w:sz w:val="28"/>
          <w:szCs w:val="28"/>
        </w:rPr>
        <w:t>CONCLUSION</w:t>
      </w:r>
    </w:p>
    <w:p w:rsidR="0039159B" w:rsidRDefault="0039159B" w:rsidP="0039159B">
      <w:pPr>
        <w:pStyle w:val="Body"/>
        <w:widowControl w:val="0"/>
        <w:spacing w:line="480" w:lineRule="auto"/>
        <w:ind w:right="144" w:firstLine="720"/>
        <w:jc w:val="both"/>
        <w:rPr>
          <w:sz w:val="28"/>
          <w:szCs w:val="28"/>
        </w:rPr>
      </w:pPr>
      <w:r>
        <w:rPr>
          <w:sz w:val="28"/>
          <w:szCs w:val="28"/>
        </w:rPr>
        <w:t>On many occasions, the charges for which an individual is booked are not what is ultimately charged. The Petition acknowledges that even under the proposed modifications, there will be many instances where more than one hearing will be necessary. (Petition at 6).</w:t>
      </w:r>
    </w:p>
    <w:p w:rsidR="0039159B" w:rsidRDefault="0039159B" w:rsidP="0039159B">
      <w:pPr>
        <w:pStyle w:val="Body"/>
        <w:widowControl w:val="0"/>
        <w:spacing w:line="480" w:lineRule="auto"/>
        <w:ind w:right="144" w:firstLine="720"/>
        <w:jc w:val="both"/>
        <w:rPr>
          <w:sz w:val="28"/>
          <w:szCs w:val="28"/>
        </w:rPr>
      </w:pPr>
      <w:r w:rsidRPr="00F11E49">
        <w:rPr>
          <w:sz w:val="28"/>
          <w:szCs w:val="28"/>
        </w:rPr>
        <w:t>For the above-stated reasons, the State Bar respectfully requests that the Arizona Supreme Court not amend Criminal Rules 5.4(a), 7.2(b), and 7.4(b)(3), as</w:t>
      </w:r>
    </w:p>
    <w:p w:rsidR="0039159B" w:rsidRDefault="0039159B" w:rsidP="0039159B">
      <w:pPr>
        <w:pStyle w:val="Body"/>
        <w:widowControl w:val="0"/>
        <w:spacing w:line="480" w:lineRule="auto"/>
        <w:ind w:right="144" w:firstLine="720"/>
        <w:jc w:val="both"/>
        <w:rPr>
          <w:sz w:val="28"/>
          <w:szCs w:val="28"/>
        </w:rPr>
      </w:pPr>
    </w:p>
    <w:p w:rsidR="0039159B" w:rsidRPr="006431E3" w:rsidRDefault="0039159B" w:rsidP="0039159B">
      <w:pPr>
        <w:pStyle w:val="Body"/>
        <w:widowControl w:val="0"/>
        <w:spacing w:line="480" w:lineRule="auto"/>
        <w:ind w:right="144" w:firstLine="0"/>
        <w:jc w:val="both"/>
        <w:rPr>
          <w:b/>
          <w:sz w:val="28"/>
          <w:szCs w:val="28"/>
        </w:rPr>
      </w:pPr>
      <w:r w:rsidRPr="00F11E49">
        <w:rPr>
          <w:sz w:val="28"/>
          <w:szCs w:val="28"/>
        </w:rPr>
        <w:lastRenderedPageBreak/>
        <w:t>requested in the Petition.</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39159B" w:rsidRPr="00C52E56" w:rsidRDefault="0039159B" w:rsidP="00C52E56">
      <w:pPr>
        <w:tabs>
          <w:tab w:val="left" w:pos="4836"/>
        </w:tabs>
        <w:spacing w:line="240" w:lineRule="auto"/>
        <w:ind w:right="3870"/>
        <w:rPr>
          <w:sz w:val="28"/>
          <w:szCs w:val="28"/>
        </w:rPr>
      </w:pPr>
      <w:bookmarkStart w:id="2" w:name="_GoBack"/>
      <w:bookmarkEnd w:id="2"/>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D3F07"/>
    <w:multiLevelType w:val="hybridMultilevel"/>
    <w:tmpl w:val="68BC8152"/>
    <w:lvl w:ilvl="0" w:tplc="3968D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5"/>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9159B"/>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3768B45"/>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39EFC-DD7D-406C-8C73-FC67EDF4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5</Pages>
  <Words>835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2019-05-01T23:15:00Z</dcterms:created>
  <dcterms:modified xsi:type="dcterms:W3CDTF">2019-05-01T23:15:00Z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