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rsidR="00494BDF" w:rsidRPr="006F63FD" w:rsidRDefault="00494BDF" w:rsidP="00000C35">
            <w:pPr>
              <w:pStyle w:val="FirmInformation"/>
              <w:spacing w:line="240" w:lineRule="auto"/>
              <w:rPr>
                <w:sz w:val="28"/>
                <w:szCs w:val="28"/>
              </w:rPr>
            </w:pPr>
            <w:r w:rsidRPr="006F63FD">
              <w:rPr>
                <w:sz w:val="28"/>
                <w:szCs w:val="28"/>
              </w:rPr>
              <w:t>State Bar of Arizona</w:t>
            </w:r>
          </w:p>
          <w:p w:rsidR="00357F4D" w:rsidRPr="006F63FD" w:rsidRDefault="00357F4D" w:rsidP="00000C35">
            <w:pPr>
              <w:pStyle w:val="FirmInformation"/>
              <w:spacing w:line="240" w:lineRule="auto"/>
              <w:rPr>
                <w:sz w:val="28"/>
                <w:szCs w:val="28"/>
              </w:rPr>
            </w:pPr>
            <w:r w:rsidRPr="006F63FD">
              <w:rPr>
                <w:sz w:val="28"/>
                <w:szCs w:val="28"/>
              </w:rPr>
              <w:t>4201 N. 24th Street, Suite 100</w:t>
            </w:r>
          </w:p>
          <w:p w:rsidR="00357F4D" w:rsidRPr="006F63FD" w:rsidRDefault="00357F4D" w:rsidP="00000C35">
            <w:pPr>
              <w:pStyle w:val="FirmInformation"/>
              <w:spacing w:line="240" w:lineRule="auto"/>
              <w:rPr>
                <w:sz w:val="28"/>
                <w:szCs w:val="28"/>
              </w:rPr>
            </w:pPr>
            <w:r w:rsidRPr="006F63FD">
              <w:rPr>
                <w:sz w:val="28"/>
                <w:szCs w:val="28"/>
              </w:rPr>
              <w:t>Phoenix, AZ  85016-6288</w:t>
            </w:r>
          </w:p>
          <w:p w:rsidR="006F63FD" w:rsidRPr="00735659" w:rsidRDefault="00352347" w:rsidP="00735659">
            <w:pPr>
              <w:pStyle w:val="FirmInformation"/>
              <w:spacing w:line="240" w:lineRule="auto"/>
              <w:rPr>
                <w:sz w:val="28"/>
                <w:szCs w:val="28"/>
              </w:rPr>
            </w:pPr>
            <w:r>
              <w:rPr>
                <w:sz w:val="28"/>
                <w:szCs w:val="28"/>
              </w:rPr>
              <w:t>(602) 340-7236</w:t>
            </w:r>
          </w:p>
        </w:tc>
        <w:tc>
          <w:tcPr>
            <w:tcW w:w="4200" w:type="dxa"/>
          </w:tcPr>
          <w:p w:rsidR="00357F4D" w:rsidRPr="000F7A7F" w:rsidRDefault="00357F4D" w:rsidP="00000C35">
            <w:pPr>
              <w:ind w:left="113" w:right="113"/>
              <w:rPr>
                <w:sz w:val="26"/>
                <w:szCs w:val="26"/>
              </w:rPr>
            </w:pPr>
          </w:p>
        </w:tc>
      </w:tr>
      <w:bookmarkEnd w:id="0"/>
    </w:tbl>
    <w:p w:rsidR="00357F4D" w:rsidRPr="000F7A7F" w:rsidRDefault="00357F4D" w:rsidP="00735659">
      <w:pPr>
        <w:pStyle w:val="Court"/>
        <w:spacing w:line="508" w:lineRule="exact"/>
        <w:jc w:val="left"/>
        <w:rPr>
          <w:b/>
        </w:rPr>
      </w:pPr>
    </w:p>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rsidR="00357F4D" w:rsidRPr="006A6449" w:rsidRDefault="00E67511" w:rsidP="006A6449">
            <w:pPr>
              <w:pStyle w:val="Caption"/>
              <w:spacing w:before="240" w:line="260" w:lineRule="exact"/>
              <w:rPr>
                <w:b/>
                <w:sz w:val="28"/>
                <w:szCs w:val="28"/>
              </w:rPr>
            </w:pPr>
            <w:r w:rsidRPr="00732169">
              <w:rPr>
                <w:b/>
                <w:sz w:val="28"/>
                <w:szCs w:val="28"/>
              </w:rPr>
              <w:t xml:space="preserve">PETITION TO </w:t>
            </w:r>
            <w:r w:rsidR="006A6449">
              <w:rPr>
                <w:b/>
                <w:sz w:val="28"/>
                <w:szCs w:val="28"/>
              </w:rPr>
              <w:t>AMEND RULE 32; ADOPT NEW RULE 33; AMEND VARIOUS RULE 41 FORMS AND ADOPT NEW FORMS; RENUMBER RULE 33 OF THE ARIZONA RULES OF CRIMINAL PROCEDURE; and ADOPT A CONFORMING CHANGE TO RULE 17.1(e) OF THE ARIZONA RULES OF CRIMINAL PROCEDURE</w:t>
            </w:r>
            <w:r w:rsidR="006A6449">
              <w:rPr>
                <w:b/>
                <w:sz w:val="28"/>
                <w:szCs w:val="28"/>
              </w:rPr>
              <w:br/>
            </w: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692391">
              <w:rPr>
                <w:sz w:val="28"/>
                <w:szCs w:val="28"/>
              </w:rPr>
              <w:t>1</w:t>
            </w:r>
            <w:r w:rsidR="00D60D9B">
              <w:rPr>
                <w:sz w:val="28"/>
                <w:szCs w:val="28"/>
              </w:rPr>
              <w:t>9</w:t>
            </w:r>
            <w:r w:rsidR="00F850BE">
              <w:rPr>
                <w:sz w:val="28"/>
                <w:szCs w:val="28"/>
              </w:rPr>
              <w:t>-</w:t>
            </w:r>
            <w:r w:rsidR="006A6449">
              <w:rPr>
                <w:sz w:val="28"/>
                <w:szCs w:val="28"/>
              </w:rPr>
              <w:t>0012</w:t>
            </w:r>
          </w:p>
          <w:p w:rsidR="006A6449" w:rsidRDefault="006A6449" w:rsidP="000F7A7F">
            <w:pPr>
              <w:pStyle w:val="Caption"/>
              <w:tabs>
                <w:tab w:val="left" w:pos="1238"/>
              </w:tabs>
              <w:spacing w:line="260" w:lineRule="exact"/>
              <w:ind w:right="115"/>
              <w:jc w:val="center"/>
              <w:rPr>
                <w:b/>
                <w:sz w:val="28"/>
                <w:szCs w:val="28"/>
              </w:rPr>
            </w:pPr>
            <w:r>
              <w:rPr>
                <w:b/>
                <w:sz w:val="28"/>
                <w:szCs w:val="28"/>
              </w:rPr>
              <w:t xml:space="preserve">COMMENT OF THE </w:t>
            </w:r>
          </w:p>
          <w:p w:rsidR="00357F4D" w:rsidRPr="006A6449" w:rsidRDefault="006A6449" w:rsidP="000F7A7F">
            <w:pPr>
              <w:pStyle w:val="Caption"/>
              <w:tabs>
                <w:tab w:val="left" w:pos="1238"/>
              </w:tabs>
              <w:spacing w:line="260" w:lineRule="exact"/>
              <w:ind w:right="115"/>
              <w:jc w:val="center"/>
              <w:rPr>
                <w:b/>
                <w:sz w:val="28"/>
                <w:szCs w:val="28"/>
              </w:rPr>
            </w:pPr>
            <w:r>
              <w:rPr>
                <w:b/>
                <w:sz w:val="28"/>
                <w:szCs w:val="28"/>
              </w:rPr>
              <w:t>STATE BAR OF ARIZONA</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1"/>
    </w:tbl>
    <w:p w:rsidR="004331B2" w:rsidRDefault="004331B2" w:rsidP="006338C1">
      <w:pPr>
        <w:pStyle w:val="Body"/>
        <w:widowControl w:val="0"/>
        <w:ind w:firstLine="720"/>
        <w:jc w:val="both"/>
        <w:rPr>
          <w:sz w:val="28"/>
          <w:szCs w:val="28"/>
        </w:rPr>
      </w:pPr>
    </w:p>
    <w:p w:rsidR="001F591C" w:rsidRDefault="0008003D" w:rsidP="006766BF">
      <w:pPr>
        <w:pStyle w:val="Body"/>
        <w:widowControl w:val="0"/>
        <w:spacing w:line="480" w:lineRule="auto"/>
        <w:ind w:firstLine="720"/>
        <w:jc w:val="both"/>
        <w:rPr>
          <w:sz w:val="28"/>
          <w:szCs w:val="28"/>
        </w:rPr>
      </w:pPr>
      <w:r w:rsidRPr="007B7449">
        <w:rPr>
          <w:sz w:val="28"/>
          <w:szCs w:val="28"/>
        </w:rPr>
        <w:t>Pursuant to Rule 28(D) of the Arizona Rules of Supreme Court, the State Bar of Arizona (the “State Bar”) hereby submits the following as its Comment to the abo</w:t>
      </w:r>
      <w:r>
        <w:rPr>
          <w:sz w:val="28"/>
          <w:szCs w:val="28"/>
        </w:rPr>
        <w:t xml:space="preserve">ve-captioned Petition. </w:t>
      </w:r>
      <w:r w:rsidR="00C03E0F" w:rsidRPr="006F63FD">
        <w:rPr>
          <w:sz w:val="28"/>
          <w:szCs w:val="28"/>
        </w:rPr>
        <w:t xml:space="preserve"> </w:t>
      </w:r>
    </w:p>
    <w:p w:rsidR="006A6449" w:rsidRDefault="006A6449" w:rsidP="006A6449">
      <w:pPr>
        <w:pStyle w:val="Body"/>
        <w:widowControl w:val="0"/>
        <w:spacing w:line="480" w:lineRule="auto"/>
        <w:ind w:firstLine="0"/>
        <w:jc w:val="both"/>
        <w:rPr>
          <w:sz w:val="28"/>
          <w:szCs w:val="28"/>
        </w:rPr>
      </w:pPr>
      <w:r w:rsidRPr="008E1F40">
        <w:rPr>
          <w:sz w:val="28"/>
          <w:szCs w:val="28"/>
        </w:rPr>
        <w:t xml:space="preserve">          The analysis and details for this Comment </w:t>
      </w:r>
      <w:r>
        <w:rPr>
          <w:sz w:val="28"/>
          <w:szCs w:val="28"/>
        </w:rPr>
        <w:t>are</w:t>
      </w:r>
      <w:r w:rsidRPr="008E1F40">
        <w:rPr>
          <w:sz w:val="28"/>
          <w:szCs w:val="28"/>
        </w:rPr>
        <w:t xml:space="preserve"> substantially </w:t>
      </w:r>
      <w:r>
        <w:rPr>
          <w:sz w:val="28"/>
          <w:szCs w:val="28"/>
        </w:rPr>
        <w:t>the product of</w:t>
      </w:r>
      <w:r w:rsidRPr="008E1F40">
        <w:rPr>
          <w:sz w:val="28"/>
          <w:szCs w:val="28"/>
        </w:rPr>
        <w:t xml:space="preserve"> the State Bar’s Criminal Practice and Procedure Committee, </w:t>
      </w:r>
      <w:r>
        <w:rPr>
          <w:sz w:val="28"/>
          <w:szCs w:val="28"/>
        </w:rPr>
        <w:t>composed of a balance of</w:t>
      </w:r>
      <w:r w:rsidRPr="008E1F40">
        <w:rPr>
          <w:sz w:val="28"/>
          <w:szCs w:val="28"/>
        </w:rPr>
        <w:t xml:space="preserve"> prosecution and defense practitioners, </w:t>
      </w:r>
      <w:r>
        <w:rPr>
          <w:sz w:val="28"/>
          <w:szCs w:val="28"/>
        </w:rPr>
        <w:t>and</w:t>
      </w:r>
      <w:r w:rsidRPr="008E1F40">
        <w:rPr>
          <w:sz w:val="28"/>
          <w:szCs w:val="28"/>
        </w:rPr>
        <w:t xml:space="preserve"> judicial members.</w:t>
      </w:r>
    </w:p>
    <w:p w:rsidR="006A6449" w:rsidRDefault="006A6449" w:rsidP="006A6449">
      <w:pPr>
        <w:pStyle w:val="Body"/>
        <w:widowControl w:val="0"/>
        <w:spacing w:line="240" w:lineRule="auto"/>
        <w:ind w:firstLine="720"/>
        <w:rPr>
          <w:b/>
          <w:sz w:val="28"/>
          <w:szCs w:val="28"/>
        </w:rPr>
      </w:pPr>
    </w:p>
    <w:p w:rsidR="006A6449" w:rsidRDefault="006A6449" w:rsidP="006A6449">
      <w:pPr>
        <w:pStyle w:val="Body"/>
        <w:widowControl w:val="0"/>
        <w:spacing w:line="240" w:lineRule="auto"/>
        <w:ind w:firstLine="720"/>
        <w:rPr>
          <w:b/>
          <w:sz w:val="28"/>
          <w:szCs w:val="28"/>
        </w:rPr>
      </w:pPr>
    </w:p>
    <w:p w:rsidR="006A6449" w:rsidRPr="00F11E49" w:rsidRDefault="006A6449" w:rsidP="006A6449">
      <w:pPr>
        <w:pStyle w:val="Body"/>
        <w:widowControl w:val="0"/>
        <w:spacing w:line="240" w:lineRule="auto"/>
        <w:ind w:firstLine="720"/>
        <w:rPr>
          <w:b/>
          <w:sz w:val="28"/>
          <w:szCs w:val="28"/>
        </w:rPr>
      </w:pPr>
      <w:r w:rsidRPr="00F11E49">
        <w:rPr>
          <w:b/>
          <w:sz w:val="28"/>
          <w:szCs w:val="28"/>
        </w:rPr>
        <w:lastRenderedPageBreak/>
        <w:t>I.</w:t>
      </w:r>
      <w:r>
        <w:rPr>
          <w:b/>
          <w:szCs w:val="26"/>
        </w:rPr>
        <w:t xml:space="preserve">  </w:t>
      </w:r>
      <w:r>
        <w:rPr>
          <w:b/>
          <w:sz w:val="28"/>
          <w:szCs w:val="28"/>
        </w:rPr>
        <w:t>Background of Petition</w:t>
      </w:r>
    </w:p>
    <w:p w:rsidR="006A6449" w:rsidRPr="00812024" w:rsidRDefault="006A6449" w:rsidP="006A6449">
      <w:pPr>
        <w:pStyle w:val="Body"/>
        <w:widowControl w:val="0"/>
        <w:spacing w:line="240" w:lineRule="auto"/>
        <w:ind w:firstLine="720"/>
        <w:rPr>
          <w:b/>
          <w:szCs w:val="26"/>
        </w:rPr>
      </w:pPr>
    </w:p>
    <w:p w:rsidR="006A6449" w:rsidRPr="00F11E49" w:rsidRDefault="006A6449" w:rsidP="006A6449">
      <w:pPr>
        <w:pStyle w:val="Body"/>
        <w:widowControl w:val="0"/>
        <w:spacing w:line="480" w:lineRule="auto"/>
        <w:ind w:right="144" w:firstLine="720"/>
        <w:jc w:val="both"/>
        <w:rPr>
          <w:sz w:val="28"/>
          <w:szCs w:val="28"/>
        </w:rPr>
      </w:pPr>
      <w:r>
        <w:rPr>
          <w:sz w:val="28"/>
          <w:szCs w:val="28"/>
        </w:rPr>
        <w:t xml:space="preserve">In January of 2018, this Court established a Task Force whose mandate was to improve on the objectives of Rule 32, Ariz. Rules Crim. Pro., by identifying and proposing substantive changes to the Rule.  (Petition at 3). </w:t>
      </w:r>
      <w:r w:rsidRPr="00F11E49">
        <w:rPr>
          <w:sz w:val="28"/>
          <w:szCs w:val="28"/>
        </w:rPr>
        <w:t xml:space="preserve"> </w:t>
      </w:r>
      <w:r>
        <w:rPr>
          <w:sz w:val="28"/>
          <w:szCs w:val="28"/>
        </w:rPr>
        <w:t>Petition R-19-0012 is the result of the work of the Task Force.</w:t>
      </w:r>
    </w:p>
    <w:p w:rsidR="006A6449" w:rsidRDefault="006A6449" w:rsidP="006A6449">
      <w:pPr>
        <w:pStyle w:val="Body"/>
        <w:widowControl w:val="0"/>
        <w:spacing w:line="240" w:lineRule="auto"/>
        <w:ind w:firstLine="720"/>
        <w:rPr>
          <w:b/>
          <w:sz w:val="28"/>
          <w:szCs w:val="28"/>
        </w:rPr>
      </w:pPr>
      <w:r w:rsidRPr="00F11E49">
        <w:rPr>
          <w:b/>
          <w:sz w:val="28"/>
          <w:szCs w:val="28"/>
        </w:rPr>
        <w:t xml:space="preserve">II.  </w:t>
      </w:r>
      <w:r>
        <w:rPr>
          <w:b/>
          <w:sz w:val="28"/>
          <w:szCs w:val="28"/>
        </w:rPr>
        <w:t>Discussion and Analysis</w:t>
      </w:r>
    </w:p>
    <w:p w:rsidR="006A6449" w:rsidRDefault="006A6449" w:rsidP="006A6449">
      <w:pPr>
        <w:pStyle w:val="Body"/>
        <w:widowControl w:val="0"/>
        <w:spacing w:line="240" w:lineRule="auto"/>
        <w:ind w:firstLine="720"/>
        <w:rPr>
          <w:b/>
          <w:sz w:val="28"/>
          <w:szCs w:val="28"/>
        </w:rPr>
      </w:pPr>
    </w:p>
    <w:p w:rsidR="006A6449" w:rsidRPr="00B861E2" w:rsidRDefault="006A6449" w:rsidP="006A6449">
      <w:pPr>
        <w:pStyle w:val="Body"/>
        <w:widowControl w:val="0"/>
        <w:spacing w:line="480" w:lineRule="auto"/>
        <w:ind w:firstLine="720"/>
        <w:jc w:val="both"/>
        <w:rPr>
          <w:sz w:val="28"/>
          <w:szCs w:val="28"/>
        </w:rPr>
      </w:pPr>
      <w:r>
        <w:rPr>
          <w:sz w:val="28"/>
          <w:szCs w:val="28"/>
        </w:rPr>
        <w:t>The State Bar of Arizona supports the recommendations of the Petition with some suggestions to modify the proposed Rule 32.6, Ariz. Rules Crim. Pro.  These are discussed below.</w:t>
      </w:r>
    </w:p>
    <w:p w:rsidR="006A6449" w:rsidRPr="00C752F0" w:rsidRDefault="006A6449" w:rsidP="006A6449">
      <w:pPr>
        <w:pStyle w:val="Body"/>
        <w:widowControl w:val="0"/>
        <w:spacing w:line="480" w:lineRule="auto"/>
        <w:ind w:right="144" w:firstLine="720"/>
        <w:jc w:val="both"/>
        <w:rPr>
          <w:sz w:val="28"/>
          <w:szCs w:val="28"/>
        </w:rPr>
      </w:pPr>
      <w:r>
        <w:rPr>
          <w:sz w:val="28"/>
          <w:szCs w:val="28"/>
        </w:rPr>
        <w:t xml:space="preserve">Proposed Rule 32 will govern post-conviction cases where the defendant proceeds to trial or a hearing and does not plead guilty or admit to violating probation.  Proposed Rule 33 will be the rule governing of-right post-conviction cases where there has been a plea or admission. </w:t>
      </w:r>
    </w:p>
    <w:p w:rsidR="006A6449" w:rsidRDefault="006A6449" w:rsidP="006A6449">
      <w:pPr>
        <w:pStyle w:val="Body"/>
        <w:widowControl w:val="0"/>
        <w:spacing w:line="480" w:lineRule="auto"/>
        <w:ind w:right="144" w:firstLine="720"/>
        <w:jc w:val="both"/>
        <w:rPr>
          <w:sz w:val="28"/>
          <w:szCs w:val="28"/>
        </w:rPr>
      </w:pPr>
      <w:r>
        <w:rPr>
          <w:sz w:val="28"/>
          <w:szCs w:val="28"/>
        </w:rPr>
        <w:t xml:space="preserve">Proposed Rule 32.6(c) mandates the information that must be included in a Notice when counsel determines that there are no colorable claims.  The proposed Rule contains 18 subsections detailing the information post-conviction counsel must include in any such Notice. </w:t>
      </w:r>
      <w:r w:rsidRPr="00070AA2">
        <w:rPr>
          <w:sz w:val="28"/>
          <w:szCs w:val="28"/>
        </w:rPr>
        <w:t>(See, Proposed Rule 32.6(c)).</w:t>
      </w:r>
      <w:r>
        <w:rPr>
          <w:sz w:val="28"/>
          <w:szCs w:val="28"/>
        </w:rPr>
        <w:t xml:space="preserve">  </w:t>
      </w:r>
    </w:p>
    <w:p w:rsidR="006A6449" w:rsidRDefault="006A6449" w:rsidP="006A6449">
      <w:pPr>
        <w:pStyle w:val="Body"/>
        <w:widowControl w:val="0"/>
        <w:spacing w:line="480" w:lineRule="auto"/>
        <w:ind w:right="144" w:firstLine="720"/>
        <w:jc w:val="both"/>
        <w:rPr>
          <w:sz w:val="28"/>
          <w:szCs w:val="28"/>
        </w:rPr>
      </w:pPr>
      <w:r>
        <w:rPr>
          <w:sz w:val="28"/>
          <w:szCs w:val="28"/>
        </w:rPr>
        <w:t>An example of the information to be included is the following:</w:t>
      </w:r>
    </w:p>
    <w:p w:rsidR="006A6449" w:rsidRDefault="006A6449" w:rsidP="006A6449">
      <w:pPr>
        <w:pStyle w:val="Body"/>
        <w:widowControl w:val="0"/>
        <w:spacing w:after="120" w:line="240" w:lineRule="auto"/>
        <w:ind w:left="1440" w:right="1440" w:firstLine="0"/>
        <w:jc w:val="both"/>
        <w:rPr>
          <w:sz w:val="28"/>
          <w:szCs w:val="28"/>
        </w:rPr>
      </w:pPr>
      <w:r>
        <w:rPr>
          <w:b/>
          <w:sz w:val="28"/>
          <w:szCs w:val="28"/>
        </w:rPr>
        <w:t xml:space="preserve">(6) </w:t>
      </w:r>
      <w:r>
        <w:rPr>
          <w:sz w:val="28"/>
          <w:szCs w:val="28"/>
        </w:rPr>
        <w:t xml:space="preserve">Any adverse pretrial rulings affecting the course of the trial (e.g., motions to suppress, motions </w:t>
      </w:r>
      <w:r w:rsidRPr="00AC3ADD">
        <w:rPr>
          <w:i/>
          <w:sz w:val="28"/>
          <w:szCs w:val="28"/>
        </w:rPr>
        <w:t xml:space="preserve">in </w:t>
      </w:r>
      <w:proofErr w:type="spellStart"/>
      <w:r w:rsidRPr="00AC3ADD">
        <w:rPr>
          <w:i/>
          <w:sz w:val="28"/>
          <w:szCs w:val="28"/>
        </w:rPr>
        <w:t>limine</w:t>
      </w:r>
      <w:proofErr w:type="spellEnd"/>
      <w:r>
        <w:rPr>
          <w:sz w:val="28"/>
          <w:szCs w:val="28"/>
        </w:rPr>
        <w:t>, motions to quash, speedy trial motions);</w:t>
      </w:r>
    </w:p>
    <w:p w:rsidR="006A6449" w:rsidRPr="00AC3ADD" w:rsidRDefault="006A6449" w:rsidP="006A6449">
      <w:pPr>
        <w:pStyle w:val="Body"/>
        <w:widowControl w:val="0"/>
        <w:spacing w:after="120" w:line="240" w:lineRule="auto"/>
        <w:ind w:left="1440" w:right="1440" w:firstLine="0"/>
        <w:jc w:val="both"/>
        <w:rPr>
          <w:sz w:val="28"/>
          <w:szCs w:val="28"/>
        </w:rPr>
      </w:pPr>
      <w:r>
        <w:rPr>
          <w:b/>
          <w:sz w:val="28"/>
          <w:szCs w:val="28"/>
        </w:rPr>
        <w:lastRenderedPageBreak/>
        <w:t xml:space="preserve">(7) </w:t>
      </w:r>
      <w:r>
        <w:rPr>
          <w:sz w:val="28"/>
          <w:szCs w:val="28"/>
        </w:rPr>
        <w:t xml:space="preserve">any adverse rulings during trial on objections or motions (e.g., </w:t>
      </w:r>
      <w:proofErr w:type="gramStart"/>
      <w:r>
        <w:rPr>
          <w:sz w:val="28"/>
          <w:szCs w:val="28"/>
        </w:rPr>
        <w:t>objections  regarding</w:t>
      </w:r>
      <w:proofErr w:type="gramEnd"/>
      <w:r>
        <w:rPr>
          <w:sz w:val="28"/>
          <w:szCs w:val="28"/>
        </w:rPr>
        <w:t xml:space="preserve">  the admission of exclusion of evidence, objections premised on prosecutorial or judicial misconduct, mistrial motions, motions for directed verdict);</w:t>
      </w:r>
    </w:p>
    <w:p w:rsidR="006A6449" w:rsidRDefault="006A6449" w:rsidP="006A6449">
      <w:pPr>
        <w:pStyle w:val="Body"/>
        <w:widowControl w:val="0"/>
        <w:spacing w:after="120" w:line="240" w:lineRule="auto"/>
        <w:ind w:left="1440" w:right="1440" w:firstLine="0"/>
        <w:jc w:val="both"/>
        <w:rPr>
          <w:sz w:val="28"/>
          <w:szCs w:val="28"/>
        </w:rPr>
      </w:pPr>
      <w:r>
        <w:rPr>
          <w:b/>
          <w:sz w:val="28"/>
          <w:szCs w:val="28"/>
        </w:rPr>
        <w:t xml:space="preserve">(8) </w:t>
      </w:r>
      <w:r>
        <w:rPr>
          <w:sz w:val="28"/>
          <w:szCs w:val="28"/>
        </w:rPr>
        <w:t>any adverse rulings on post-trial motions (e.g., motion for a new trial, motion to vacate judgment;</w:t>
      </w:r>
    </w:p>
    <w:p w:rsidR="006A6449" w:rsidRDefault="006A6449" w:rsidP="006A6449">
      <w:pPr>
        <w:pStyle w:val="Body"/>
        <w:widowControl w:val="0"/>
        <w:spacing w:after="120" w:line="240" w:lineRule="auto"/>
        <w:ind w:left="1440" w:right="1440" w:firstLine="0"/>
        <w:jc w:val="both"/>
        <w:rPr>
          <w:sz w:val="28"/>
          <w:szCs w:val="28"/>
        </w:rPr>
      </w:pPr>
      <w:r>
        <w:rPr>
          <w:b/>
          <w:sz w:val="28"/>
          <w:szCs w:val="28"/>
        </w:rPr>
        <w:t xml:space="preserve">(9) </w:t>
      </w:r>
      <w:r w:rsidRPr="009145D3">
        <w:rPr>
          <w:sz w:val="28"/>
          <w:szCs w:val="28"/>
        </w:rPr>
        <w:t xml:space="preserve">issues regarding jury selection, </w:t>
      </w:r>
      <w:r>
        <w:rPr>
          <w:sz w:val="28"/>
          <w:szCs w:val="28"/>
        </w:rPr>
        <w:t>if the trial was to a jury;</w:t>
      </w:r>
    </w:p>
    <w:p w:rsidR="006A6449" w:rsidRDefault="006A6449" w:rsidP="006A6449">
      <w:pPr>
        <w:pStyle w:val="Body"/>
        <w:widowControl w:val="0"/>
        <w:spacing w:after="120" w:line="240" w:lineRule="auto"/>
        <w:ind w:left="1440" w:right="1440" w:firstLine="0"/>
        <w:jc w:val="both"/>
        <w:rPr>
          <w:sz w:val="28"/>
          <w:szCs w:val="28"/>
        </w:rPr>
      </w:pPr>
      <w:r>
        <w:rPr>
          <w:b/>
          <w:sz w:val="28"/>
          <w:szCs w:val="28"/>
        </w:rPr>
        <w:t xml:space="preserve">(10) </w:t>
      </w:r>
      <w:r>
        <w:rPr>
          <w:sz w:val="28"/>
          <w:szCs w:val="28"/>
        </w:rPr>
        <w:t>issues regarding jury instructions, if the trial was to a jury;</w:t>
      </w:r>
    </w:p>
    <w:p w:rsidR="006A6449" w:rsidRDefault="006A6449" w:rsidP="006A6449">
      <w:pPr>
        <w:pStyle w:val="Body"/>
        <w:widowControl w:val="0"/>
        <w:spacing w:line="240" w:lineRule="auto"/>
        <w:ind w:left="1440" w:right="1440" w:firstLine="0"/>
        <w:jc w:val="both"/>
        <w:rPr>
          <w:sz w:val="28"/>
          <w:szCs w:val="28"/>
        </w:rPr>
      </w:pPr>
      <w:r>
        <w:rPr>
          <w:b/>
          <w:sz w:val="28"/>
          <w:szCs w:val="28"/>
        </w:rPr>
        <w:t xml:space="preserve">(11) </w:t>
      </w:r>
      <w:r>
        <w:rPr>
          <w:sz w:val="28"/>
          <w:szCs w:val="28"/>
        </w:rPr>
        <w:t>any potential errors for which there were no objections, but which may rise to the level of fundamental error;</w:t>
      </w:r>
    </w:p>
    <w:p w:rsidR="006A6449" w:rsidRDefault="006A6449" w:rsidP="006A6449">
      <w:pPr>
        <w:pStyle w:val="Body"/>
        <w:widowControl w:val="0"/>
        <w:spacing w:line="240" w:lineRule="auto"/>
        <w:ind w:left="1440" w:right="1440" w:firstLine="0"/>
        <w:jc w:val="both"/>
        <w:rPr>
          <w:sz w:val="28"/>
          <w:szCs w:val="28"/>
        </w:rPr>
      </w:pPr>
    </w:p>
    <w:p w:rsidR="006A6449" w:rsidRPr="00070AA2" w:rsidRDefault="006A6449" w:rsidP="006A6449">
      <w:pPr>
        <w:pStyle w:val="Body"/>
        <w:widowControl w:val="0"/>
        <w:spacing w:line="240" w:lineRule="auto"/>
        <w:ind w:right="1440" w:firstLine="0"/>
        <w:jc w:val="both"/>
        <w:rPr>
          <w:sz w:val="28"/>
          <w:szCs w:val="28"/>
        </w:rPr>
      </w:pPr>
      <w:r w:rsidRPr="00070AA2">
        <w:rPr>
          <w:sz w:val="28"/>
          <w:szCs w:val="28"/>
        </w:rPr>
        <w:t>Proposed Rule 26.6(c)(6)-(11).</w:t>
      </w:r>
    </w:p>
    <w:p w:rsidR="006A6449" w:rsidRPr="00AC3ADD" w:rsidRDefault="006A6449" w:rsidP="006A6449">
      <w:pPr>
        <w:pStyle w:val="Body"/>
        <w:widowControl w:val="0"/>
        <w:spacing w:line="240" w:lineRule="auto"/>
        <w:ind w:left="1440" w:right="1440" w:firstLine="0"/>
        <w:jc w:val="both"/>
        <w:rPr>
          <w:sz w:val="28"/>
          <w:szCs w:val="28"/>
        </w:rPr>
      </w:pPr>
    </w:p>
    <w:p w:rsidR="006A6449" w:rsidRDefault="006A6449" w:rsidP="006A6449">
      <w:pPr>
        <w:pStyle w:val="Body"/>
        <w:widowControl w:val="0"/>
        <w:spacing w:line="480" w:lineRule="auto"/>
        <w:ind w:right="144" w:firstLine="720"/>
        <w:jc w:val="both"/>
        <w:rPr>
          <w:sz w:val="28"/>
          <w:szCs w:val="28"/>
        </w:rPr>
      </w:pPr>
      <w:r>
        <w:rPr>
          <w:sz w:val="28"/>
          <w:szCs w:val="28"/>
        </w:rPr>
        <w:t xml:space="preserve">Proposed subsections (6)-(11) are redundant </w:t>
      </w:r>
      <w:proofErr w:type="gramStart"/>
      <w:r>
        <w:rPr>
          <w:sz w:val="28"/>
          <w:szCs w:val="28"/>
        </w:rPr>
        <w:t>in light of</w:t>
      </w:r>
      <w:proofErr w:type="gramEnd"/>
      <w:r>
        <w:rPr>
          <w:sz w:val="28"/>
          <w:szCs w:val="28"/>
        </w:rPr>
        <w:t xml:space="preserve"> proposed subsection (18) that requires post-conviction counsel to list any potential claims of ineffective assistance of trial or appellate counsel.  Additionally, since the cases under the new Rule 32 will not be of-right petitions for post-conviction relief, but will involve non-pleading defendants, the </w:t>
      </w:r>
      <w:proofErr w:type="gramStart"/>
      <w:r>
        <w:rPr>
          <w:sz w:val="28"/>
          <w:szCs w:val="28"/>
        </w:rPr>
        <w:t>vast majority</w:t>
      </w:r>
      <w:proofErr w:type="gramEnd"/>
      <w:r>
        <w:rPr>
          <w:sz w:val="28"/>
          <w:szCs w:val="28"/>
        </w:rPr>
        <w:t xml:space="preserve"> of the cases will proceed subsequent to a direct appeal and will involve ineffective assistance of counsel claims.  Further, the proposed comment to 32.6(c) states:</w:t>
      </w:r>
    </w:p>
    <w:p w:rsidR="006A6449" w:rsidRDefault="006A6449" w:rsidP="006A6449">
      <w:pPr>
        <w:pStyle w:val="Body"/>
        <w:widowControl w:val="0"/>
        <w:spacing w:line="240" w:lineRule="auto"/>
        <w:ind w:left="1530" w:right="1980" w:firstLine="0"/>
        <w:jc w:val="both"/>
        <w:rPr>
          <w:sz w:val="28"/>
          <w:szCs w:val="28"/>
        </w:rPr>
      </w:pPr>
      <w:r>
        <w:rPr>
          <w:sz w:val="28"/>
          <w:szCs w:val="28"/>
        </w:rPr>
        <w:t xml:space="preserve">Rule 32.6(c) is intended to assist counsel in reviewing the record to ensure that substantial justice is done.  Failure to complete Form __, or to identify any issues listed in Rules [sic] 32.6(c) does not constitute a </w:t>
      </w:r>
      <w:r>
        <w:rPr>
          <w:i/>
          <w:sz w:val="28"/>
          <w:szCs w:val="28"/>
        </w:rPr>
        <w:t>per se</w:t>
      </w:r>
      <w:r>
        <w:rPr>
          <w:sz w:val="28"/>
          <w:szCs w:val="28"/>
        </w:rPr>
        <w:t xml:space="preserve"> deviation from prevailing professional norms. </w:t>
      </w:r>
      <w:r>
        <w:rPr>
          <w:i/>
          <w:sz w:val="28"/>
          <w:szCs w:val="28"/>
        </w:rPr>
        <w:t xml:space="preserve">See, Strickland v. Washington, </w:t>
      </w:r>
      <w:r>
        <w:rPr>
          <w:sz w:val="28"/>
          <w:szCs w:val="28"/>
        </w:rPr>
        <w:t>466 U.S. 668 (1984).</w:t>
      </w:r>
    </w:p>
    <w:p w:rsidR="006A6449" w:rsidRDefault="006A6449" w:rsidP="006A6449">
      <w:pPr>
        <w:pStyle w:val="Body"/>
        <w:widowControl w:val="0"/>
        <w:spacing w:line="240" w:lineRule="auto"/>
        <w:ind w:left="1530" w:right="1980" w:firstLine="0"/>
        <w:jc w:val="both"/>
        <w:rPr>
          <w:sz w:val="28"/>
          <w:szCs w:val="28"/>
        </w:rPr>
      </w:pPr>
    </w:p>
    <w:p w:rsidR="006A6449" w:rsidRPr="00070AA2" w:rsidRDefault="006A6449" w:rsidP="006A6449">
      <w:pPr>
        <w:pStyle w:val="Body"/>
        <w:widowControl w:val="0"/>
        <w:spacing w:line="480" w:lineRule="auto"/>
        <w:ind w:right="2160" w:firstLine="0"/>
        <w:jc w:val="both"/>
        <w:rPr>
          <w:sz w:val="28"/>
          <w:szCs w:val="28"/>
        </w:rPr>
      </w:pPr>
      <w:r w:rsidRPr="00070AA2">
        <w:rPr>
          <w:sz w:val="28"/>
          <w:szCs w:val="28"/>
        </w:rPr>
        <w:t>Petition at Appendix 2.</w:t>
      </w:r>
      <w:r w:rsidRPr="00070AA2">
        <w:rPr>
          <w:rStyle w:val="FootnoteReference"/>
          <w:sz w:val="28"/>
          <w:szCs w:val="28"/>
        </w:rPr>
        <w:footnoteReference w:id="1"/>
      </w:r>
    </w:p>
    <w:p w:rsidR="006A6449" w:rsidRDefault="006A6449" w:rsidP="006A6449">
      <w:pPr>
        <w:pStyle w:val="Body"/>
        <w:widowControl w:val="0"/>
        <w:spacing w:line="480" w:lineRule="auto"/>
        <w:ind w:right="90"/>
        <w:jc w:val="both"/>
        <w:rPr>
          <w:sz w:val="28"/>
          <w:szCs w:val="28"/>
        </w:rPr>
      </w:pPr>
      <w:r>
        <w:rPr>
          <w:sz w:val="28"/>
          <w:szCs w:val="28"/>
        </w:rPr>
        <w:t xml:space="preserve">There is inconsistency between the directive of proposed Rule 32.6(c), mandating inclusion of a plethora of information regarding legal issues in a Notice of No Colorable Claim, and a comment that implies that failure to follow the dictates of the proposed rule is not a deviation from prevailing professional norms.  If the intent of the 18 enumerated subsections is </w:t>
      </w:r>
      <w:proofErr w:type="gramStart"/>
      <w:r>
        <w:rPr>
          <w:sz w:val="28"/>
          <w:szCs w:val="28"/>
        </w:rPr>
        <w:t>actually to</w:t>
      </w:r>
      <w:proofErr w:type="gramEnd"/>
      <w:r>
        <w:rPr>
          <w:sz w:val="28"/>
          <w:szCs w:val="28"/>
        </w:rPr>
        <w:t xml:space="preserve"> aid post-conviction counsel in “reviewing the record to ensure that substantial justice is done,” as opposed to detailing counsel’s work for the Court, it might be more efficacious to include the enumerated subsections in the comment and identify them as a standard for post-conviction counsel.   </w:t>
      </w:r>
    </w:p>
    <w:p w:rsidR="006A6449" w:rsidRDefault="006A6449" w:rsidP="006A6449">
      <w:pPr>
        <w:pStyle w:val="Body"/>
        <w:widowControl w:val="0"/>
        <w:spacing w:line="480" w:lineRule="auto"/>
        <w:ind w:right="90" w:firstLine="720"/>
        <w:jc w:val="both"/>
        <w:rPr>
          <w:sz w:val="28"/>
          <w:szCs w:val="28"/>
        </w:rPr>
      </w:pPr>
      <w:r>
        <w:rPr>
          <w:sz w:val="28"/>
          <w:szCs w:val="28"/>
        </w:rPr>
        <w:t xml:space="preserve">Regardless of whether the 18 subsections are intended to aid counsel or the court, with so much information mandated for disclosure, it may well be appropriate to add to the comment a directive that </w:t>
      </w:r>
      <w:r w:rsidRPr="00772BB2">
        <w:rPr>
          <w:color w:val="212121"/>
          <w:sz w:val="28"/>
          <w:szCs w:val="28"/>
        </w:rPr>
        <w:t xml:space="preserve">counsel must take care not to reveal client confidences to the court </w:t>
      </w:r>
      <w:r>
        <w:rPr>
          <w:color w:val="212121"/>
          <w:sz w:val="28"/>
          <w:szCs w:val="28"/>
        </w:rPr>
        <w:t>in the Notice without the client’s</w:t>
      </w:r>
      <w:r w:rsidRPr="00772BB2">
        <w:rPr>
          <w:color w:val="212121"/>
          <w:sz w:val="28"/>
          <w:szCs w:val="28"/>
        </w:rPr>
        <w:t xml:space="preserve"> informed consent. </w:t>
      </w:r>
      <w:r>
        <w:rPr>
          <w:color w:val="212121"/>
          <w:sz w:val="28"/>
          <w:szCs w:val="28"/>
        </w:rPr>
        <w:t>(</w:t>
      </w:r>
      <w:r w:rsidRPr="00772BB2">
        <w:rPr>
          <w:i/>
          <w:iCs/>
          <w:color w:val="212121"/>
          <w:sz w:val="28"/>
          <w:szCs w:val="28"/>
        </w:rPr>
        <w:t>See</w:t>
      </w:r>
      <w:r>
        <w:rPr>
          <w:i/>
          <w:iCs/>
          <w:color w:val="212121"/>
          <w:sz w:val="28"/>
          <w:szCs w:val="28"/>
        </w:rPr>
        <w:t>,</w:t>
      </w:r>
      <w:r>
        <w:rPr>
          <w:color w:val="212121"/>
          <w:sz w:val="28"/>
          <w:szCs w:val="28"/>
        </w:rPr>
        <w:t xml:space="preserve"> Ariz. Rules</w:t>
      </w:r>
      <w:r w:rsidRPr="00772BB2">
        <w:rPr>
          <w:color w:val="212121"/>
          <w:sz w:val="28"/>
          <w:szCs w:val="28"/>
        </w:rPr>
        <w:t xml:space="preserve"> Sup. Ct. 42, </w:t>
      </w:r>
      <w:hyperlink r:id="rId8" w:history="1">
        <w:r w:rsidRPr="000A027F">
          <w:rPr>
            <w:sz w:val="28"/>
            <w:szCs w:val="28"/>
          </w:rPr>
          <w:t>ER 1.6</w:t>
        </w:r>
      </w:hyperlink>
      <w:r>
        <w:rPr>
          <w:sz w:val="28"/>
          <w:szCs w:val="28"/>
        </w:rPr>
        <w:t>).</w:t>
      </w:r>
      <w:r w:rsidRPr="00AA436D">
        <w:rPr>
          <w:sz w:val="28"/>
          <w:szCs w:val="28"/>
        </w:rPr>
        <w:t xml:space="preserve"> </w:t>
      </w:r>
    </w:p>
    <w:p w:rsidR="006A6449" w:rsidRDefault="006A6449" w:rsidP="006A6449">
      <w:pPr>
        <w:pStyle w:val="Body"/>
        <w:widowControl w:val="0"/>
        <w:spacing w:line="480" w:lineRule="auto"/>
        <w:ind w:right="90" w:firstLine="720"/>
        <w:jc w:val="both"/>
        <w:rPr>
          <w:sz w:val="28"/>
          <w:szCs w:val="28"/>
        </w:rPr>
      </w:pPr>
      <w:r>
        <w:rPr>
          <w:sz w:val="28"/>
          <w:szCs w:val="28"/>
        </w:rPr>
        <w:t xml:space="preserve">The forms as submitted with the Amended Petition, propose clarifications </w:t>
      </w:r>
      <w:r>
        <w:rPr>
          <w:sz w:val="28"/>
          <w:szCs w:val="28"/>
        </w:rPr>
        <w:lastRenderedPageBreak/>
        <w:t>and headings that make them more intuitive for self-represented defendants.  A new “Checklist for No Colorable Claims,” Form 25(b), will assist PCR counsel and standardize self-represented petitioners.  Similarly, the Request for the Record (Form 26) includes modifications which clarify the form and provide better guidance.  The State Bar agrees with and supports these proposed changes</w:t>
      </w:r>
      <w:r>
        <w:rPr>
          <w:sz w:val="28"/>
          <w:szCs w:val="28"/>
        </w:rPr>
        <w:t>.</w:t>
      </w:r>
    </w:p>
    <w:p w:rsidR="006A6449" w:rsidRDefault="006A6449" w:rsidP="006A6449">
      <w:pPr>
        <w:pStyle w:val="Body"/>
        <w:widowControl w:val="0"/>
        <w:spacing w:line="480" w:lineRule="auto"/>
        <w:ind w:right="144" w:firstLine="720"/>
        <w:jc w:val="center"/>
        <w:rPr>
          <w:b/>
          <w:sz w:val="28"/>
          <w:szCs w:val="28"/>
        </w:rPr>
      </w:pPr>
      <w:r>
        <w:rPr>
          <w:b/>
          <w:sz w:val="28"/>
          <w:szCs w:val="28"/>
        </w:rPr>
        <w:t>CONCLUSION</w:t>
      </w:r>
    </w:p>
    <w:p w:rsidR="006A6449" w:rsidRPr="006431E3" w:rsidRDefault="006A6449" w:rsidP="006A6449">
      <w:pPr>
        <w:pStyle w:val="Body"/>
        <w:widowControl w:val="0"/>
        <w:spacing w:line="480" w:lineRule="auto"/>
        <w:ind w:right="144" w:firstLine="720"/>
        <w:jc w:val="both"/>
        <w:rPr>
          <w:b/>
          <w:sz w:val="28"/>
          <w:szCs w:val="28"/>
        </w:rPr>
      </w:pPr>
      <w:r w:rsidRPr="00F11E49">
        <w:rPr>
          <w:sz w:val="28"/>
          <w:szCs w:val="28"/>
        </w:rPr>
        <w:t xml:space="preserve">For the above-stated reasons, the State Bar of Arizona </w:t>
      </w:r>
      <w:r>
        <w:rPr>
          <w:sz w:val="28"/>
          <w:szCs w:val="28"/>
        </w:rPr>
        <w:t xml:space="preserve">approves of Petition R-19-0012, </w:t>
      </w:r>
      <w:proofErr w:type="gramStart"/>
      <w:r>
        <w:rPr>
          <w:sz w:val="28"/>
          <w:szCs w:val="28"/>
        </w:rPr>
        <w:t>with the exception of</w:t>
      </w:r>
      <w:proofErr w:type="gramEnd"/>
      <w:r>
        <w:rPr>
          <w:sz w:val="28"/>
          <w:szCs w:val="28"/>
        </w:rPr>
        <w:t xml:space="preserve"> Proposed Rule 32.6(c) and the comment thereto, and </w:t>
      </w:r>
      <w:r w:rsidRPr="00F11E49">
        <w:rPr>
          <w:sz w:val="28"/>
          <w:szCs w:val="28"/>
        </w:rPr>
        <w:t>respectfully requests that the</w:t>
      </w:r>
      <w:r>
        <w:rPr>
          <w:sz w:val="28"/>
          <w:szCs w:val="28"/>
        </w:rPr>
        <w:t xml:space="preserve"> Arizona Supreme Court not adopt proposed Rule 32.6(c) absent amendments that conform to the concerns raised in this Comment.</w:t>
      </w:r>
    </w:p>
    <w:p w:rsidR="000F7A7F" w:rsidRPr="000F7A7F" w:rsidRDefault="000F7A7F" w:rsidP="000F7C13">
      <w:pPr>
        <w:pStyle w:val="Body"/>
        <w:widowControl w:val="0"/>
        <w:tabs>
          <w:tab w:val="left" w:pos="720"/>
        </w:tabs>
        <w:ind w:firstLine="0"/>
        <w:rPr>
          <w:szCs w:val="26"/>
        </w:rPr>
      </w:pPr>
    </w:p>
    <w:p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D60D9B">
        <w:rPr>
          <w:sz w:val="28"/>
          <w:szCs w:val="28"/>
        </w:rPr>
        <w:t>, 2019</w:t>
      </w:r>
      <w:r w:rsidR="000C48A9" w:rsidRPr="006F63FD">
        <w:rPr>
          <w:sz w:val="28"/>
          <w:szCs w:val="28"/>
        </w:rPr>
        <w:t>.</w:t>
      </w: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rsidR="000C48A9" w:rsidRPr="000F7A7F" w:rsidRDefault="000C48A9" w:rsidP="000C48A9">
      <w:pPr>
        <w:pStyle w:val="PleadingSignature"/>
        <w:keepNext w:val="0"/>
        <w:keepLines w:val="0"/>
        <w:spacing w:line="240" w:lineRule="auto"/>
        <w:ind w:left="5070"/>
        <w:rPr>
          <w:szCs w:val="26"/>
        </w:rPr>
      </w:pPr>
    </w:p>
    <w:p w:rsidR="000C48A9" w:rsidRPr="006F63FD" w:rsidRDefault="000C48A9" w:rsidP="000C48A9">
      <w:pPr>
        <w:pStyle w:val="PleadingSignature"/>
        <w:keepNext w:val="0"/>
        <w:keepLines w:val="0"/>
        <w:spacing w:line="240" w:lineRule="auto"/>
        <w:ind w:left="5070"/>
        <w:rPr>
          <w:sz w:val="28"/>
          <w:szCs w:val="28"/>
        </w:rPr>
      </w:pPr>
    </w:p>
    <w:p w:rsidR="00C52E56" w:rsidRDefault="00C52E56" w:rsidP="004331B2">
      <w:pPr>
        <w:widowControl w:val="0"/>
        <w:spacing w:line="240" w:lineRule="auto"/>
        <w:ind w:right="4140"/>
        <w:rPr>
          <w:sz w:val="28"/>
          <w:szCs w:val="28"/>
        </w:rPr>
      </w:pPr>
    </w:p>
    <w:p w:rsidR="00C52E56" w:rsidRDefault="00C52E56" w:rsidP="004331B2">
      <w:pPr>
        <w:widowControl w:val="0"/>
        <w:spacing w:line="240" w:lineRule="auto"/>
        <w:ind w:right="4140"/>
        <w:rPr>
          <w:sz w:val="28"/>
          <w:szCs w:val="28"/>
        </w:rPr>
      </w:pPr>
    </w:p>
    <w:p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rsidR="000C48A9"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his _____ day of ________________</w:t>
      </w:r>
      <w:r w:rsidR="006F63FD" w:rsidRPr="00C52E56">
        <w:rPr>
          <w:sz w:val="28"/>
          <w:szCs w:val="28"/>
        </w:rPr>
        <w:t xml:space="preserve">___, </w:t>
      </w:r>
      <w:r w:rsidR="00D60D9B">
        <w:rPr>
          <w:sz w:val="28"/>
          <w:szCs w:val="28"/>
        </w:rPr>
        <w:t>2019</w:t>
      </w:r>
      <w:r w:rsidR="000F7A7F" w:rsidRPr="00C52E56">
        <w:rPr>
          <w:sz w:val="28"/>
          <w:szCs w:val="28"/>
        </w:rPr>
        <w:t>.</w:t>
      </w:r>
    </w:p>
    <w:p w:rsidR="006A6449" w:rsidRPr="00C52E56" w:rsidRDefault="006A6449" w:rsidP="00C52E56">
      <w:pPr>
        <w:tabs>
          <w:tab w:val="left" w:pos="4836"/>
        </w:tabs>
        <w:spacing w:line="240" w:lineRule="auto"/>
        <w:ind w:right="3870"/>
        <w:rPr>
          <w:sz w:val="28"/>
          <w:szCs w:val="28"/>
        </w:rPr>
      </w:pPr>
    </w:p>
    <w:p w:rsidR="000F7A7F" w:rsidRPr="00C52E56" w:rsidRDefault="000F7A7F" w:rsidP="000C48A9">
      <w:pPr>
        <w:spacing w:line="240" w:lineRule="auto"/>
        <w:ind w:right="4572"/>
        <w:rPr>
          <w:sz w:val="28"/>
          <w:szCs w:val="28"/>
        </w:rPr>
      </w:pPr>
    </w:p>
    <w:p w:rsidR="00052372" w:rsidRPr="006A6449" w:rsidRDefault="000C48A9" w:rsidP="006A6449">
      <w:pPr>
        <w:spacing w:line="240" w:lineRule="auto"/>
        <w:ind w:right="4572"/>
        <w:rPr>
          <w:sz w:val="28"/>
          <w:szCs w:val="28"/>
        </w:rPr>
      </w:pPr>
      <w:r w:rsidRPr="00C52E56">
        <w:rPr>
          <w:sz w:val="28"/>
          <w:szCs w:val="28"/>
        </w:rPr>
        <w:t>by: ___________________________</w:t>
      </w:r>
      <w:r w:rsidR="004331B2" w:rsidRPr="00C52E56">
        <w:rPr>
          <w:sz w:val="28"/>
          <w:szCs w:val="28"/>
        </w:rPr>
        <w:t>____</w:t>
      </w:r>
      <w:r w:rsidRPr="00C52E56">
        <w:rPr>
          <w:sz w:val="28"/>
          <w:szCs w:val="28"/>
        </w:rPr>
        <w:t xml:space="preserve"> </w:t>
      </w:r>
      <w:bookmarkStart w:id="2" w:name="_GoBack"/>
      <w:bookmarkEnd w:id="2"/>
    </w:p>
    <w:sectPr w:rsidR="00052372" w:rsidRPr="006A6449"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3FE" w:rsidRDefault="00D423FE">
      <w:r>
        <w:separator/>
      </w:r>
    </w:p>
  </w:footnote>
  <w:footnote w:type="continuationSeparator" w:id="0">
    <w:p w:rsidR="00D423FE" w:rsidRDefault="00D423FE">
      <w:r>
        <w:continuationSeparator/>
      </w:r>
    </w:p>
  </w:footnote>
  <w:footnote w:id="1">
    <w:p w:rsidR="006A6449" w:rsidRPr="006A6449" w:rsidRDefault="006A6449" w:rsidP="006A6449">
      <w:pPr>
        <w:pStyle w:val="FootnoteText"/>
        <w:jc w:val="both"/>
        <w:rPr>
          <w:sz w:val="28"/>
          <w:szCs w:val="28"/>
        </w:rPr>
      </w:pPr>
      <w:r w:rsidRPr="006A6449">
        <w:rPr>
          <w:rStyle w:val="FootnoteReference"/>
          <w:sz w:val="28"/>
          <w:szCs w:val="28"/>
        </w:rPr>
        <w:footnoteRef/>
      </w:r>
      <w:r w:rsidRPr="006A6449">
        <w:rPr>
          <w:sz w:val="28"/>
          <w:szCs w:val="28"/>
        </w:rPr>
        <w:t xml:space="preserve"> Appendix 2 of Petition R-19-0012 is devoid of any page numbers.  Although the proposed quoted language references a form, no proposed forms have been provided with the initial Petition. (</w:t>
      </w:r>
      <w:r w:rsidRPr="006A6449">
        <w:rPr>
          <w:i/>
          <w:sz w:val="28"/>
          <w:szCs w:val="28"/>
        </w:rPr>
        <w:t>See, Petition at p. 16, ¶7</w:t>
      </w:r>
      <w:r w:rsidRPr="006A6449">
        <w:rPr>
          <w:sz w:val="28"/>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3"/>
  </w:num>
  <w:num w:numId="9">
    <w:abstractNumId w:val="8"/>
  </w:num>
  <w:num w:numId="10">
    <w:abstractNumId w:val="10"/>
  </w:num>
  <w:num w:numId="11">
    <w:abstractNumId w:val="9"/>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74D6A"/>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A21B0"/>
    <w:rsid w:val="005B5161"/>
    <w:rsid w:val="005D6AD4"/>
    <w:rsid w:val="006338C1"/>
    <w:rsid w:val="00636F5E"/>
    <w:rsid w:val="00665CCF"/>
    <w:rsid w:val="006666D1"/>
    <w:rsid w:val="006721EC"/>
    <w:rsid w:val="006766BF"/>
    <w:rsid w:val="00692391"/>
    <w:rsid w:val="006932BA"/>
    <w:rsid w:val="006A6449"/>
    <w:rsid w:val="006B4F9A"/>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933EA1"/>
    <w:rsid w:val="00951416"/>
    <w:rsid w:val="00960D21"/>
    <w:rsid w:val="00981D29"/>
    <w:rsid w:val="00981E11"/>
    <w:rsid w:val="00A1564B"/>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FBC26EA"/>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uiPriority w:val="99"/>
    <w:rsid w:val="005A21B0"/>
    <w:pPr>
      <w:spacing w:line="240" w:lineRule="auto"/>
    </w:pPr>
  </w:style>
  <w:style w:type="character" w:customStyle="1" w:styleId="FootnoteTextChar">
    <w:name w:val="Footnote Text Char"/>
    <w:basedOn w:val="DefaultParagraphFont"/>
    <w:link w:val="FootnoteText"/>
    <w:uiPriority w:val="99"/>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L&amp;pubNum=1003576&amp;cite=AZR42ER1.6&amp;originatingDoc=Ibbcec7c3711611e8bc5b825c4b9add2e&amp;refType=LQ&amp;originationContext=document&amp;transitionType=DocumentItem&amp;contextData=(sc.Keyci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EED72-D621-4451-9105-7F6A3420D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0</TotalTime>
  <Pages>5</Pages>
  <Words>901</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2019-05-01T23:31:00Z</dcterms:created>
  <dcterms:modified xsi:type="dcterms:W3CDTF">2019-05-01T23:31:00Z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