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Default="00352347" w:rsidP="00735659">
            <w:pPr>
              <w:pStyle w:val="FirmInformation"/>
              <w:spacing w:line="240" w:lineRule="auto"/>
              <w:rPr>
                <w:sz w:val="28"/>
                <w:szCs w:val="28"/>
              </w:rPr>
            </w:pPr>
            <w:r>
              <w:rPr>
                <w:sz w:val="28"/>
                <w:szCs w:val="28"/>
              </w:rPr>
              <w:t>(602) 340-7236</w:t>
            </w:r>
          </w:p>
          <w:p w:rsidR="000E1F0E" w:rsidRDefault="000E1F0E" w:rsidP="00735659">
            <w:pPr>
              <w:pStyle w:val="FirmInformation"/>
              <w:spacing w:line="240" w:lineRule="auto"/>
              <w:rPr>
                <w:sz w:val="28"/>
                <w:szCs w:val="28"/>
              </w:rPr>
            </w:pPr>
          </w:p>
          <w:p w:rsidR="000E1F0E" w:rsidRPr="00735659" w:rsidRDefault="000E1F0E" w:rsidP="00735659">
            <w:pPr>
              <w:pStyle w:val="FirmInformation"/>
              <w:spacing w:line="240" w:lineRule="auto"/>
              <w:rPr>
                <w:sz w:val="28"/>
                <w:szCs w:val="28"/>
              </w:rPr>
            </w:pPr>
          </w:p>
        </w:tc>
        <w:tc>
          <w:tcPr>
            <w:tcW w:w="4200" w:type="dxa"/>
          </w:tcPr>
          <w:p w:rsidR="00357F4D" w:rsidRPr="000F7A7F" w:rsidRDefault="00357F4D" w:rsidP="00000C35">
            <w:pPr>
              <w:ind w:left="113" w:right="113"/>
              <w:rPr>
                <w:sz w:val="26"/>
                <w:szCs w:val="26"/>
              </w:rPr>
            </w:pPr>
          </w:p>
        </w:tc>
      </w:tr>
    </w:tbl>
    <w:bookmarkEnd w:id="0"/>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Default="00E67511" w:rsidP="000E1F0E">
            <w:pPr>
              <w:pStyle w:val="Caption"/>
              <w:spacing w:before="240" w:line="260" w:lineRule="exact"/>
              <w:rPr>
                <w:b/>
                <w:sz w:val="28"/>
                <w:szCs w:val="28"/>
              </w:rPr>
            </w:pPr>
            <w:r w:rsidRPr="00732169">
              <w:rPr>
                <w:b/>
                <w:sz w:val="28"/>
                <w:szCs w:val="28"/>
              </w:rPr>
              <w:t xml:space="preserve">PETITION TO </w:t>
            </w:r>
            <w:r w:rsidR="000E1F0E">
              <w:rPr>
                <w:b/>
                <w:sz w:val="28"/>
                <w:szCs w:val="28"/>
              </w:rPr>
              <w:t>AMEND RULE 68(g) OF THE ARIZONA RULES OF CIVIL PROCEDURE</w:t>
            </w:r>
          </w:p>
          <w:p w:rsidR="000E1F0E" w:rsidRPr="000E1F0E" w:rsidRDefault="000E1F0E" w:rsidP="000E1F0E"/>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692391">
              <w:rPr>
                <w:sz w:val="28"/>
                <w:szCs w:val="28"/>
              </w:rPr>
              <w:t>1</w:t>
            </w:r>
            <w:r w:rsidR="00D60D9B">
              <w:rPr>
                <w:sz w:val="28"/>
                <w:szCs w:val="28"/>
              </w:rPr>
              <w:t>9</w:t>
            </w:r>
            <w:r w:rsidR="00F850BE">
              <w:rPr>
                <w:sz w:val="28"/>
                <w:szCs w:val="28"/>
              </w:rPr>
              <w:t>-</w:t>
            </w:r>
            <w:r w:rsidR="000E1F0E">
              <w:rPr>
                <w:sz w:val="28"/>
                <w:szCs w:val="28"/>
              </w:rPr>
              <w:t>0001</w:t>
            </w:r>
          </w:p>
          <w:p w:rsidR="000E1F0E" w:rsidRDefault="000E1F0E" w:rsidP="000F7A7F">
            <w:pPr>
              <w:pStyle w:val="Caption"/>
              <w:tabs>
                <w:tab w:val="left" w:pos="1238"/>
              </w:tabs>
              <w:spacing w:line="260" w:lineRule="exact"/>
              <w:ind w:right="115"/>
              <w:jc w:val="center"/>
              <w:rPr>
                <w:b/>
                <w:sz w:val="28"/>
                <w:szCs w:val="28"/>
              </w:rPr>
            </w:pPr>
            <w:r>
              <w:rPr>
                <w:b/>
                <w:sz w:val="28"/>
                <w:szCs w:val="28"/>
              </w:rPr>
              <w:t xml:space="preserve">COMMENT OF THE </w:t>
            </w:r>
          </w:p>
          <w:p w:rsidR="00357F4D" w:rsidRPr="000E1F0E" w:rsidRDefault="000E1F0E" w:rsidP="000F7A7F">
            <w:pPr>
              <w:pStyle w:val="Caption"/>
              <w:tabs>
                <w:tab w:val="left" w:pos="1238"/>
              </w:tabs>
              <w:spacing w:line="260" w:lineRule="exact"/>
              <w:ind w:right="115"/>
              <w:jc w:val="center"/>
              <w:rPr>
                <w:b/>
                <w:sz w:val="28"/>
                <w:szCs w:val="28"/>
              </w:rPr>
            </w:pPr>
            <w:r>
              <w:rPr>
                <w:b/>
                <w:sz w:val="28"/>
                <w:szCs w:val="28"/>
              </w:rPr>
              <w:t>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0E1F0E" w:rsidRDefault="0008003D" w:rsidP="000E1F0E">
      <w:pPr>
        <w:pStyle w:val="Body"/>
        <w:widowControl w:val="0"/>
        <w:spacing w:line="480" w:lineRule="auto"/>
        <w:ind w:firstLine="720"/>
        <w:jc w:val="both"/>
        <w:rPr>
          <w:sz w:val="28"/>
          <w:szCs w:val="28"/>
        </w:rPr>
      </w:pPr>
      <w:r w:rsidRPr="007B7449">
        <w:rPr>
          <w:sz w:val="28"/>
          <w:szCs w:val="28"/>
        </w:rPr>
        <w:t>Pursuant to Rule 28(D) of the Arizona Rules of Supreme Court, the State Bar of Arizona (the “State Bar”) hereby submits the following as its Comment to the abo</w:t>
      </w:r>
      <w:r>
        <w:rPr>
          <w:sz w:val="28"/>
          <w:szCs w:val="28"/>
        </w:rPr>
        <w:t xml:space="preserve">ve-captioned Petition. </w:t>
      </w:r>
      <w:r w:rsidR="00C03E0F" w:rsidRPr="006F63FD">
        <w:rPr>
          <w:sz w:val="28"/>
          <w:szCs w:val="28"/>
        </w:rPr>
        <w:t xml:space="preserve"> </w:t>
      </w:r>
    </w:p>
    <w:p w:rsidR="000E1F0E" w:rsidRDefault="000E1F0E" w:rsidP="000E1F0E">
      <w:pPr>
        <w:pStyle w:val="Body"/>
        <w:widowControl w:val="0"/>
        <w:spacing w:line="480" w:lineRule="auto"/>
        <w:ind w:firstLine="720"/>
        <w:jc w:val="both"/>
        <w:rPr>
          <w:sz w:val="28"/>
          <w:szCs w:val="28"/>
        </w:rPr>
      </w:pPr>
      <w:r>
        <w:rPr>
          <w:sz w:val="28"/>
          <w:szCs w:val="28"/>
        </w:rPr>
        <w:t xml:space="preserve">For the reasons set forth in the State Bar’s Petition R-19-0015, the State Bar agrees with the Scharf-Norton Center for Constitutional Litigation at the Goldwater Institute (the “Petitioner”) that Rule 68 of the </w:t>
      </w:r>
      <w:r w:rsidRPr="00EA24F3">
        <w:rPr>
          <w:sz w:val="28"/>
          <w:szCs w:val="28"/>
        </w:rPr>
        <w:t>Arizona Rules of Civil Procedure</w:t>
      </w:r>
      <w:r>
        <w:rPr>
          <w:i/>
          <w:sz w:val="28"/>
          <w:szCs w:val="28"/>
        </w:rPr>
        <w:t xml:space="preserve"> </w:t>
      </w:r>
      <w:r>
        <w:rPr>
          <w:sz w:val="28"/>
          <w:szCs w:val="28"/>
        </w:rPr>
        <w:t xml:space="preserve">(“Rule 68”) can and does lead to unjust results. Adoption of the State Bar’s Petition </w:t>
      </w:r>
      <w:proofErr w:type="gramStart"/>
      <w:r>
        <w:rPr>
          <w:sz w:val="28"/>
          <w:szCs w:val="28"/>
        </w:rPr>
        <w:t>abrogating</w:t>
      </w:r>
      <w:proofErr w:type="gramEnd"/>
      <w:r>
        <w:rPr>
          <w:sz w:val="28"/>
          <w:szCs w:val="28"/>
        </w:rPr>
        <w:t xml:space="preserve"> Rule 68 in its entirety would resolve all of the problems identified by the Petitioner in its Petition R-19-0001.</w:t>
      </w:r>
    </w:p>
    <w:p w:rsidR="000E1F0E" w:rsidRDefault="000E1F0E" w:rsidP="000E1F0E">
      <w:pPr>
        <w:pStyle w:val="Body"/>
        <w:widowControl w:val="0"/>
        <w:spacing w:line="480" w:lineRule="auto"/>
        <w:ind w:firstLine="720"/>
        <w:jc w:val="both"/>
        <w:rPr>
          <w:sz w:val="28"/>
          <w:szCs w:val="28"/>
        </w:rPr>
      </w:pPr>
    </w:p>
    <w:p w:rsidR="000E1F0E" w:rsidRDefault="000E1F0E" w:rsidP="000E1F0E">
      <w:pPr>
        <w:pStyle w:val="Body"/>
        <w:widowControl w:val="0"/>
        <w:spacing w:line="480" w:lineRule="auto"/>
        <w:ind w:firstLine="720"/>
        <w:jc w:val="both"/>
        <w:rPr>
          <w:sz w:val="28"/>
          <w:szCs w:val="28"/>
        </w:rPr>
      </w:pPr>
      <w:r>
        <w:rPr>
          <w:sz w:val="28"/>
          <w:szCs w:val="28"/>
        </w:rPr>
        <w:lastRenderedPageBreak/>
        <w:t>The State Bar disagrees, however, with the specific rule amendments proposed in Petition R-19-0001. Those proposed amendments would only apply to a small number of civil actions, even though the unfairness caused by Rule 68 extends over a large body of civil cases, not just the public interest cases addressed in Petition R-19-0001.</w:t>
      </w:r>
    </w:p>
    <w:p w:rsidR="000E1F0E" w:rsidRDefault="000E1F0E" w:rsidP="000E1F0E">
      <w:pPr>
        <w:pStyle w:val="Body"/>
        <w:widowControl w:val="0"/>
        <w:spacing w:line="480" w:lineRule="auto"/>
        <w:ind w:firstLine="720"/>
        <w:jc w:val="both"/>
        <w:rPr>
          <w:sz w:val="28"/>
          <w:szCs w:val="28"/>
        </w:rPr>
      </w:pPr>
      <w:r>
        <w:rPr>
          <w:sz w:val="28"/>
          <w:szCs w:val="28"/>
        </w:rPr>
        <w:t>For example, the proposed amendments do not cure the arbitrary amount of the sanction provided in current Rule 68, which is calculated by reference to taxable costs and expert witness fees. As the State Bar noted in its Petition, this amount is unrelated to the reasonableness of the offer, the amount in controversy, or the difference between the award and the final judgment.</w:t>
      </w:r>
    </w:p>
    <w:p w:rsidR="000E1F0E" w:rsidRDefault="000E1F0E" w:rsidP="000E1F0E">
      <w:pPr>
        <w:pStyle w:val="Body"/>
        <w:widowControl w:val="0"/>
        <w:spacing w:line="480" w:lineRule="auto"/>
        <w:ind w:firstLine="720"/>
        <w:jc w:val="both"/>
        <w:rPr>
          <w:sz w:val="28"/>
          <w:szCs w:val="28"/>
        </w:rPr>
      </w:pPr>
      <w:r>
        <w:rPr>
          <w:sz w:val="28"/>
          <w:szCs w:val="28"/>
        </w:rPr>
        <w:t>Instead, the proposed amendments in R-19-0001 would allow the court to exercise discretion as to whether to impose sanctions in certain types of cases. The State Bar believes that discretion in imposing Rule 68 sanctions is inherently unworkable, either as to some or as to all types of cases. For example, the proposed amendments would allow a court discretion not to impose Rule 68 sanctions if the court found that a party “sought to vindicate an important public policy.” It is easy to imagine sharp and ultimately irreconcilable differences of opinion as to what constitutes “an important public policy,” rendering a sanctions award essentially unpredictable.</w:t>
      </w:r>
    </w:p>
    <w:p w:rsidR="000E1F0E" w:rsidRDefault="000E1F0E" w:rsidP="000E1F0E">
      <w:pPr>
        <w:pStyle w:val="Body"/>
        <w:widowControl w:val="0"/>
        <w:spacing w:line="480" w:lineRule="auto"/>
        <w:ind w:firstLine="720"/>
        <w:jc w:val="both"/>
        <w:rPr>
          <w:sz w:val="28"/>
          <w:szCs w:val="28"/>
        </w:rPr>
      </w:pPr>
      <w:bookmarkStart w:id="2" w:name="_GoBack"/>
      <w:bookmarkEnd w:id="2"/>
    </w:p>
    <w:p w:rsidR="000E1F0E" w:rsidRDefault="000E1F0E" w:rsidP="000E1F0E">
      <w:pPr>
        <w:pStyle w:val="Body"/>
        <w:widowControl w:val="0"/>
        <w:spacing w:line="480" w:lineRule="auto"/>
        <w:ind w:firstLine="720"/>
        <w:jc w:val="both"/>
        <w:rPr>
          <w:sz w:val="28"/>
          <w:szCs w:val="28"/>
        </w:rPr>
      </w:pPr>
      <w:r>
        <w:rPr>
          <w:sz w:val="28"/>
          <w:szCs w:val="28"/>
        </w:rPr>
        <w:lastRenderedPageBreak/>
        <w:t>The State Bar suggests that the Petitioner’s attempt to fix Rule 68 confirms Rule 68 is both (a) unjust in practice and (b) beyond repair.</w:t>
      </w:r>
    </w:p>
    <w:p w:rsidR="000E1F0E" w:rsidRDefault="000E1F0E" w:rsidP="000E1F0E">
      <w:pPr>
        <w:pStyle w:val="Body"/>
        <w:widowControl w:val="0"/>
        <w:spacing w:line="480" w:lineRule="auto"/>
        <w:ind w:firstLine="720"/>
        <w:jc w:val="both"/>
        <w:rPr>
          <w:sz w:val="28"/>
          <w:szCs w:val="28"/>
        </w:rPr>
      </w:pPr>
      <w:r>
        <w:rPr>
          <w:sz w:val="28"/>
          <w:szCs w:val="28"/>
        </w:rPr>
        <w:t xml:space="preserve">The State Bar therefore asks the Court to adopt its Petition R-19-0015, and deny Petition R-19-0001 as moot once Rule 68 is abrogated. </w:t>
      </w:r>
    </w:p>
    <w:p w:rsidR="000E1F0E" w:rsidRDefault="000E1F0E" w:rsidP="000E1F0E">
      <w:pPr>
        <w:pStyle w:val="BodyText"/>
        <w:keepNext/>
        <w:keepLines/>
        <w:widowControl w:val="0"/>
        <w:numPr>
          <w:ilvl w:val="0"/>
          <w:numId w:val="15"/>
        </w:numPr>
        <w:spacing w:before="220" w:after="60" w:line="280" w:lineRule="exact"/>
        <w:ind w:right="187"/>
        <w:jc w:val="both"/>
        <w:rPr>
          <w:b/>
          <w:sz w:val="28"/>
          <w:szCs w:val="28"/>
        </w:rPr>
      </w:pPr>
      <w:r>
        <w:rPr>
          <w:b/>
          <w:sz w:val="28"/>
          <w:szCs w:val="28"/>
        </w:rPr>
        <w:t>THE STATE BAR AGREES WITH THE PETITIONER THAT RULE 68 LEADS TO HARSH AND UNFAIR RESULTS.</w:t>
      </w:r>
    </w:p>
    <w:p w:rsidR="000E1F0E" w:rsidRPr="000E1F0E" w:rsidRDefault="000E1F0E" w:rsidP="000E1F0E">
      <w:pPr>
        <w:pStyle w:val="BodyText"/>
        <w:keepNext/>
        <w:keepLines/>
        <w:widowControl w:val="0"/>
        <w:spacing w:before="220" w:after="60" w:line="280" w:lineRule="exact"/>
        <w:ind w:left="1440" w:right="187"/>
        <w:jc w:val="both"/>
        <w:rPr>
          <w:b/>
          <w:sz w:val="28"/>
          <w:szCs w:val="28"/>
        </w:rPr>
      </w:pPr>
    </w:p>
    <w:p w:rsidR="000E1F0E" w:rsidRDefault="000E1F0E" w:rsidP="000E1F0E">
      <w:pPr>
        <w:pStyle w:val="BodyText"/>
        <w:spacing w:line="480" w:lineRule="auto"/>
        <w:ind w:right="187" w:firstLine="720"/>
        <w:jc w:val="both"/>
        <w:rPr>
          <w:sz w:val="28"/>
          <w:szCs w:val="28"/>
        </w:rPr>
      </w:pPr>
      <w:r>
        <w:rPr>
          <w:sz w:val="28"/>
          <w:szCs w:val="28"/>
        </w:rPr>
        <w:t>The Petitioner states that Rule 68 “unwisely, and in some cases unjustly, penalizes plaintiffs who properly invoke the courts’ jurisdiction to promote the public interest.” Petition R-19-0001 at 1. The State Bar agrees.</w:t>
      </w:r>
    </w:p>
    <w:p w:rsidR="000E1F0E" w:rsidRDefault="000E1F0E" w:rsidP="000E1F0E">
      <w:pPr>
        <w:pStyle w:val="BodyText"/>
        <w:spacing w:line="480" w:lineRule="auto"/>
        <w:ind w:right="187" w:firstLine="720"/>
        <w:jc w:val="both"/>
        <w:rPr>
          <w:sz w:val="28"/>
          <w:szCs w:val="28"/>
        </w:rPr>
      </w:pPr>
      <w:r>
        <w:rPr>
          <w:sz w:val="28"/>
          <w:szCs w:val="28"/>
        </w:rPr>
        <w:t xml:space="preserve">The Petitioner cites </w:t>
      </w:r>
      <w:r>
        <w:rPr>
          <w:i/>
          <w:sz w:val="28"/>
          <w:szCs w:val="28"/>
        </w:rPr>
        <w:t>Stuart v. Lane</w:t>
      </w:r>
      <w:r>
        <w:rPr>
          <w:sz w:val="28"/>
          <w:szCs w:val="28"/>
        </w:rPr>
        <w:t xml:space="preserve">, 2017 WL 3765499 (Ariz. App. Aug. 31, 2017) as an example of a party who was unjustly penalized for bringing a non-frivolous lawsuit with respect to a public interest matter. The State Bar does not disagree that many would view the Rule 68 sanctions in </w:t>
      </w:r>
      <w:r>
        <w:rPr>
          <w:i/>
          <w:sz w:val="28"/>
          <w:szCs w:val="28"/>
        </w:rPr>
        <w:t xml:space="preserve">Stuart </w:t>
      </w:r>
      <w:r>
        <w:rPr>
          <w:sz w:val="28"/>
          <w:szCs w:val="28"/>
        </w:rPr>
        <w:t>as unjust.</w:t>
      </w:r>
    </w:p>
    <w:p w:rsidR="000E1F0E" w:rsidRDefault="000E1F0E" w:rsidP="000E1F0E">
      <w:pPr>
        <w:pStyle w:val="BodyText"/>
        <w:spacing w:line="480" w:lineRule="auto"/>
        <w:ind w:right="187" w:firstLine="720"/>
        <w:jc w:val="both"/>
        <w:rPr>
          <w:sz w:val="28"/>
          <w:szCs w:val="28"/>
        </w:rPr>
      </w:pPr>
      <w:r>
        <w:rPr>
          <w:sz w:val="28"/>
          <w:szCs w:val="28"/>
        </w:rPr>
        <w:t xml:space="preserve">The State Bar does disagree, however, with the implication that Rule 68 sanctions are only unfair when levied in public interest litigation. Many of the arguments made by the Petitioner apply to all types of litigation. For example, the Petitioner asserts, “Frivolous, unreasonable, and baseless litigation should be deterred, but plaintiffs should not be deterred from bringing non-frivolous, reasonable, and potentially meritorious public-interest lawsuits, even if they </w:t>
      </w:r>
      <w:r>
        <w:rPr>
          <w:sz w:val="28"/>
          <w:szCs w:val="28"/>
        </w:rPr>
        <w:lastRenderedPageBreak/>
        <w:t xml:space="preserve">ultimately do not prevail.” Petition R-19-0001 at 6. The State Bar </w:t>
      </w:r>
      <w:r>
        <w:rPr>
          <w:sz w:val="28"/>
          <w:szCs w:val="28"/>
        </w:rPr>
        <w:t>agrees and</w:t>
      </w:r>
      <w:r>
        <w:rPr>
          <w:sz w:val="28"/>
          <w:szCs w:val="28"/>
        </w:rPr>
        <w:t xml:space="preserve"> suggests that this statement is equally true with respect to all “non-frivolous, reasonable, and potentially meritorious” lawsuits, not just public-interest lawsuits, such that Rule 68 should be abrogated in its entirety.</w:t>
      </w:r>
    </w:p>
    <w:p w:rsidR="000E1F0E" w:rsidRDefault="000E1F0E" w:rsidP="000E1F0E">
      <w:pPr>
        <w:pStyle w:val="BodyText"/>
        <w:spacing w:line="480" w:lineRule="auto"/>
        <w:ind w:right="187" w:firstLine="720"/>
        <w:jc w:val="both"/>
        <w:rPr>
          <w:sz w:val="28"/>
          <w:szCs w:val="28"/>
        </w:rPr>
      </w:pPr>
      <w:r>
        <w:rPr>
          <w:sz w:val="28"/>
          <w:szCs w:val="28"/>
        </w:rPr>
        <w:t xml:space="preserve">The Petitioner asserts that Rule 68 was only intended to address private lawsuits seeking money damages. E.g., Petition R-19-0001 at 2 &amp; 6. But nothing in the history of Rule 68 suggests that it was intended for any </w:t>
      </w:r>
      <w:r>
        <w:rPr>
          <w:sz w:val="28"/>
          <w:szCs w:val="28"/>
        </w:rPr>
        <w:t>subset</w:t>
      </w:r>
      <w:r>
        <w:rPr>
          <w:sz w:val="28"/>
          <w:szCs w:val="28"/>
        </w:rPr>
        <w:t xml:space="preserve"> of cases, either as between public or private parties, or monetary versus non-monetary relief. Instead, it was and remains a rule of general application, allowing public and private parties (both plaintiffs and defendants)</w:t>
      </w:r>
      <w:r>
        <w:rPr>
          <w:rStyle w:val="FootnoteReference"/>
          <w:sz w:val="28"/>
          <w:szCs w:val="28"/>
        </w:rPr>
        <w:footnoteReference w:id="1"/>
      </w:r>
      <w:r>
        <w:rPr>
          <w:sz w:val="28"/>
          <w:szCs w:val="28"/>
        </w:rPr>
        <w:t xml:space="preserve"> to serve offers of judgment.</w:t>
      </w:r>
    </w:p>
    <w:p w:rsidR="000E1F0E" w:rsidRDefault="000E1F0E" w:rsidP="000E1F0E">
      <w:pPr>
        <w:pStyle w:val="BodyText"/>
        <w:spacing w:line="480" w:lineRule="auto"/>
        <w:ind w:right="187" w:firstLine="720"/>
        <w:jc w:val="both"/>
        <w:rPr>
          <w:sz w:val="28"/>
          <w:szCs w:val="28"/>
        </w:rPr>
      </w:pPr>
      <w:r>
        <w:rPr>
          <w:sz w:val="28"/>
          <w:szCs w:val="28"/>
        </w:rPr>
        <w:t>The State Bar agrees that Rule 68’s imposition of “mandatory and punitive” sanctions</w:t>
      </w:r>
      <w:r>
        <w:rPr>
          <w:rStyle w:val="FootnoteReference"/>
          <w:sz w:val="28"/>
          <w:szCs w:val="28"/>
        </w:rPr>
        <w:footnoteReference w:id="2"/>
      </w:r>
      <w:r>
        <w:rPr>
          <w:sz w:val="28"/>
          <w:szCs w:val="28"/>
        </w:rPr>
        <w:t xml:space="preserve"> in any action where sanctions are triggered – regardless of the reasonableness of the parties’ positions, the merits of their claims, or the interests they seek to advance – is a strong reason to abrogate the rule. As discussed below, </w:t>
      </w:r>
      <w:r>
        <w:rPr>
          <w:sz w:val="28"/>
          <w:szCs w:val="28"/>
        </w:rPr>
        <w:lastRenderedPageBreak/>
        <w:t xml:space="preserve">however, the State Bar believes that it is unwise to try to create a new set of rules for a </w:t>
      </w:r>
      <w:r>
        <w:rPr>
          <w:sz w:val="28"/>
          <w:szCs w:val="28"/>
        </w:rPr>
        <w:t>subset</w:t>
      </w:r>
      <w:r>
        <w:rPr>
          <w:sz w:val="28"/>
          <w:szCs w:val="28"/>
        </w:rPr>
        <w:t xml:space="preserve"> of cases, or to introduce an element of discretion to Rule 68 sanctions.</w:t>
      </w:r>
    </w:p>
    <w:p w:rsidR="000E1F0E" w:rsidRDefault="000E1F0E" w:rsidP="000E1F0E">
      <w:pPr>
        <w:pStyle w:val="BodyText"/>
        <w:keepNext/>
        <w:keepLines/>
        <w:widowControl w:val="0"/>
        <w:numPr>
          <w:ilvl w:val="0"/>
          <w:numId w:val="15"/>
        </w:numPr>
        <w:spacing w:before="220" w:after="60" w:line="280" w:lineRule="exact"/>
        <w:ind w:right="187"/>
        <w:jc w:val="both"/>
        <w:rPr>
          <w:b/>
          <w:sz w:val="28"/>
          <w:szCs w:val="28"/>
        </w:rPr>
      </w:pPr>
      <w:r>
        <w:rPr>
          <w:b/>
          <w:sz w:val="28"/>
          <w:szCs w:val="28"/>
        </w:rPr>
        <w:t>THE STATE BAR BELIEVES THAT CREATING AN EXCEPTION TO RULE 68 FOR “PUBLIC INTEREST” PLAINTIFFS IS UNWORKABLE IN PRACTICE AND MAY REPRESENT A CHANGE TO SUBSTANTIVE LAW, NOT PROCEDURE.</w:t>
      </w:r>
    </w:p>
    <w:p w:rsidR="000E1F0E" w:rsidRPr="00082C5E" w:rsidRDefault="000E1F0E" w:rsidP="000E1F0E">
      <w:pPr>
        <w:pStyle w:val="BodyText"/>
        <w:keepNext/>
        <w:keepLines/>
        <w:widowControl w:val="0"/>
        <w:spacing w:before="220" w:after="60" w:line="280" w:lineRule="exact"/>
        <w:ind w:left="1440" w:right="187"/>
        <w:jc w:val="both"/>
        <w:rPr>
          <w:b/>
          <w:sz w:val="28"/>
          <w:szCs w:val="28"/>
        </w:rPr>
      </w:pPr>
    </w:p>
    <w:p w:rsidR="000E1F0E" w:rsidRDefault="000E1F0E" w:rsidP="000E1F0E">
      <w:pPr>
        <w:pStyle w:val="BodyText"/>
        <w:spacing w:line="480" w:lineRule="auto"/>
        <w:ind w:right="187" w:firstLine="720"/>
        <w:jc w:val="both"/>
        <w:rPr>
          <w:sz w:val="28"/>
          <w:szCs w:val="28"/>
        </w:rPr>
      </w:pPr>
      <w:r>
        <w:rPr>
          <w:sz w:val="28"/>
          <w:szCs w:val="28"/>
        </w:rPr>
        <w:t>The Petitioner seeks to amend Rule 68 to create a discretionary exception</w:t>
      </w:r>
      <w:r>
        <w:rPr>
          <w:rStyle w:val="FootnoteReference"/>
          <w:sz w:val="28"/>
          <w:szCs w:val="28"/>
        </w:rPr>
        <w:footnoteReference w:id="3"/>
      </w:r>
      <w:r>
        <w:rPr>
          <w:sz w:val="28"/>
          <w:szCs w:val="28"/>
        </w:rPr>
        <w:t xml:space="preserve"> to the otherwise mandatory imposition of sanctions in certain circumstances, specifically:</w:t>
      </w:r>
    </w:p>
    <w:p w:rsidR="000E1F0E" w:rsidRDefault="000E1F0E" w:rsidP="000E1F0E">
      <w:pPr>
        <w:pStyle w:val="BodyText"/>
        <w:spacing w:before="210" w:after="70" w:line="280" w:lineRule="exact"/>
        <w:ind w:left="1440" w:right="1602"/>
        <w:jc w:val="both"/>
        <w:rPr>
          <w:sz w:val="28"/>
          <w:szCs w:val="28"/>
        </w:rPr>
      </w:pPr>
      <w:r>
        <w:rPr>
          <w:sz w:val="28"/>
          <w:szCs w:val="28"/>
        </w:rPr>
        <w:t xml:space="preserve">A court may, in the interests of justice, decline to award sanctions against a party who, in good faith, sought to vindicate an important public policy which would benefit </w:t>
      </w:r>
      <w:proofErr w:type="gramStart"/>
      <w:r>
        <w:rPr>
          <w:sz w:val="28"/>
          <w:szCs w:val="28"/>
        </w:rPr>
        <w:t>a large number of</w:t>
      </w:r>
      <w:proofErr w:type="gramEnd"/>
      <w:r>
        <w:rPr>
          <w:sz w:val="28"/>
          <w:szCs w:val="28"/>
        </w:rPr>
        <w:t xml:space="preserve"> people, if the case was not frivolous, unreasonable, or without foundation.</w:t>
      </w:r>
    </w:p>
    <w:p w:rsidR="000E1F0E" w:rsidRDefault="000E1F0E" w:rsidP="000E1F0E">
      <w:pPr>
        <w:pStyle w:val="BodyText"/>
        <w:spacing w:before="210" w:after="70" w:line="280" w:lineRule="exact"/>
        <w:ind w:left="1440" w:right="1602"/>
        <w:jc w:val="both"/>
        <w:rPr>
          <w:sz w:val="28"/>
          <w:szCs w:val="28"/>
        </w:rPr>
      </w:pPr>
    </w:p>
    <w:p w:rsidR="000E1F0E" w:rsidRDefault="000E1F0E" w:rsidP="000E1F0E">
      <w:pPr>
        <w:pStyle w:val="BodyText"/>
        <w:spacing w:line="480" w:lineRule="auto"/>
        <w:ind w:right="187"/>
        <w:jc w:val="both"/>
        <w:rPr>
          <w:sz w:val="28"/>
          <w:szCs w:val="28"/>
        </w:rPr>
      </w:pPr>
      <w:r>
        <w:rPr>
          <w:sz w:val="28"/>
          <w:szCs w:val="28"/>
        </w:rPr>
        <w:t>Petition R-19-0001 at Appendix A, at 4 (proposed Rule 68(g)(5)).</w:t>
      </w:r>
    </w:p>
    <w:p w:rsidR="000E1F0E" w:rsidRDefault="000E1F0E" w:rsidP="000E1F0E">
      <w:pPr>
        <w:pStyle w:val="BodyText"/>
        <w:spacing w:line="480" w:lineRule="auto"/>
        <w:ind w:right="187" w:firstLine="720"/>
        <w:jc w:val="both"/>
        <w:rPr>
          <w:sz w:val="28"/>
          <w:szCs w:val="28"/>
        </w:rPr>
      </w:pPr>
      <w:r>
        <w:rPr>
          <w:sz w:val="28"/>
          <w:szCs w:val="28"/>
        </w:rPr>
        <w:t xml:space="preserve">The State Bar believes that this exception would not be workable. A trial court would have little guidance to determine what constituted “an important </w:t>
      </w:r>
      <w:r>
        <w:rPr>
          <w:sz w:val="28"/>
          <w:szCs w:val="28"/>
        </w:rPr>
        <w:lastRenderedPageBreak/>
        <w:t>public policy” or a sufficiently “large number of people” to avoid mandatory Rule 68 sanctions that would otherwise apply.</w:t>
      </w:r>
    </w:p>
    <w:p w:rsidR="000E1F0E" w:rsidRDefault="000E1F0E" w:rsidP="000E1F0E">
      <w:pPr>
        <w:pStyle w:val="BodyText"/>
        <w:spacing w:line="480" w:lineRule="auto"/>
        <w:ind w:right="187" w:firstLine="720"/>
        <w:jc w:val="both"/>
        <w:rPr>
          <w:sz w:val="28"/>
          <w:szCs w:val="28"/>
        </w:rPr>
      </w:pPr>
      <w:r>
        <w:rPr>
          <w:sz w:val="28"/>
          <w:szCs w:val="28"/>
        </w:rPr>
        <w:t>The State Bar addressed a similar suggestion with respect to Rule 68, namely to add a requirement that an offer be “reasonable.” As the State Bar explained in its Petition R-19-0015, deciding such things as the “reasonableness” of an offer “would require trial courts to make a merits-based evaluation of the specific circumstances of each case, which would be difficult and time-consuming.” The State Bar also noted that adding an element of discretion to Rule 68 would introduce uncertainty because offerors and offerees would have to predict the outcome of the subjective, after-the-fact determination of the reasonableness of the offer.</w:t>
      </w:r>
    </w:p>
    <w:p w:rsidR="000E1F0E" w:rsidRDefault="000E1F0E" w:rsidP="000E1F0E">
      <w:pPr>
        <w:pStyle w:val="BodyText"/>
        <w:spacing w:line="480" w:lineRule="auto"/>
        <w:ind w:right="187" w:firstLine="720"/>
        <w:jc w:val="both"/>
        <w:rPr>
          <w:sz w:val="28"/>
          <w:szCs w:val="28"/>
        </w:rPr>
      </w:pPr>
      <w:r>
        <w:rPr>
          <w:sz w:val="28"/>
          <w:szCs w:val="28"/>
        </w:rPr>
        <w:t xml:space="preserve">Under the Petitioner’s proposed language, offerors and offerees would have to evaluate whether at the end of the case, the trial court would decide that the unsuccessful offeree was attempting to vindicate “an important public policy” that would benefit a sufficiently large number of people. It is hard to imagine that any such prediction could be made with any certainty, especially given the after-the-fact timing of this determination, which will only arise when the offeree </w:t>
      </w:r>
      <w:r>
        <w:rPr>
          <w:b/>
          <w:i/>
          <w:sz w:val="28"/>
          <w:szCs w:val="28"/>
        </w:rPr>
        <w:t xml:space="preserve">fails </w:t>
      </w:r>
      <w:r>
        <w:rPr>
          <w:sz w:val="28"/>
          <w:szCs w:val="28"/>
        </w:rPr>
        <w:t>to prevail.</w:t>
      </w:r>
    </w:p>
    <w:p w:rsidR="000E1F0E" w:rsidRDefault="000E1F0E" w:rsidP="000E1F0E">
      <w:pPr>
        <w:pStyle w:val="BodyText"/>
        <w:spacing w:line="480" w:lineRule="auto"/>
        <w:ind w:right="187" w:firstLine="720"/>
        <w:jc w:val="both"/>
        <w:rPr>
          <w:sz w:val="28"/>
          <w:szCs w:val="28"/>
        </w:rPr>
      </w:pPr>
      <w:r>
        <w:rPr>
          <w:sz w:val="28"/>
          <w:szCs w:val="28"/>
        </w:rPr>
        <w:lastRenderedPageBreak/>
        <w:t xml:space="preserve">This lack of predictability is illustrated by </w:t>
      </w:r>
      <w:r>
        <w:rPr>
          <w:i/>
          <w:sz w:val="28"/>
          <w:szCs w:val="28"/>
        </w:rPr>
        <w:t xml:space="preserve">Stuart, </w:t>
      </w:r>
      <w:r>
        <w:rPr>
          <w:sz w:val="28"/>
          <w:szCs w:val="28"/>
        </w:rPr>
        <w:t xml:space="preserve">relied on in the Petition. Petitioner characterized the </w:t>
      </w:r>
      <w:r>
        <w:rPr>
          <w:i/>
          <w:sz w:val="28"/>
          <w:szCs w:val="28"/>
        </w:rPr>
        <w:t xml:space="preserve">Stuart </w:t>
      </w:r>
      <w:r>
        <w:rPr>
          <w:sz w:val="28"/>
          <w:szCs w:val="28"/>
        </w:rPr>
        <w:t xml:space="preserve">case as seeking “judicial review of a city’s decision to subsidize a golf course.” Petition R-19-0001 at 3. But the Court of Appeals in </w:t>
      </w:r>
      <w:r>
        <w:rPr>
          <w:i/>
          <w:sz w:val="28"/>
          <w:szCs w:val="28"/>
        </w:rPr>
        <w:t xml:space="preserve">Stuart </w:t>
      </w:r>
      <w:r>
        <w:rPr>
          <w:sz w:val="28"/>
          <w:szCs w:val="28"/>
        </w:rPr>
        <w:t xml:space="preserve">held that the transactions at issue did </w:t>
      </w:r>
      <w:r>
        <w:rPr>
          <w:b/>
          <w:i/>
          <w:sz w:val="28"/>
          <w:szCs w:val="28"/>
        </w:rPr>
        <w:t xml:space="preserve">not </w:t>
      </w:r>
      <w:r>
        <w:rPr>
          <w:sz w:val="28"/>
          <w:szCs w:val="28"/>
        </w:rPr>
        <w:t xml:space="preserve">violate the Arizona Constitution’s Anti-Subsidy Clause. </w:t>
      </w:r>
      <w:r>
        <w:rPr>
          <w:i/>
          <w:sz w:val="28"/>
          <w:szCs w:val="28"/>
        </w:rPr>
        <w:t>Stuart</w:t>
      </w:r>
      <w:r>
        <w:rPr>
          <w:sz w:val="28"/>
          <w:szCs w:val="28"/>
        </w:rPr>
        <w:t xml:space="preserve">, 2017 WL 3765499 at ¶ 33. That is – the court found that the City of Scottsdale had </w:t>
      </w:r>
      <w:r>
        <w:rPr>
          <w:b/>
          <w:i/>
          <w:sz w:val="28"/>
          <w:szCs w:val="28"/>
        </w:rPr>
        <w:t xml:space="preserve">not </w:t>
      </w:r>
      <w:r>
        <w:rPr>
          <w:sz w:val="28"/>
          <w:szCs w:val="28"/>
        </w:rPr>
        <w:t xml:space="preserve">decided to subsidize a golf course. Under the Petitioner’s proposed amendments to Rule 68, a court might well rely on its no-subsidy finding to hold Stuart’s challenge did </w:t>
      </w:r>
      <w:r w:rsidRPr="00C602A1">
        <w:rPr>
          <w:b/>
          <w:sz w:val="28"/>
          <w:szCs w:val="28"/>
        </w:rPr>
        <w:t>not</w:t>
      </w:r>
      <w:r>
        <w:rPr>
          <w:sz w:val="28"/>
          <w:szCs w:val="28"/>
        </w:rPr>
        <w:t xml:space="preserve"> seek to vindicate an important public policy.  In other words, the proposal advanced in Petition R-19-0001 would not necessarily have cured the unfairness in </w:t>
      </w:r>
      <w:r>
        <w:rPr>
          <w:i/>
          <w:sz w:val="28"/>
          <w:szCs w:val="28"/>
        </w:rPr>
        <w:t xml:space="preserve">Stuart, </w:t>
      </w:r>
      <w:r>
        <w:rPr>
          <w:sz w:val="28"/>
          <w:szCs w:val="28"/>
        </w:rPr>
        <w:t xml:space="preserve">which the Petition identifies as a prime example of the type of case that its proposed amendments are intended to address. </w:t>
      </w:r>
    </w:p>
    <w:p w:rsidR="000E1F0E" w:rsidRDefault="000E1F0E" w:rsidP="000E1F0E">
      <w:pPr>
        <w:pStyle w:val="BodyText"/>
        <w:spacing w:line="480" w:lineRule="auto"/>
        <w:ind w:right="187" w:firstLine="720"/>
        <w:jc w:val="both"/>
        <w:rPr>
          <w:sz w:val="28"/>
          <w:szCs w:val="28"/>
        </w:rPr>
      </w:pPr>
      <w:r>
        <w:rPr>
          <w:sz w:val="28"/>
          <w:szCs w:val="28"/>
        </w:rPr>
        <w:t xml:space="preserve">The proposed language also may also require courts to make what may be viewed as political decisions as to what types of issues would constitute an “important public policy.” Analogously, the </w:t>
      </w:r>
      <w:r>
        <w:rPr>
          <w:i/>
          <w:sz w:val="28"/>
          <w:szCs w:val="28"/>
        </w:rPr>
        <w:t xml:space="preserve">Stuart </w:t>
      </w:r>
      <w:r>
        <w:rPr>
          <w:sz w:val="28"/>
          <w:szCs w:val="28"/>
        </w:rPr>
        <w:t xml:space="preserve">opinion held that the determination of what constitutes a “public purpose” “is assigned to the political branches of government.” </w:t>
      </w:r>
      <w:r>
        <w:rPr>
          <w:i/>
          <w:sz w:val="28"/>
          <w:szCs w:val="28"/>
        </w:rPr>
        <w:t>Stuart</w:t>
      </w:r>
      <w:r>
        <w:rPr>
          <w:sz w:val="28"/>
          <w:szCs w:val="28"/>
        </w:rPr>
        <w:t>, 2017 WL 3765499 at ¶ 32.</w:t>
      </w:r>
    </w:p>
    <w:p w:rsidR="000E1F0E" w:rsidRDefault="000E1F0E" w:rsidP="000E1F0E">
      <w:pPr>
        <w:pStyle w:val="BodyText"/>
        <w:spacing w:line="480" w:lineRule="auto"/>
        <w:ind w:right="187" w:firstLine="720"/>
        <w:jc w:val="both"/>
        <w:rPr>
          <w:sz w:val="28"/>
          <w:szCs w:val="28"/>
        </w:rPr>
      </w:pPr>
      <w:r>
        <w:rPr>
          <w:sz w:val="28"/>
          <w:szCs w:val="28"/>
        </w:rPr>
        <w:t xml:space="preserve">To the extent the Petitioner believes that Rule 68 sanctions should be decided based on public policy, the State Bar notes that the authorities cited in </w:t>
      </w:r>
      <w:r>
        <w:rPr>
          <w:sz w:val="28"/>
          <w:szCs w:val="28"/>
        </w:rPr>
        <w:lastRenderedPageBreak/>
        <w:t xml:space="preserve">support of that position rely on public policy as articulated by the legislature. For example, the Petitioner cites </w:t>
      </w:r>
      <w:r>
        <w:rPr>
          <w:i/>
          <w:iCs/>
          <w:sz w:val="28"/>
          <w:szCs w:val="28"/>
        </w:rPr>
        <w:t>Christiansburg Garment Co. v. EEOC</w:t>
      </w:r>
      <w:r>
        <w:rPr>
          <w:sz w:val="28"/>
          <w:szCs w:val="28"/>
        </w:rPr>
        <w:t xml:space="preserve">, 434 U.S. 412, 418 (1978) as distinguishing between civil rights plaintiffs and civil rights defendants with respect to awarding attorneys’ fees. Petition R-19-0001 at 4. But in </w:t>
      </w:r>
      <w:r>
        <w:rPr>
          <w:i/>
          <w:sz w:val="28"/>
          <w:szCs w:val="28"/>
        </w:rPr>
        <w:t>Christiansburg Garment</w:t>
      </w:r>
      <w:r>
        <w:rPr>
          <w:sz w:val="28"/>
          <w:szCs w:val="28"/>
        </w:rPr>
        <w:t xml:space="preserve">, the courts were carrying out the express intention of Congress to promote the vigorous enforcement of federal civil rights laws. </w:t>
      </w:r>
      <w:r>
        <w:rPr>
          <w:i/>
          <w:sz w:val="28"/>
          <w:szCs w:val="28"/>
        </w:rPr>
        <w:t xml:space="preserve">Id. </w:t>
      </w:r>
      <w:r>
        <w:rPr>
          <w:sz w:val="28"/>
          <w:szCs w:val="28"/>
        </w:rPr>
        <w:t>at 422.</w:t>
      </w:r>
    </w:p>
    <w:p w:rsidR="000E1F0E" w:rsidRDefault="000E1F0E" w:rsidP="000E1F0E">
      <w:pPr>
        <w:pStyle w:val="BodyText"/>
        <w:spacing w:line="480" w:lineRule="auto"/>
        <w:ind w:right="187" w:firstLine="720"/>
        <w:jc w:val="both"/>
        <w:rPr>
          <w:sz w:val="28"/>
          <w:szCs w:val="28"/>
        </w:rPr>
      </w:pPr>
      <w:r>
        <w:rPr>
          <w:sz w:val="28"/>
          <w:szCs w:val="28"/>
        </w:rPr>
        <w:t xml:space="preserve">Accordingly, if Rule 68 is not abolished as the State Bar has requested, it may be more appropriate for public interest groups to seek legislative exemptions to Rule 68 based on </w:t>
      </w:r>
      <w:r>
        <w:rPr>
          <w:sz w:val="28"/>
          <w:szCs w:val="28"/>
        </w:rPr>
        <w:t>policy</w:t>
      </w:r>
      <w:r>
        <w:rPr>
          <w:sz w:val="28"/>
          <w:szCs w:val="28"/>
        </w:rPr>
        <w:t xml:space="preserve"> considerations, rather than to amend Rule 68 to allow policy-based discretionary exemptions to be created by the courts. That is – to the extent it is appropriate for certain litigants and/or claims to be favored by Rule 68, such determination should be made by the Legislature, not by the Rules.</w:t>
      </w:r>
    </w:p>
    <w:p w:rsidR="000E1F0E" w:rsidRPr="000E1F0E" w:rsidRDefault="000E1F0E" w:rsidP="000E1F0E">
      <w:pPr>
        <w:pStyle w:val="BodyText"/>
        <w:keepNext/>
        <w:keepLines/>
        <w:spacing w:line="560" w:lineRule="exact"/>
        <w:ind w:right="187"/>
        <w:jc w:val="center"/>
        <w:rPr>
          <w:b/>
          <w:sz w:val="16"/>
          <w:szCs w:val="16"/>
          <w:u w:val="single"/>
        </w:rPr>
      </w:pPr>
      <w:r w:rsidRPr="00082C5E">
        <w:rPr>
          <w:b/>
          <w:sz w:val="28"/>
          <w:szCs w:val="28"/>
          <w:u w:val="single"/>
        </w:rPr>
        <w:t>CONCLUSION</w:t>
      </w:r>
    </w:p>
    <w:p w:rsidR="000E1F0E" w:rsidRDefault="000E1F0E" w:rsidP="000E1F0E">
      <w:pPr>
        <w:pStyle w:val="BodyText"/>
        <w:spacing w:line="480" w:lineRule="auto"/>
        <w:ind w:right="187" w:firstLine="720"/>
        <w:jc w:val="both"/>
        <w:rPr>
          <w:sz w:val="28"/>
          <w:szCs w:val="28"/>
        </w:rPr>
      </w:pPr>
      <w:r>
        <w:rPr>
          <w:sz w:val="28"/>
          <w:szCs w:val="28"/>
        </w:rPr>
        <w:t xml:space="preserve">For the reasons set forth in R-19-0015, the State Bar recommends abrogation of Rule 68 in its entirety. Abrogation would solve </w:t>
      </w:r>
      <w:proofErr w:type="gramStart"/>
      <w:r>
        <w:rPr>
          <w:sz w:val="28"/>
          <w:szCs w:val="28"/>
        </w:rPr>
        <w:t>all of</w:t>
      </w:r>
      <w:proofErr w:type="gramEnd"/>
      <w:r>
        <w:rPr>
          <w:sz w:val="28"/>
          <w:szCs w:val="28"/>
        </w:rPr>
        <w:t xml:space="preserve"> the issues identified by the Petitioner, and avoid all of the problems inherent with creating discretionary standards that may also require courts to make political decisions as to what constitutes an “important public policy.”</w:t>
      </w:r>
    </w:p>
    <w:p w:rsidR="000F7A7F" w:rsidRPr="000E1F0E" w:rsidRDefault="000E1F0E" w:rsidP="000E1F0E">
      <w:pPr>
        <w:pStyle w:val="BodyText"/>
        <w:spacing w:line="480" w:lineRule="auto"/>
        <w:ind w:right="187" w:firstLine="720"/>
        <w:jc w:val="both"/>
        <w:rPr>
          <w:sz w:val="28"/>
          <w:szCs w:val="28"/>
        </w:rPr>
      </w:pPr>
      <w:r>
        <w:rPr>
          <w:sz w:val="28"/>
          <w:szCs w:val="28"/>
        </w:rPr>
        <w:lastRenderedPageBreak/>
        <w:t xml:space="preserve">The Court should adopt Petition R-19-0015, abrogate Rule 68 in its entirety, and deny Petition R-19-0001 as moot </w:t>
      </w:r>
      <w:proofErr w:type="gramStart"/>
      <w:r>
        <w:rPr>
          <w:sz w:val="28"/>
          <w:szCs w:val="28"/>
        </w:rPr>
        <w:t>in light of</w:t>
      </w:r>
      <w:proofErr w:type="gramEnd"/>
      <w:r>
        <w:rPr>
          <w:sz w:val="28"/>
          <w:szCs w:val="28"/>
        </w:rPr>
        <w:t xml:space="preserve"> such abrogation. </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D60D9B">
        <w:rPr>
          <w:sz w:val="28"/>
          <w:szCs w:val="28"/>
        </w:rPr>
        <w:t>, 2019</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D60D9B">
        <w:rPr>
          <w:sz w:val="28"/>
          <w:szCs w:val="28"/>
        </w:rPr>
        <w:t>2019</w:t>
      </w:r>
      <w:r w:rsidR="000F7A7F" w:rsidRPr="00C52E56">
        <w:rPr>
          <w:sz w:val="28"/>
          <w:szCs w:val="28"/>
        </w:rPr>
        <w:t>.</w:t>
      </w: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3FE" w:rsidRDefault="00D423FE">
      <w:r>
        <w:separator/>
      </w:r>
    </w:p>
  </w:footnote>
  <w:footnote w:type="continuationSeparator" w:id="0">
    <w:p w:rsidR="00D423FE" w:rsidRDefault="00D423FE">
      <w:r>
        <w:continuationSeparator/>
      </w:r>
    </w:p>
  </w:footnote>
  <w:footnote w:id="1">
    <w:p w:rsidR="000E1F0E" w:rsidRPr="000E1F0E" w:rsidRDefault="000E1F0E" w:rsidP="000E1F0E">
      <w:pPr>
        <w:pStyle w:val="FootnoteText"/>
        <w:jc w:val="both"/>
        <w:rPr>
          <w:sz w:val="28"/>
          <w:szCs w:val="28"/>
        </w:rPr>
      </w:pPr>
      <w:r w:rsidRPr="000E1F0E">
        <w:rPr>
          <w:rStyle w:val="FootnoteReference"/>
          <w:sz w:val="28"/>
          <w:szCs w:val="28"/>
        </w:rPr>
        <w:footnoteRef/>
      </w:r>
      <w:r w:rsidRPr="000E1F0E">
        <w:rPr>
          <w:sz w:val="28"/>
          <w:szCs w:val="28"/>
        </w:rPr>
        <w:t xml:space="preserve"> Petition R-19-0001 appears to have confused the state and federal versions of Rule 68 with respect to who can make an offer of judgment, incorrectly stating (at page 11) that the federal version of Rule 68 permits either side to serve an offer of judgment when in fact only a “party defending against a claim” may do so under Fed. R. Civ. P. 68.</w:t>
      </w:r>
    </w:p>
  </w:footnote>
  <w:footnote w:id="2">
    <w:p w:rsidR="000E1F0E" w:rsidRDefault="000E1F0E" w:rsidP="000E1F0E">
      <w:pPr>
        <w:pStyle w:val="FootnoteText"/>
        <w:spacing w:before="240"/>
        <w:jc w:val="both"/>
      </w:pPr>
      <w:r w:rsidRPr="000E1F0E">
        <w:rPr>
          <w:rStyle w:val="FootnoteReference"/>
          <w:sz w:val="28"/>
          <w:szCs w:val="28"/>
        </w:rPr>
        <w:footnoteRef/>
      </w:r>
      <w:r w:rsidRPr="000E1F0E">
        <w:rPr>
          <w:sz w:val="28"/>
          <w:szCs w:val="28"/>
        </w:rPr>
        <w:t xml:space="preserve"> </w:t>
      </w:r>
      <w:r w:rsidRPr="000E1F0E">
        <w:rPr>
          <w:i/>
          <w:sz w:val="28"/>
          <w:szCs w:val="28"/>
        </w:rPr>
        <w:t>Stafford v. Burns,</w:t>
      </w:r>
      <w:r w:rsidRPr="000E1F0E">
        <w:rPr>
          <w:sz w:val="28"/>
          <w:szCs w:val="28"/>
        </w:rPr>
        <w:t xml:space="preserve"> 241 Ariz. 474, 485, ¶ 41 (App. 2017).</w:t>
      </w:r>
    </w:p>
  </w:footnote>
  <w:footnote w:id="3">
    <w:p w:rsidR="000E1F0E" w:rsidRPr="000E1F0E" w:rsidRDefault="000E1F0E" w:rsidP="000E1F0E">
      <w:pPr>
        <w:pStyle w:val="FootnoteText"/>
        <w:spacing w:before="240"/>
        <w:jc w:val="both"/>
        <w:rPr>
          <w:sz w:val="28"/>
          <w:szCs w:val="28"/>
        </w:rPr>
      </w:pPr>
      <w:r w:rsidRPr="000E1F0E">
        <w:rPr>
          <w:rStyle w:val="FootnoteReference"/>
          <w:sz w:val="28"/>
          <w:szCs w:val="28"/>
        </w:rPr>
        <w:footnoteRef/>
      </w:r>
      <w:r w:rsidRPr="000E1F0E">
        <w:rPr>
          <w:sz w:val="28"/>
          <w:szCs w:val="28"/>
        </w:rPr>
        <w:t xml:space="preserve"> The Petition also suggests an amendment to exclude actions seeking “only declaratory relief, injunctive relief, or nominal damages.” Narrowing the scope of Rule 68 would not address the unfair and unjust results in cases seeking for monetary damages.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A3DDE"/>
    <w:multiLevelType w:val="hybridMultilevel"/>
    <w:tmpl w:val="AD788254"/>
    <w:lvl w:ilvl="0" w:tplc="F7F4E88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5"/>
  </w:num>
  <w:num w:numId="5">
    <w:abstractNumId w:val="7"/>
  </w:num>
  <w:num w:numId="6">
    <w:abstractNumId w:val="8"/>
  </w:num>
  <w:num w:numId="7">
    <w:abstractNumId w:val="1"/>
  </w:num>
  <w:num w:numId="8">
    <w:abstractNumId w:val="14"/>
  </w:num>
  <w:num w:numId="9">
    <w:abstractNumId w:val="9"/>
  </w:num>
  <w:num w:numId="10">
    <w:abstractNumId w:val="11"/>
  </w:num>
  <w:num w:numId="11">
    <w:abstractNumId w:val="10"/>
  </w:num>
  <w:num w:numId="12">
    <w:abstractNumId w:val="6"/>
  </w:num>
  <w:num w:numId="13">
    <w:abstractNumId w:val="3"/>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E1F0E"/>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621AA81"/>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515B6-B2CB-416A-AD49-EC2AC7FD3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9</Pages>
  <Words>1636</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2019-05-01T21:14:00Z</dcterms:created>
  <dcterms:modified xsi:type="dcterms:W3CDTF">2019-05-01T21:14:00Z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