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653510" w:rsidRDefault="00E67511" w:rsidP="00653510">
            <w:pPr>
              <w:pStyle w:val="Caption"/>
              <w:spacing w:before="240" w:line="260" w:lineRule="exact"/>
              <w:rPr>
                <w:b/>
                <w:sz w:val="28"/>
                <w:szCs w:val="28"/>
              </w:rPr>
            </w:pPr>
            <w:r w:rsidRPr="00732169">
              <w:rPr>
                <w:b/>
                <w:sz w:val="28"/>
                <w:szCs w:val="28"/>
              </w:rPr>
              <w:t xml:space="preserve">PETITION TO </w:t>
            </w:r>
            <w:r w:rsidR="00653510">
              <w:rPr>
                <w:b/>
                <w:sz w:val="28"/>
                <w:szCs w:val="28"/>
              </w:rPr>
              <w:t>AMEND RULE 43 OR THE ARIZONA RULES OF SUPREME COURT</w:t>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r w:rsidR="000F0E0B">
              <w:rPr>
                <w:sz w:val="28"/>
                <w:szCs w:val="28"/>
              </w:rPr>
              <w:t>0030</w:t>
            </w:r>
            <w:bookmarkStart w:id="2" w:name="_GoBack"/>
            <w:bookmarkEnd w:id="2"/>
          </w:p>
          <w:p w:rsidR="00653510" w:rsidRDefault="00653510" w:rsidP="00653510">
            <w:pPr>
              <w:pStyle w:val="Caption"/>
              <w:tabs>
                <w:tab w:val="left" w:pos="1238"/>
              </w:tabs>
              <w:spacing w:line="260" w:lineRule="exact"/>
              <w:ind w:right="115"/>
              <w:jc w:val="center"/>
              <w:rPr>
                <w:b/>
                <w:sz w:val="28"/>
                <w:szCs w:val="28"/>
              </w:rPr>
            </w:pPr>
            <w:r>
              <w:rPr>
                <w:b/>
                <w:sz w:val="28"/>
                <w:szCs w:val="28"/>
              </w:rPr>
              <w:t>COMMENT OF THE</w:t>
            </w:r>
          </w:p>
          <w:p w:rsidR="00357F4D" w:rsidRPr="00653510" w:rsidRDefault="00653510" w:rsidP="00653510">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653510" w:rsidRDefault="00653510" w:rsidP="00653510">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Pr="006F63FD">
        <w:rPr>
          <w:sz w:val="28"/>
          <w:szCs w:val="28"/>
        </w:rPr>
        <w:t xml:space="preserve"> </w:t>
      </w:r>
    </w:p>
    <w:p w:rsidR="00653510" w:rsidRDefault="00653510" w:rsidP="00653510">
      <w:pPr>
        <w:pStyle w:val="Body"/>
        <w:widowControl w:val="0"/>
        <w:spacing w:line="480" w:lineRule="auto"/>
        <w:ind w:firstLine="720"/>
        <w:jc w:val="both"/>
        <w:rPr>
          <w:sz w:val="28"/>
          <w:szCs w:val="28"/>
        </w:rPr>
      </w:pPr>
      <w:r>
        <w:rPr>
          <w:sz w:val="28"/>
          <w:szCs w:val="28"/>
        </w:rPr>
        <w:t>The Petition requests several amendments to Rule 43 that would:</w:t>
      </w:r>
    </w:p>
    <w:p w:rsidR="00653510" w:rsidRDefault="00653510" w:rsidP="00653510">
      <w:pPr>
        <w:pStyle w:val="Body"/>
        <w:widowControl w:val="0"/>
        <w:numPr>
          <w:ilvl w:val="0"/>
          <w:numId w:val="15"/>
        </w:numPr>
        <w:spacing w:line="480" w:lineRule="auto"/>
        <w:jc w:val="both"/>
        <w:rPr>
          <w:sz w:val="28"/>
          <w:szCs w:val="28"/>
        </w:rPr>
      </w:pPr>
      <w:r>
        <w:rPr>
          <w:sz w:val="28"/>
          <w:szCs w:val="28"/>
        </w:rPr>
        <w:t>Add definitions to the Rule that are unnecessary;</w:t>
      </w:r>
    </w:p>
    <w:p w:rsidR="00653510" w:rsidRDefault="00653510" w:rsidP="00653510">
      <w:pPr>
        <w:pStyle w:val="Body"/>
        <w:widowControl w:val="0"/>
        <w:numPr>
          <w:ilvl w:val="0"/>
          <w:numId w:val="15"/>
        </w:numPr>
        <w:spacing w:line="480" w:lineRule="auto"/>
        <w:jc w:val="both"/>
        <w:rPr>
          <w:sz w:val="28"/>
          <w:szCs w:val="28"/>
        </w:rPr>
      </w:pPr>
      <w:r>
        <w:rPr>
          <w:sz w:val="28"/>
          <w:szCs w:val="28"/>
        </w:rPr>
        <w:t xml:space="preserve">Change the current record keeping </w:t>
      </w:r>
      <w:r>
        <w:rPr>
          <w:sz w:val="28"/>
          <w:szCs w:val="28"/>
        </w:rPr>
        <w:t>requirements</w:t>
      </w:r>
      <w:r>
        <w:rPr>
          <w:sz w:val="28"/>
          <w:szCs w:val="28"/>
        </w:rPr>
        <w:t xml:space="preserve"> by expanding the types of records that must be maintained to evidence deposits and disbursements, thereby making the tracing of the source of deposits and the recipient of disbursements difficult, if not impossible;</w:t>
      </w:r>
    </w:p>
    <w:p w:rsidR="00653510" w:rsidRDefault="00653510" w:rsidP="00653510">
      <w:pPr>
        <w:pStyle w:val="Body"/>
        <w:widowControl w:val="0"/>
        <w:numPr>
          <w:ilvl w:val="0"/>
          <w:numId w:val="15"/>
        </w:numPr>
        <w:spacing w:line="480" w:lineRule="auto"/>
        <w:jc w:val="both"/>
        <w:rPr>
          <w:sz w:val="28"/>
          <w:szCs w:val="28"/>
        </w:rPr>
      </w:pPr>
      <w:r>
        <w:rPr>
          <w:sz w:val="28"/>
          <w:szCs w:val="28"/>
        </w:rPr>
        <w:t>Add a new requirement that attorneys maintain a three-way reconciliation report that is not currently required by the Rule;</w:t>
      </w:r>
    </w:p>
    <w:p w:rsidR="00653510" w:rsidRDefault="00653510" w:rsidP="00653510">
      <w:pPr>
        <w:pStyle w:val="Body"/>
        <w:widowControl w:val="0"/>
        <w:numPr>
          <w:ilvl w:val="0"/>
          <w:numId w:val="15"/>
        </w:numPr>
        <w:spacing w:line="480" w:lineRule="auto"/>
        <w:jc w:val="both"/>
        <w:rPr>
          <w:sz w:val="28"/>
          <w:szCs w:val="28"/>
        </w:rPr>
      </w:pPr>
      <w:r>
        <w:rPr>
          <w:sz w:val="28"/>
          <w:szCs w:val="28"/>
        </w:rPr>
        <w:lastRenderedPageBreak/>
        <w:t>Add an unnecessary amendment to the chargeback provisions; and</w:t>
      </w:r>
    </w:p>
    <w:p w:rsidR="00653510" w:rsidRDefault="00653510" w:rsidP="00653510">
      <w:pPr>
        <w:pStyle w:val="Body"/>
        <w:widowControl w:val="0"/>
        <w:numPr>
          <w:ilvl w:val="0"/>
          <w:numId w:val="15"/>
        </w:numPr>
        <w:spacing w:line="480" w:lineRule="auto"/>
        <w:jc w:val="both"/>
        <w:rPr>
          <w:sz w:val="28"/>
          <w:szCs w:val="28"/>
        </w:rPr>
      </w:pPr>
      <w:r>
        <w:rPr>
          <w:sz w:val="28"/>
          <w:szCs w:val="28"/>
        </w:rPr>
        <w:t xml:space="preserve">Radically expand the approved methods of disbursement to allow methods that fail to safeguard client funds. </w:t>
      </w:r>
    </w:p>
    <w:p w:rsidR="00653510" w:rsidRDefault="00653510" w:rsidP="00653510">
      <w:pPr>
        <w:pStyle w:val="Body"/>
        <w:widowControl w:val="0"/>
        <w:spacing w:line="480" w:lineRule="auto"/>
        <w:ind w:firstLine="0"/>
        <w:jc w:val="both"/>
        <w:rPr>
          <w:sz w:val="28"/>
          <w:szCs w:val="28"/>
        </w:rPr>
      </w:pPr>
      <w:r>
        <w:rPr>
          <w:sz w:val="28"/>
          <w:szCs w:val="28"/>
        </w:rPr>
        <w:tab/>
      </w:r>
      <w:r>
        <w:rPr>
          <w:sz w:val="28"/>
          <w:szCs w:val="28"/>
        </w:rPr>
        <w:t>The</w:t>
      </w:r>
      <w:r>
        <w:rPr>
          <w:sz w:val="28"/>
          <w:szCs w:val="28"/>
        </w:rPr>
        <w:t xml:space="preserve"> proposal makes </w:t>
      </w:r>
      <w:r>
        <w:rPr>
          <w:sz w:val="28"/>
          <w:szCs w:val="28"/>
        </w:rPr>
        <w:t>unnecessary</w:t>
      </w:r>
      <w:r>
        <w:rPr>
          <w:sz w:val="28"/>
          <w:szCs w:val="28"/>
        </w:rPr>
        <w:t xml:space="preserve"> changes and additions to the Rule and weakens the existing safeguards in the Rul</w:t>
      </w:r>
      <w:r>
        <w:rPr>
          <w:sz w:val="28"/>
          <w:szCs w:val="28"/>
        </w:rPr>
        <w:t>e. The State Bar believes that a more comprehensive review is required before any changes to the trust account rules are made. Therefore</w:t>
      </w:r>
      <w:r>
        <w:rPr>
          <w:sz w:val="28"/>
          <w:szCs w:val="28"/>
        </w:rPr>
        <w:t>, the State Bar requests that the Petition be denied.</w:t>
      </w:r>
    </w:p>
    <w:p w:rsidR="00653510" w:rsidRDefault="00653510" w:rsidP="00653510">
      <w:pPr>
        <w:pStyle w:val="Body"/>
        <w:widowControl w:val="0"/>
        <w:spacing w:line="480" w:lineRule="auto"/>
        <w:ind w:firstLine="0"/>
        <w:jc w:val="center"/>
        <w:rPr>
          <w:b/>
          <w:sz w:val="28"/>
          <w:szCs w:val="28"/>
        </w:rPr>
      </w:pPr>
      <w:r>
        <w:rPr>
          <w:b/>
          <w:sz w:val="28"/>
          <w:szCs w:val="28"/>
        </w:rPr>
        <w:t>DISCUSSION</w:t>
      </w:r>
    </w:p>
    <w:p w:rsidR="00653510" w:rsidRDefault="00653510" w:rsidP="00653510">
      <w:pPr>
        <w:pStyle w:val="Body"/>
        <w:widowControl w:val="0"/>
        <w:spacing w:line="480" w:lineRule="auto"/>
        <w:ind w:firstLine="0"/>
        <w:jc w:val="both"/>
        <w:rPr>
          <w:sz w:val="28"/>
          <w:szCs w:val="28"/>
        </w:rPr>
      </w:pPr>
      <w:r>
        <w:rPr>
          <w:b/>
          <w:sz w:val="28"/>
          <w:szCs w:val="28"/>
        </w:rPr>
        <w:tab/>
      </w:r>
      <w:r>
        <w:rPr>
          <w:sz w:val="28"/>
          <w:szCs w:val="28"/>
        </w:rPr>
        <w:t>Rule 43 creates reasonable and strong measures of accountability to which lawyers holding the funds of clients and third parties or persons must adhere.  Because the lawyer is entrusted with funds belonging to others, the lawyer must be scrupulous in the management of those funds.  This includes implementing and following adequate internal controls, best accounting principles and creating verifiable audit trails.  Petitioner has suggested amendments to the Rule that benefit lawyers and banks rather than ensuring protection of the public. In addition, Petitioner suggests other amendments to explain terminology that are simply unnecessary or better suited to comments rather than rule changes.</w:t>
      </w:r>
    </w:p>
    <w:p w:rsidR="00653510" w:rsidRDefault="00653510" w:rsidP="00653510">
      <w:pPr>
        <w:pStyle w:val="Body"/>
        <w:widowControl w:val="0"/>
        <w:numPr>
          <w:ilvl w:val="0"/>
          <w:numId w:val="16"/>
        </w:numPr>
        <w:spacing w:line="480" w:lineRule="auto"/>
        <w:ind w:left="0" w:firstLine="360"/>
        <w:jc w:val="both"/>
        <w:rPr>
          <w:sz w:val="28"/>
          <w:szCs w:val="28"/>
        </w:rPr>
      </w:pPr>
      <w:r w:rsidRPr="00EE107E">
        <w:rPr>
          <w:sz w:val="28"/>
          <w:szCs w:val="28"/>
        </w:rPr>
        <w:t xml:space="preserve">Proposed </w:t>
      </w:r>
      <w:r>
        <w:rPr>
          <w:sz w:val="28"/>
          <w:szCs w:val="28"/>
        </w:rPr>
        <w:t>amendments to required trust account records in Rule 43(b)(2):</w:t>
      </w:r>
      <w:r w:rsidRPr="00EE107E">
        <w:rPr>
          <w:sz w:val="28"/>
          <w:szCs w:val="28"/>
        </w:rPr>
        <w:t xml:space="preserve"> </w:t>
      </w:r>
    </w:p>
    <w:p w:rsidR="00653510" w:rsidRPr="001F375B" w:rsidRDefault="00653510" w:rsidP="00653510">
      <w:pPr>
        <w:pStyle w:val="Body"/>
        <w:widowControl w:val="0"/>
        <w:numPr>
          <w:ilvl w:val="1"/>
          <w:numId w:val="16"/>
        </w:numPr>
        <w:spacing w:line="480" w:lineRule="auto"/>
        <w:ind w:left="0" w:firstLine="1080"/>
        <w:jc w:val="both"/>
        <w:rPr>
          <w:sz w:val="28"/>
          <w:szCs w:val="28"/>
        </w:rPr>
      </w:pPr>
      <w:r>
        <w:rPr>
          <w:sz w:val="28"/>
          <w:szCs w:val="28"/>
        </w:rPr>
        <w:t>Rule 43(b)(2)(B)(</w:t>
      </w:r>
      <w:proofErr w:type="spellStart"/>
      <w:r>
        <w:rPr>
          <w:sz w:val="28"/>
          <w:szCs w:val="28"/>
        </w:rPr>
        <w:t>i</w:t>
      </w:r>
      <w:proofErr w:type="spellEnd"/>
      <w:r>
        <w:rPr>
          <w:sz w:val="28"/>
          <w:szCs w:val="28"/>
        </w:rPr>
        <w:t>), (ii), and (iii). The definitions provided in the proposed amendments to subsections (</w:t>
      </w:r>
      <w:proofErr w:type="spellStart"/>
      <w:r>
        <w:rPr>
          <w:sz w:val="28"/>
          <w:szCs w:val="28"/>
        </w:rPr>
        <w:t>i</w:t>
      </w:r>
      <w:proofErr w:type="spellEnd"/>
      <w:r>
        <w:rPr>
          <w:sz w:val="28"/>
          <w:szCs w:val="28"/>
        </w:rPr>
        <w:t>), (ii), and (iii) are unnecessary, but if deemed desirable, are better suited to a comment.  Additionally, the proposed amendment to subsection (iii), adds ambiguity on the requirement to maintain a running balance of funds on deposit in each ledger.  This proposal would create opportunity for error, increase the likelihood of conversion, and make reconstruction of account activity difficult.</w:t>
      </w:r>
    </w:p>
    <w:p w:rsidR="00653510" w:rsidRDefault="00653510" w:rsidP="00653510">
      <w:pPr>
        <w:pStyle w:val="Body"/>
        <w:widowControl w:val="0"/>
        <w:numPr>
          <w:ilvl w:val="0"/>
          <w:numId w:val="16"/>
        </w:numPr>
        <w:spacing w:line="480" w:lineRule="auto"/>
        <w:jc w:val="both"/>
        <w:rPr>
          <w:sz w:val="28"/>
          <w:szCs w:val="28"/>
        </w:rPr>
      </w:pPr>
      <w:r>
        <w:rPr>
          <w:sz w:val="28"/>
          <w:szCs w:val="28"/>
        </w:rPr>
        <w:t>Proposed amendment to recordkeeping requirements in Rule 43(b)(2)(D):</w:t>
      </w:r>
    </w:p>
    <w:p w:rsidR="00653510" w:rsidRDefault="00653510" w:rsidP="00653510">
      <w:pPr>
        <w:pStyle w:val="Body"/>
        <w:widowControl w:val="0"/>
        <w:spacing w:line="480" w:lineRule="auto"/>
        <w:ind w:firstLine="1080"/>
        <w:jc w:val="both"/>
        <w:rPr>
          <w:sz w:val="28"/>
          <w:szCs w:val="28"/>
        </w:rPr>
      </w:pPr>
      <w:r>
        <w:rPr>
          <w:sz w:val="28"/>
          <w:szCs w:val="28"/>
        </w:rPr>
        <w:t>a.</w:t>
      </w:r>
      <w:r>
        <w:rPr>
          <w:sz w:val="28"/>
          <w:szCs w:val="28"/>
        </w:rPr>
        <w:tab/>
        <w:t xml:space="preserve">Currently, lawyers are required to maintain records of disbursement and deposit that are specific, detailed and sufficiently evidence the source of deposit funds or the payee of disbursements. </w:t>
      </w:r>
      <w:r w:rsidRPr="001F375B">
        <w:rPr>
          <w:sz w:val="28"/>
          <w:szCs w:val="28"/>
        </w:rPr>
        <w:t xml:space="preserve">The proposed language </w:t>
      </w:r>
      <w:r>
        <w:rPr>
          <w:sz w:val="28"/>
          <w:szCs w:val="28"/>
        </w:rPr>
        <w:t>would allow lawyers to, instead, maintain records of deposit and disbursement that would show the source and/or payee of funds as “codes” rather than easily identifiable individuals. This change creates a record keeping system that inadequately protects the public and makes examination of a lawyer’s trust account difficult.</w:t>
      </w:r>
    </w:p>
    <w:p w:rsidR="00653510" w:rsidRPr="001F375B" w:rsidRDefault="00653510" w:rsidP="00653510">
      <w:pPr>
        <w:pStyle w:val="Body"/>
        <w:widowControl w:val="0"/>
        <w:spacing w:line="480" w:lineRule="auto"/>
        <w:ind w:firstLine="0"/>
        <w:jc w:val="both"/>
        <w:rPr>
          <w:sz w:val="28"/>
          <w:szCs w:val="28"/>
        </w:rPr>
      </w:pPr>
      <w:r>
        <w:rPr>
          <w:sz w:val="28"/>
          <w:szCs w:val="28"/>
        </w:rPr>
        <w:tab/>
        <w:t xml:space="preserve">b.  Petitioner erroneously contends that the current Rule 43(b)(2)(D) requires lawyers to retain a report of their monthly three-way reconciliation. However, while lawyers are required to conduct a monthly three-way reconciliation, the current Rule does not actually require that a </w:t>
      </w:r>
      <w:proofErr w:type="gramStart"/>
      <w:r>
        <w:rPr>
          <w:sz w:val="28"/>
          <w:szCs w:val="28"/>
        </w:rPr>
        <w:t>particular record</w:t>
      </w:r>
      <w:proofErr w:type="gramEnd"/>
      <w:r>
        <w:rPr>
          <w:sz w:val="28"/>
          <w:szCs w:val="28"/>
        </w:rPr>
        <w:t xml:space="preserve"> of that reconciliation be produced or maintained. Such a requirement is unnecessary for an adequate examination of the trust account.</w:t>
      </w:r>
    </w:p>
    <w:p w:rsidR="00653510" w:rsidRDefault="00653510" w:rsidP="00653510">
      <w:pPr>
        <w:pStyle w:val="Body"/>
        <w:widowControl w:val="0"/>
        <w:numPr>
          <w:ilvl w:val="0"/>
          <w:numId w:val="16"/>
        </w:numPr>
        <w:spacing w:line="480" w:lineRule="auto"/>
        <w:jc w:val="both"/>
        <w:rPr>
          <w:sz w:val="28"/>
          <w:szCs w:val="28"/>
        </w:rPr>
      </w:pPr>
      <w:r>
        <w:rPr>
          <w:sz w:val="28"/>
          <w:szCs w:val="28"/>
        </w:rPr>
        <w:t>Proposed amendment to Rule 43(b)(3)(B):</w:t>
      </w:r>
    </w:p>
    <w:p w:rsidR="00653510" w:rsidRDefault="00653510" w:rsidP="00653510">
      <w:pPr>
        <w:pStyle w:val="Body"/>
        <w:widowControl w:val="0"/>
        <w:spacing w:line="480" w:lineRule="auto"/>
        <w:ind w:firstLine="0"/>
        <w:jc w:val="both"/>
        <w:rPr>
          <w:sz w:val="28"/>
          <w:szCs w:val="28"/>
        </w:rPr>
      </w:pPr>
      <w:r>
        <w:rPr>
          <w:sz w:val="28"/>
          <w:szCs w:val="28"/>
        </w:rPr>
        <w:tab/>
        <w:t xml:space="preserve">The language of this proposed amendment alters the current language regarding remedial steps to be taken in the event of a chargeback. The proposed language is confusing and </w:t>
      </w:r>
      <w:r>
        <w:rPr>
          <w:sz w:val="28"/>
          <w:szCs w:val="28"/>
        </w:rPr>
        <w:t>unnecessarily</w:t>
      </w:r>
      <w:r>
        <w:rPr>
          <w:sz w:val="28"/>
          <w:szCs w:val="28"/>
        </w:rPr>
        <w:t xml:space="preserve"> limits the circumstances in which a lawyer must replace funds compromised by a charge back from a credit card transaction.  </w:t>
      </w:r>
    </w:p>
    <w:p w:rsidR="00653510" w:rsidRDefault="00653510" w:rsidP="00653510">
      <w:pPr>
        <w:pStyle w:val="Body"/>
        <w:widowControl w:val="0"/>
        <w:numPr>
          <w:ilvl w:val="0"/>
          <w:numId w:val="16"/>
        </w:numPr>
        <w:spacing w:line="480" w:lineRule="auto"/>
        <w:jc w:val="both"/>
        <w:rPr>
          <w:sz w:val="28"/>
          <w:szCs w:val="28"/>
        </w:rPr>
      </w:pPr>
      <w:r>
        <w:rPr>
          <w:sz w:val="28"/>
          <w:szCs w:val="28"/>
        </w:rPr>
        <w:t>Proposed amendment to Rule 43(b)(5):</w:t>
      </w:r>
    </w:p>
    <w:p w:rsidR="00653510" w:rsidRDefault="00653510" w:rsidP="00653510">
      <w:pPr>
        <w:pStyle w:val="Body"/>
        <w:widowControl w:val="0"/>
        <w:numPr>
          <w:ilvl w:val="1"/>
          <w:numId w:val="16"/>
        </w:numPr>
        <w:spacing w:line="480" w:lineRule="auto"/>
        <w:ind w:left="0" w:firstLine="1080"/>
        <w:jc w:val="both"/>
        <w:rPr>
          <w:sz w:val="28"/>
          <w:szCs w:val="28"/>
        </w:rPr>
      </w:pPr>
      <w:r>
        <w:rPr>
          <w:sz w:val="28"/>
          <w:szCs w:val="28"/>
        </w:rPr>
        <w:t xml:space="preserve"> Currently, lawyers are required to make all disbursements from the trust account by pre-numbered check or electronic transfer. The Rule requires lawyers to maintain a record of such disbursements in accordance with the other requirements of the Rule, including that the instrument of disbursement identifies the </w:t>
      </w:r>
      <w:r>
        <w:rPr>
          <w:sz w:val="28"/>
          <w:szCs w:val="28"/>
        </w:rPr>
        <w:t>disbursement</w:t>
      </w:r>
      <w:r>
        <w:rPr>
          <w:sz w:val="28"/>
          <w:szCs w:val="28"/>
        </w:rPr>
        <w:t xml:space="preserve"> as being from a trust account. Petitioner seeks to strike this last requirement and expand the definition of electronic transfer to include any electronic disbursement method. This includes </w:t>
      </w:r>
      <w:proofErr w:type="gramStart"/>
      <w:r>
        <w:rPr>
          <w:sz w:val="28"/>
          <w:szCs w:val="28"/>
        </w:rPr>
        <w:t>a number of</w:t>
      </w:r>
      <w:proofErr w:type="gramEnd"/>
      <w:r>
        <w:rPr>
          <w:sz w:val="28"/>
          <w:szCs w:val="28"/>
        </w:rPr>
        <w:t xml:space="preserve"> options that </w:t>
      </w:r>
      <w:r>
        <w:rPr>
          <w:sz w:val="28"/>
          <w:szCs w:val="28"/>
        </w:rPr>
        <w:t>are not</w:t>
      </w:r>
      <w:r>
        <w:rPr>
          <w:sz w:val="28"/>
          <w:szCs w:val="28"/>
        </w:rPr>
        <w:t xml:space="preserve"> secure and not properly documented. Virtually all of Petitioner’s proposed means of disbursement, </w:t>
      </w:r>
      <w:r>
        <w:rPr>
          <w:sz w:val="28"/>
          <w:szCs w:val="28"/>
        </w:rPr>
        <w:t>including ATM</w:t>
      </w:r>
      <w:r>
        <w:rPr>
          <w:sz w:val="28"/>
          <w:szCs w:val="28"/>
        </w:rPr>
        <w:t xml:space="preserve"> transactions, ACH, debit cards and mobile devices are insecure, insufficiently documented, and inadequately verifiable.  They do not generate the type of audit trail that the rules contemplate. The current process required in disbursing by check or electronic transfer – checking the balance available, notating the client, amount and purpose of the disbursement – is eliminated by use of these methods and compromise the existence of a verifiable audit trail.  This presents the same risks as a lawyer writing a check payable to “Cash,” and does not sufficiently protect the public.  </w:t>
      </w:r>
    </w:p>
    <w:p w:rsidR="00653510" w:rsidRPr="00EE107E" w:rsidRDefault="00653510" w:rsidP="00653510">
      <w:pPr>
        <w:pStyle w:val="Body"/>
        <w:widowControl w:val="0"/>
        <w:spacing w:line="480" w:lineRule="auto"/>
        <w:ind w:firstLine="0"/>
        <w:jc w:val="center"/>
        <w:rPr>
          <w:b/>
          <w:sz w:val="28"/>
          <w:szCs w:val="28"/>
        </w:rPr>
      </w:pPr>
      <w:r w:rsidRPr="00EE107E">
        <w:rPr>
          <w:b/>
          <w:sz w:val="28"/>
          <w:szCs w:val="28"/>
        </w:rPr>
        <w:t>CONCLUSION</w:t>
      </w:r>
    </w:p>
    <w:p w:rsidR="00653510" w:rsidRDefault="00653510" w:rsidP="00653510">
      <w:pPr>
        <w:pStyle w:val="Body"/>
        <w:widowControl w:val="0"/>
        <w:spacing w:line="480" w:lineRule="auto"/>
        <w:ind w:firstLine="0"/>
        <w:jc w:val="both"/>
        <w:rPr>
          <w:sz w:val="28"/>
          <w:szCs w:val="28"/>
        </w:rPr>
      </w:pPr>
      <w:r>
        <w:rPr>
          <w:sz w:val="28"/>
          <w:szCs w:val="28"/>
        </w:rPr>
        <w:tab/>
        <w:t xml:space="preserve">Lawyers hold a position of trust, not only with their clients but also with the Court, with third parties with whom they interact, and with the public in general.  With that trust comes responsibility and accountability, and an appropriate expectation of full transparency in a lawyer’s management of their client’s funds.  </w:t>
      </w:r>
    </w:p>
    <w:p w:rsidR="00653510" w:rsidRPr="00961209" w:rsidRDefault="00653510" w:rsidP="00653510">
      <w:pPr>
        <w:pStyle w:val="Body"/>
        <w:widowControl w:val="0"/>
        <w:spacing w:line="480" w:lineRule="auto"/>
        <w:ind w:firstLine="0"/>
        <w:jc w:val="both"/>
        <w:rPr>
          <w:sz w:val="28"/>
          <w:szCs w:val="28"/>
        </w:rPr>
      </w:pPr>
      <w:r>
        <w:rPr>
          <w:sz w:val="28"/>
          <w:szCs w:val="28"/>
        </w:rPr>
        <w:tab/>
        <w:t xml:space="preserve">Petitioner’s proposal decreases accountability, blurs or eliminates verifiable audit trails, and exposes client funds held in trust by the lawyer to unnecessary risk.  </w:t>
      </w:r>
    </w:p>
    <w:p w:rsidR="00653510" w:rsidRPr="006F63FD" w:rsidRDefault="00653510" w:rsidP="00653510">
      <w:pPr>
        <w:pStyle w:val="Body"/>
        <w:widowControl w:val="0"/>
        <w:tabs>
          <w:tab w:val="left" w:pos="720"/>
        </w:tabs>
        <w:spacing w:line="480" w:lineRule="auto"/>
        <w:ind w:firstLine="0"/>
        <w:rPr>
          <w:spacing w:val="-3"/>
          <w:sz w:val="28"/>
          <w:szCs w:val="28"/>
        </w:rPr>
      </w:pPr>
      <w:r w:rsidRPr="006F63FD">
        <w:rPr>
          <w:sz w:val="28"/>
          <w:szCs w:val="28"/>
        </w:rPr>
        <w:tab/>
        <w:t>The State Bar</w:t>
      </w:r>
      <w:r>
        <w:rPr>
          <w:sz w:val="28"/>
          <w:szCs w:val="28"/>
        </w:rPr>
        <w:t xml:space="preserve"> of Arizona</w:t>
      </w:r>
      <w:r w:rsidRPr="006F63FD">
        <w:rPr>
          <w:sz w:val="28"/>
          <w:szCs w:val="28"/>
        </w:rPr>
        <w:t xml:space="preserve"> respectfully requests that </w:t>
      </w:r>
      <w:r>
        <w:rPr>
          <w:sz w:val="28"/>
          <w:szCs w:val="28"/>
        </w:rPr>
        <w:t>the petition be denied.</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D2B"/>
    <w:multiLevelType w:val="hybridMultilevel"/>
    <w:tmpl w:val="8EFA98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40149"/>
    <w:multiLevelType w:val="hybridMultilevel"/>
    <w:tmpl w:val="08D65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1"/>
  </w:num>
  <w:num w:numId="4">
    <w:abstractNumId w:val="5"/>
  </w:num>
  <w:num w:numId="5">
    <w:abstractNumId w:val="8"/>
  </w:num>
  <w:num w:numId="6">
    <w:abstractNumId w:val="9"/>
  </w:num>
  <w:num w:numId="7">
    <w:abstractNumId w:val="2"/>
  </w:num>
  <w:num w:numId="8">
    <w:abstractNumId w:val="15"/>
  </w:num>
  <w:num w:numId="9">
    <w:abstractNumId w:val="10"/>
  </w:num>
  <w:num w:numId="10">
    <w:abstractNumId w:val="12"/>
  </w:num>
  <w:num w:numId="11">
    <w:abstractNumId w:val="11"/>
  </w:num>
  <w:num w:numId="12">
    <w:abstractNumId w:val="6"/>
  </w:num>
  <w:num w:numId="13">
    <w:abstractNumId w:val="3"/>
  </w:num>
  <w:num w:numId="14">
    <w:abstractNumId w:val="4"/>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0E0B"/>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53510"/>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37BE8CF"/>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D919D-CE25-424D-89C6-9802C82B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7</TotalTime>
  <Pages>5</Pages>
  <Words>941</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2019-05-01T16:54:00Z</cp:lastPrinted>
  <dcterms:created xsi:type="dcterms:W3CDTF">2019-05-01T16:53:00Z</dcterms:created>
  <dcterms:modified xsi:type="dcterms:W3CDTF">2019-05-01T16:59:00Z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