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5400"/>
        <w:gridCol w:w="3870"/>
      </w:tblGrid>
      <w:tr w:rsidR="00357F4D" w:rsidRPr="007F76A7" w:rsidTr="00FC545D">
        <w:trPr>
          <w:cantSplit/>
          <w:trHeight w:val="1773"/>
        </w:trPr>
        <w:tc>
          <w:tcPr>
            <w:tcW w:w="5400" w:type="dxa"/>
          </w:tcPr>
          <w:p w:rsidR="006F63FD" w:rsidRPr="007F76A7" w:rsidRDefault="00321387" w:rsidP="00A24BE8">
            <w:pPr>
              <w:pStyle w:val="FirmInformation"/>
              <w:spacing w:line="240" w:lineRule="auto"/>
              <w:ind w:right="-227"/>
              <w:rPr>
                <w:sz w:val="28"/>
                <w:szCs w:val="28"/>
              </w:rPr>
            </w:pPr>
            <w:bookmarkStart w:id="0" w:name="_zzmpFIXED_CounselTable"/>
            <w:bookmarkStart w:id="1" w:name="_Hlk7006337"/>
            <w:bookmarkStart w:id="2" w:name="_Hlk7006685"/>
            <w:r w:rsidRPr="007F76A7">
              <w:rPr>
                <w:sz w:val="28"/>
                <w:szCs w:val="28"/>
              </w:rPr>
              <w:t xml:space="preserve">Hon. </w:t>
            </w:r>
            <w:r w:rsidR="00A24BE8" w:rsidRPr="007F76A7">
              <w:rPr>
                <w:sz w:val="28"/>
                <w:szCs w:val="28"/>
              </w:rPr>
              <w:t xml:space="preserve">Ann </w:t>
            </w:r>
            <w:r w:rsidR="00C74669">
              <w:rPr>
                <w:sz w:val="28"/>
                <w:szCs w:val="28"/>
              </w:rPr>
              <w:t xml:space="preserve">A. </w:t>
            </w:r>
            <w:r w:rsidR="00A24BE8" w:rsidRPr="007F76A7">
              <w:rPr>
                <w:sz w:val="28"/>
                <w:szCs w:val="28"/>
              </w:rPr>
              <w:t xml:space="preserve">Scott Timmer, </w:t>
            </w:r>
            <w:r w:rsidR="00C74669">
              <w:rPr>
                <w:sz w:val="28"/>
                <w:szCs w:val="28"/>
              </w:rPr>
              <w:t>C</w:t>
            </w:r>
            <w:r w:rsidR="00A24BE8" w:rsidRPr="007F76A7">
              <w:rPr>
                <w:sz w:val="28"/>
                <w:szCs w:val="28"/>
              </w:rPr>
              <w:t>hair</w:t>
            </w:r>
          </w:p>
          <w:p w:rsidR="00A24BE8" w:rsidRPr="007F76A7" w:rsidRDefault="00A24BE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>Attorney Regulation Advisory Committee</w:t>
            </w:r>
          </w:p>
          <w:p w:rsidR="003B1CD4" w:rsidRDefault="003B1CD4" w:rsidP="003B1CD4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Supreme Court</w:t>
            </w:r>
          </w:p>
          <w:p w:rsidR="00321387" w:rsidRPr="007F76A7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>1501 W. Washington St</w:t>
            </w:r>
            <w:r w:rsidR="00A24BE8" w:rsidRPr="007F76A7">
              <w:rPr>
                <w:sz w:val="28"/>
                <w:szCs w:val="28"/>
              </w:rPr>
              <w:t>.</w:t>
            </w:r>
          </w:p>
          <w:p w:rsidR="00321387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7F76A7">
              <w:rPr>
                <w:sz w:val="28"/>
                <w:szCs w:val="28"/>
              </w:rPr>
              <w:t xml:space="preserve">Phoenix, AZ </w:t>
            </w:r>
            <w:r w:rsidR="001033D4" w:rsidRPr="007F76A7">
              <w:rPr>
                <w:sz w:val="28"/>
                <w:szCs w:val="28"/>
              </w:rPr>
              <w:t xml:space="preserve"> </w:t>
            </w:r>
            <w:r w:rsidRPr="007F76A7">
              <w:rPr>
                <w:sz w:val="28"/>
                <w:szCs w:val="28"/>
              </w:rPr>
              <w:t>85007</w:t>
            </w:r>
          </w:p>
          <w:p w:rsidR="00F511F8" w:rsidRPr="007F76A7" w:rsidRDefault="00F511F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357F4D" w:rsidRPr="007F76A7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:rsidR="000C48A9" w:rsidRDefault="000F7A7F" w:rsidP="00E30666">
      <w:pPr>
        <w:pStyle w:val="Court"/>
        <w:spacing w:after="120" w:line="240" w:lineRule="auto"/>
        <w:rPr>
          <w:b/>
          <w:sz w:val="28"/>
          <w:szCs w:val="28"/>
        </w:rPr>
      </w:pPr>
      <w:r w:rsidRPr="007F76A7">
        <w:rPr>
          <w:b/>
          <w:sz w:val="28"/>
          <w:szCs w:val="28"/>
        </w:rPr>
        <w:t>IN THE SUPREME COURT</w:t>
      </w:r>
      <w:r w:rsidRPr="007F76A7">
        <w:rPr>
          <w:b/>
          <w:sz w:val="28"/>
          <w:szCs w:val="28"/>
        </w:rPr>
        <w:br/>
        <w:t>STATE OF ARIZONA</w:t>
      </w: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70"/>
        <w:gridCol w:w="4320"/>
      </w:tblGrid>
      <w:tr w:rsidR="00785481" w:rsidRPr="007F76A7" w:rsidTr="00353F37">
        <w:trPr>
          <w:trHeight w:val="1962"/>
        </w:trPr>
        <w:tc>
          <w:tcPr>
            <w:tcW w:w="468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85481" w:rsidRPr="00353F37" w:rsidRDefault="00785481" w:rsidP="00353F37">
            <w:pPr>
              <w:pStyle w:val="Caption"/>
              <w:spacing w:line="240" w:lineRule="auto"/>
              <w:rPr>
                <w:sz w:val="28"/>
                <w:szCs w:val="28"/>
              </w:rPr>
            </w:pPr>
            <w:bookmarkStart w:id="3" w:name="_zzmpFIXED_CaptionTable"/>
          </w:p>
          <w:p w:rsidR="00785481" w:rsidRPr="00353F37" w:rsidRDefault="00785481" w:rsidP="00353F37">
            <w:pPr>
              <w:pStyle w:val="Caption"/>
              <w:spacing w:line="240" w:lineRule="auto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In the Matter of:</w:t>
            </w:r>
          </w:p>
          <w:p w:rsidR="00785481" w:rsidRPr="00353F37" w:rsidRDefault="00785481" w:rsidP="00353F37">
            <w:pPr>
              <w:pStyle w:val="Caption"/>
              <w:spacing w:line="240" w:lineRule="auto"/>
              <w:rPr>
                <w:sz w:val="28"/>
                <w:szCs w:val="28"/>
              </w:rPr>
            </w:pPr>
          </w:p>
          <w:p w:rsidR="00785481" w:rsidRPr="00353F37" w:rsidRDefault="00785481" w:rsidP="00353F37">
            <w:pPr>
              <w:pStyle w:val="Caption"/>
              <w:spacing w:line="240" w:lineRule="auto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 xml:space="preserve">PETITION TO AMEND RULE </w:t>
            </w:r>
            <w:r w:rsidR="00B541B6" w:rsidRPr="00353F37">
              <w:rPr>
                <w:sz w:val="28"/>
                <w:szCs w:val="28"/>
              </w:rPr>
              <w:t>43</w:t>
            </w:r>
            <w:r w:rsidRPr="00353F37">
              <w:rPr>
                <w:sz w:val="28"/>
                <w:szCs w:val="28"/>
              </w:rPr>
              <w:t>, ARIZ. R. SUP. CT.</w:t>
            </w:r>
          </w:p>
          <w:p w:rsidR="00353F37" w:rsidRPr="00353F37" w:rsidRDefault="00353F37" w:rsidP="00353F37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85481" w:rsidRPr="00353F37" w:rsidRDefault="00785481" w:rsidP="00353F37">
            <w:pPr>
              <w:pStyle w:val="Caption"/>
              <w:spacing w:line="240" w:lineRule="auto"/>
              <w:ind w:left="-105" w:right="33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)</w:t>
            </w:r>
          </w:p>
          <w:p w:rsidR="00785481" w:rsidRPr="00353F37" w:rsidRDefault="00785481" w:rsidP="00353F37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)</w:t>
            </w:r>
          </w:p>
          <w:p w:rsidR="00785481" w:rsidRPr="00353F37" w:rsidRDefault="00785481" w:rsidP="00353F37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)</w:t>
            </w:r>
          </w:p>
          <w:p w:rsidR="00785481" w:rsidRPr="00353F37" w:rsidRDefault="00785481" w:rsidP="00353F37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)</w:t>
            </w:r>
          </w:p>
          <w:p w:rsidR="00785481" w:rsidRPr="00353F37" w:rsidRDefault="00785481" w:rsidP="00353F37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)</w:t>
            </w:r>
          </w:p>
          <w:p w:rsidR="00785481" w:rsidRDefault="00785481" w:rsidP="00353F37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)</w:t>
            </w:r>
          </w:p>
          <w:p w:rsidR="00353F37" w:rsidRPr="00353F37" w:rsidRDefault="00353F37" w:rsidP="00353F37">
            <w:pPr>
              <w:spacing w:line="240" w:lineRule="auto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</w:tcBorders>
            <w:shd w:val="clear" w:color="auto" w:fill="auto"/>
          </w:tcPr>
          <w:p w:rsidR="00785481" w:rsidRPr="00353F37" w:rsidRDefault="00785481" w:rsidP="00353F37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ab/>
            </w:r>
          </w:p>
          <w:p w:rsidR="00785481" w:rsidRPr="00353F37" w:rsidRDefault="00785481" w:rsidP="00353F37">
            <w:pPr>
              <w:pStyle w:val="Caption"/>
              <w:spacing w:after="240" w:line="240" w:lineRule="auto"/>
              <w:ind w:left="259" w:right="11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Supreme Court No. R-19-00</w:t>
            </w:r>
            <w:r w:rsidR="00B82D1F" w:rsidRPr="00353F37">
              <w:rPr>
                <w:sz w:val="28"/>
                <w:szCs w:val="28"/>
              </w:rPr>
              <w:t>30</w:t>
            </w:r>
          </w:p>
          <w:p w:rsidR="00785481" w:rsidRPr="00353F37" w:rsidRDefault="00785481" w:rsidP="00353F37">
            <w:pPr>
              <w:pStyle w:val="Caption"/>
              <w:spacing w:line="240" w:lineRule="auto"/>
              <w:ind w:left="259" w:right="115"/>
              <w:rPr>
                <w:sz w:val="28"/>
                <w:szCs w:val="28"/>
              </w:rPr>
            </w:pPr>
            <w:r w:rsidRPr="00353F37">
              <w:rPr>
                <w:sz w:val="28"/>
                <w:szCs w:val="28"/>
              </w:rPr>
              <w:t>Comment of the Attorney Regulation Advisory Committee</w:t>
            </w:r>
          </w:p>
          <w:p w:rsidR="00785481" w:rsidRPr="00353F37" w:rsidRDefault="00785481" w:rsidP="00353F37">
            <w:pPr>
              <w:pStyle w:val="Caption"/>
              <w:ind w:right="115"/>
              <w:rPr>
                <w:sz w:val="28"/>
                <w:szCs w:val="28"/>
              </w:rPr>
            </w:pPr>
          </w:p>
        </w:tc>
      </w:tr>
    </w:tbl>
    <w:p w:rsidR="00710B2E" w:rsidRDefault="00710B2E" w:rsidP="00FC545D">
      <w:pPr>
        <w:spacing w:before="240" w:line="468" w:lineRule="auto"/>
        <w:ind w:firstLine="720"/>
        <w:jc w:val="both"/>
        <w:rPr>
          <w:b/>
          <w:sz w:val="28"/>
          <w:szCs w:val="28"/>
        </w:rPr>
      </w:pPr>
      <w:bookmarkStart w:id="4" w:name="_Hlk7006427"/>
      <w:bookmarkEnd w:id="3"/>
      <w:r>
        <w:rPr>
          <w:sz w:val="28"/>
          <w:szCs w:val="28"/>
        </w:rPr>
        <w:t xml:space="preserve">Pursuant to Rule 28, Rules of the Arizona Supreme Court, the Attorney Regulation Advisory Committee (ARC) respectfully submits this comment </w:t>
      </w:r>
      <w:r w:rsidR="00AD3234">
        <w:rPr>
          <w:sz w:val="28"/>
          <w:szCs w:val="28"/>
        </w:rPr>
        <w:t>regarding the</w:t>
      </w:r>
      <w:r>
        <w:rPr>
          <w:sz w:val="28"/>
          <w:szCs w:val="28"/>
        </w:rPr>
        <w:t xml:space="preserve"> above-referenced proposed rule amendments.</w:t>
      </w:r>
    </w:p>
    <w:p w:rsidR="00B82D1F" w:rsidRDefault="00FE4EE8" w:rsidP="00353F37">
      <w:pPr>
        <w:spacing w:after="120" w:line="46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457AE7">
        <w:rPr>
          <w:sz w:val="28"/>
          <w:szCs w:val="28"/>
        </w:rPr>
        <w:t>its review and</w:t>
      </w:r>
      <w:r w:rsidR="007238A3">
        <w:rPr>
          <w:sz w:val="28"/>
          <w:szCs w:val="28"/>
        </w:rPr>
        <w:t xml:space="preserve"> discussion</w:t>
      </w:r>
      <w:r>
        <w:rPr>
          <w:sz w:val="28"/>
          <w:szCs w:val="28"/>
        </w:rPr>
        <w:t xml:space="preserve">, it was noted </w:t>
      </w:r>
      <w:r w:rsidR="0065130F">
        <w:rPr>
          <w:sz w:val="28"/>
          <w:szCs w:val="28"/>
        </w:rPr>
        <w:t xml:space="preserve">by the Committee </w:t>
      </w:r>
      <w:r>
        <w:rPr>
          <w:sz w:val="28"/>
          <w:szCs w:val="28"/>
        </w:rPr>
        <w:t>that any</w:t>
      </w:r>
      <w:r w:rsidR="00457AE7">
        <w:rPr>
          <w:sz w:val="28"/>
          <w:szCs w:val="28"/>
        </w:rPr>
        <w:t xml:space="preserve"> changes to trust accounting requirements may have unintended </w:t>
      </w:r>
      <w:r w:rsidR="00973344">
        <w:rPr>
          <w:sz w:val="28"/>
          <w:szCs w:val="28"/>
        </w:rPr>
        <w:t xml:space="preserve">effects or </w:t>
      </w:r>
      <w:r w:rsidR="00457AE7">
        <w:rPr>
          <w:sz w:val="28"/>
          <w:szCs w:val="28"/>
        </w:rPr>
        <w:t>consequences</w:t>
      </w:r>
      <w:r w:rsidR="00A5229A">
        <w:rPr>
          <w:sz w:val="28"/>
          <w:szCs w:val="28"/>
        </w:rPr>
        <w:t xml:space="preserve">.  Identifying those effects or consequences </w:t>
      </w:r>
      <w:r w:rsidR="00FC545D">
        <w:rPr>
          <w:sz w:val="28"/>
          <w:szCs w:val="28"/>
        </w:rPr>
        <w:t>is</w:t>
      </w:r>
      <w:r w:rsidR="00A5229A">
        <w:rPr>
          <w:sz w:val="28"/>
          <w:szCs w:val="28"/>
        </w:rPr>
        <w:t xml:space="preserve"> beyond the</w:t>
      </w:r>
      <w:bookmarkStart w:id="5" w:name="_GoBack"/>
      <w:bookmarkEnd w:id="5"/>
      <w:r w:rsidR="00A5229A">
        <w:rPr>
          <w:sz w:val="28"/>
          <w:szCs w:val="28"/>
        </w:rPr>
        <w:t xml:space="preserve"> Committee’s expertise, particularly given the time allotted for comment.  T</w:t>
      </w:r>
      <w:r w:rsidR="0065130F">
        <w:rPr>
          <w:sz w:val="28"/>
          <w:szCs w:val="28"/>
        </w:rPr>
        <w:t>herefore</w:t>
      </w:r>
      <w:r w:rsidR="00A5229A">
        <w:rPr>
          <w:sz w:val="28"/>
          <w:szCs w:val="28"/>
        </w:rPr>
        <w:t>, the Committee</w:t>
      </w:r>
      <w:r w:rsidR="0065130F">
        <w:rPr>
          <w:sz w:val="28"/>
          <w:szCs w:val="28"/>
        </w:rPr>
        <w:t xml:space="preserve"> </w:t>
      </w:r>
      <w:r w:rsidR="007238A3">
        <w:rPr>
          <w:sz w:val="28"/>
          <w:szCs w:val="28"/>
        </w:rPr>
        <w:t xml:space="preserve">recommends that </w:t>
      </w:r>
      <w:r w:rsidR="00457AE7">
        <w:rPr>
          <w:sz w:val="28"/>
          <w:szCs w:val="28"/>
        </w:rPr>
        <w:t xml:space="preserve">this issue be </w:t>
      </w:r>
      <w:r>
        <w:rPr>
          <w:sz w:val="28"/>
          <w:szCs w:val="28"/>
        </w:rPr>
        <w:t>carefully</w:t>
      </w:r>
      <w:r w:rsidR="00457AE7">
        <w:rPr>
          <w:sz w:val="28"/>
          <w:szCs w:val="28"/>
        </w:rPr>
        <w:t xml:space="preserve"> studied </w:t>
      </w:r>
      <w:r w:rsidR="007238A3">
        <w:rPr>
          <w:sz w:val="28"/>
          <w:szCs w:val="28"/>
        </w:rPr>
        <w:t xml:space="preserve">before </w:t>
      </w:r>
      <w:r w:rsidR="00B82D1F">
        <w:rPr>
          <w:sz w:val="28"/>
          <w:szCs w:val="28"/>
        </w:rPr>
        <w:t>amending</w:t>
      </w:r>
      <w:r w:rsidR="007238A3">
        <w:rPr>
          <w:sz w:val="28"/>
          <w:szCs w:val="28"/>
        </w:rPr>
        <w:t xml:space="preserve"> this or </w:t>
      </w:r>
      <w:r>
        <w:rPr>
          <w:sz w:val="28"/>
          <w:szCs w:val="28"/>
        </w:rPr>
        <w:t xml:space="preserve">other </w:t>
      </w:r>
      <w:r w:rsidR="007238A3">
        <w:rPr>
          <w:sz w:val="28"/>
          <w:szCs w:val="28"/>
        </w:rPr>
        <w:t>rule</w:t>
      </w:r>
      <w:r w:rsidR="00E741F2">
        <w:rPr>
          <w:sz w:val="28"/>
          <w:szCs w:val="28"/>
        </w:rPr>
        <w:t>s</w:t>
      </w:r>
      <w:r w:rsidR="007238A3">
        <w:rPr>
          <w:sz w:val="28"/>
          <w:szCs w:val="28"/>
        </w:rPr>
        <w:t xml:space="preserve"> </w:t>
      </w:r>
      <w:r w:rsidR="00B82D1F">
        <w:rPr>
          <w:sz w:val="28"/>
          <w:szCs w:val="28"/>
        </w:rPr>
        <w:t>pertaining to</w:t>
      </w:r>
      <w:r w:rsidR="007238A3">
        <w:rPr>
          <w:sz w:val="28"/>
          <w:szCs w:val="28"/>
        </w:rPr>
        <w:t xml:space="preserve"> trust account</w:t>
      </w:r>
      <w:r w:rsidR="0065130F">
        <w:rPr>
          <w:sz w:val="28"/>
          <w:szCs w:val="28"/>
        </w:rPr>
        <w:t>ing</w:t>
      </w:r>
      <w:r w:rsidR="00B82D1F">
        <w:rPr>
          <w:sz w:val="28"/>
          <w:szCs w:val="28"/>
        </w:rPr>
        <w:t>.</w:t>
      </w:r>
    </w:p>
    <w:p w:rsidR="000C48A9" w:rsidRDefault="00E3221E" w:rsidP="00FC545D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8A9" w:rsidRPr="007F76A7">
        <w:rPr>
          <w:sz w:val="28"/>
          <w:szCs w:val="28"/>
        </w:rPr>
        <w:t xml:space="preserve">RESPECTFULLY SUBMITTED this </w:t>
      </w:r>
      <w:r w:rsidR="00A24BE8" w:rsidRPr="007F76A7">
        <w:rPr>
          <w:b/>
          <w:sz w:val="28"/>
          <w:szCs w:val="28"/>
        </w:rPr>
        <w:t>_</w:t>
      </w:r>
      <w:r w:rsidR="002B0CE6">
        <w:rPr>
          <w:b/>
          <w:sz w:val="28"/>
          <w:szCs w:val="28"/>
        </w:rPr>
        <w:softHyphen/>
      </w:r>
      <w:r w:rsidR="002B0CE6">
        <w:rPr>
          <w:b/>
          <w:sz w:val="28"/>
          <w:szCs w:val="28"/>
        </w:rPr>
        <w:softHyphen/>
        <w:t>__</w:t>
      </w:r>
      <w:r w:rsidR="00A24BE8" w:rsidRPr="007F76A7">
        <w:rPr>
          <w:b/>
          <w:sz w:val="28"/>
          <w:szCs w:val="28"/>
        </w:rPr>
        <w:t>_</w:t>
      </w:r>
      <w:r w:rsidR="006820CB" w:rsidRPr="007F76A7">
        <w:rPr>
          <w:b/>
          <w:sz w:val="28"/>
          <w:szCs w:val="28"/>
        </w:rPr>
        <w:t xml:space="preserve"> </w:t>
      </w:r>
      <w:r w:rsidR="000C48A9" w:rsidRPr="007F76A7">
        <w:rPr>
          <w:sz w:val="28"/>
          <w:szCs w:val="28"/>
        </w:rPr>
        <w:t>day of</w:t>
      </w:r>
      <w:r w:rsidR="00B7182E" w:rsidRPr="007F76A7">
        <w:rPr>
          <w:sz w:val="28"/>
          <w:szCs w:val="28"/>
        </w:rPr>
        <w:t xml:space="preserve"> </w:t>
      </w:r>
      <w:proofErr w:type="gramStart"/>
      <w:r w:rsidR="00AC58B2">
        <w:rPr>
          <w:sz w:val="28"/>
          <w:szCs w:val="28"/>
        </w:rPr>
        <w:t>April,</w:t>
      </w:r>
      <w:proofErr w:type="gramEnd"/>
      <w:r w:rsidR="00710B2E">
        <w:rPr>
          <w:sz w:val="28"/>
          <w:szCs w:val="28"/>
        </w:rPr>
        <w:t xml:space="preserve"> 2019</w:t>
      </w:r>
      <w:r w:rsidR="000C48A9" w:rsidRPr="007F76A7">
        <w:rPr>
          <w:sz w:val="28"/>
          <w:szCs w:val="28"/>
        </w:rPr>
        <w:t>.</w:t>
      </w:r>
    </w:p>
    <w:p w:rsidR="00FC545D" w:rsidRPr="00F05F88" w:rsidRDefault="00FC545D" w:rsidP="00FC545D">
      <w:pPr>
        <w:spacing w:line="240" w:lineRule="auto"/>
        <w:ind w:firstLine="720"/>
        <w:jc w:val="both"/>
        <w:rPr>
          <w:sz w:val="24"/>
          <w:szCs w:val="28"/>
        </w:rPr>
      </w:pPr>
    </w:p>
    <w:p w:rsidR="00FC545D" w:rsidRPr="00F05F88" w:rsidRDefault="00FC545D" w:rsidP="00FC545D">
      <w:pPr>
        <w:spacing w:line="240" w:lineRule="auto"/>
        <w:ind w:firstLine="720"/>
        <w:jc w:val="both"/>
        <w:rPr>
          <w:sz w:val="24"/>
          <w:szCs w:val="28"/>
        </w:rPr>
      </w:pPr>
    </w:p>
    <w:p w:rsidR="00BA007B" w:rsidRPr="00F05F88" w:rsidRDefault="00BA007B" w:rsidP="00FC545D">
      <w:pPr>
        <w:spacing w:line="240" w:lineRule="auto"/>
        <w:ind w:firstLine="720"/>
        <w:jc w:val="both"/>
        <w:rPr>
          <w:sz w:val="24"/>
          <w:szCs w:val="24"/>
        </w:rPr>
      </w:pPr>
    </w:p>
    <w:p w:rsidR="00A24BE8" w:rsidRPr="00F05F88" w:rsidRDefault="00A24BE8" w:rsidP="00FC545D">
      <w:pPr>
        <w:pStyle w:val="FirmInformation"/>
        <w:spacing w:line="240" w:lineRule="auto"/>
        <w:ind w:left="3600" w:right="-227" w:firstLine="720"/>
        <w:rPr>
          <w:sz w:val="24"/>
          <w:szCs w:val="24"/>
        </w:rPr>
      </w:pPr>
      <w:r w:rsidRPr="00F05F88">
        <w:rPr>
          <w:sz w:val="24"/>
          <w:szCs w:val="24"/>
        </w:rPr>
        <w:t>________________________________</w:t>
      </w:r>
      <w:r w:rsidR="00F05F88">
        <w:rPr>
          <w:sz w:val="24"/>
          <w:szCs w:val="24"/>
        </w:rPr>
        <w:t>________</w:t>
      </w:r>
      <w:r w:rsidR="00F05F88">
        <w:rPr>
          <w:sz w:val="24"/>
          <w:szCs w:val="24"/>
        </w:rPr>
        <w:tab/>
      </w:r>
    </w:p>
    <w:p w:rsidR="00A24BE8" w:rsidRPr="007F76A7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r w:rsidRPr="007F76A7">
        <w:rPr>
          <w:sz w:val="28"/>
          <w:szCs w:val="28"/>
        </w:rPr>
        <w:t xml:space="preserve">Hon. Ann </w:t>
      </w:r>
      <w:r w:rsidR="00C74669">
        <w:rPr>
          <w:sz w:val="28"/>
          <w:szCs w:val="28"/>
        </w:rPr>
        <w:t xml:space="preserve">A. </w:t>
      </w:r>
      <w:r w:rsidRPr="007F76A7">
        <w:rPr>
          <w:sz w:val="28"/>
          <w:szCs w:val="28"/>
        </w:rPr>
        <w:t xml:space="preserve">Scott Timmer, </w:t>
      </w:r>
      <w:r w:rsidR="00C74669">
        <w:rPr>
          <w:sz w:val="28"/>
          <w:szCs w:val="28"/>
        </w:rPr>
        <w:t>C</w:t>
      </w:r>
      <w:r w:rsidRPr="007F76A7">
        <w:rPr>
          <w:sz w:val="28"/>
          <w:szCs w:val="28"/>
        </w:rPr>
        <w:t>hair</w:t>
      </w:r>
    </w:p>
    <w:p w:rsidR="00C52A86" w:rsidRPr="007F76A7" w:rsidRDefault="00A24BE8">
      <w:pPr>
        <w:pStyle w:val="FirmInformation"/>
        <w:spacing w:line="240" w:lineRule="auto"/>
        <w:ind w:left="4320"/>
        <w:rPr>
          <w:sz w:val="28"/>
          <w:szCs w:val="28"/>
        </w:rPr>
      </w:pPr>
      <w:bookmarkStart w:id="6" w:name="_Hlk7006438"/>
      <w:r w:rsidRPr="007F76A7">
        <w:rPr>
          <w:sz w:val="28"/>
          <w:szCs w:val="28"/>
        </w:rPr>
        <w:t>Attorney Regulation Advisory Committee</w:t>
      </w:r>
      <w:bookmarkEnd w:id="1"/>
      <w:bookmarkEnd w:id="2"/>
      <w:bookmarkEnd w:id="4"/>
      <w:bookmarkEnd w:id="6"/>
    </w:p>
    <w:sectPr w:rsidR="00C52A86" w:rsidRPr="007F76A7" w:rsidSect="00BA007B">
      <w:footerReference w:type="even" r:id="rId8"/>
      <w:pgSz w:w="12240" w:h="15840" w:code="1"/>
      <w:pgMar w:top="1440" w:right="1440" w:bottom="117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B49" w:rsidRDefault="00610B49">
      <w:r>
        <w:separator/>
      </w:r>
    </w:p>
  </w:endnote>
  <w:endnote w:type="continuationSeparator" w:id="0">
    <w:p w:rsidR="00610B49" w:rsidRDefault="0061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B49" w:rsidRDefault="00610B49">
      <w:r>
        <w:separator/>
      </w:r>
    </w:p>
  </w:footnote>
  <w:footnote w:type="continuationSeparator" w:id="0">
    <w:p w:rsidR="00610B49" w:rsidRDefault="00610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C48A9"/>
    <w:rsid w:val="000D44CD"/>
    <w:rsid w:val="000F7A7F"/>
    <w:rsid w:val="000F7C13"/>
    <w:rsid w:val="0010288B"/>
    <w:rsid w:val="001033D4"/>
    <w:rsid w:val="00135326"/>
    <w:rsid w:val="00173F7D"/>
    <w:rsid w:val="001A2520"/>
    <w:rsid w:val="001A5854"/>
    <w:rsid w:val="001F591C"/>
    <w:rsid w:val="00216A99"/>
    <w:rsid w:val="00232DFD"/>
    <w:rsid w:val="002545FB"/>
    <w:rsid w:val="002550E3"/>
    <w:rsid w:val="00274D6A"/>
    <w:rsid w:val="002B0CE6"/>
    <w:rsid w:val="002B3940"/>
    <w:rsid w:val="002F5FED"/>
    <w:rsid w:val="00321387"/>
    <w:rsid w:val="00343FB8"/>
    <w:rsid w:val="00352347"/>
    <w:rsid w:val="00353F37"/>
    <w:rsid w:val="003566D6"/>
    <w:rsid w:val="00357F4D"/>
    <w:rsid w:val="003617D1"/>
    <w:rsid w:val="00377199"/>
    <w:rsid w:val="00380C44"/>
    <w:rsid w:val="003A28AC"/>
    <w:rsid w:val="003A4DA0"/>
    <w:rsid w:val="003B1CD4"/>
    <w:rsid w:val="003B35C2"/>
    <w:rsid w:val="0040497A"/>
    <w:rsid w:val="00407E2D"/>
    <w:rsid w:val="00426AD0"/>
    <w:rsid w:val="004331B2"/>
    <w:rsid w:val="00440489"/>
    <w:rsid w:val="00440E4C"/>
    <w:rsid w:val="00457AE7"/>
    <w:rsid w:val="00463734"/>
    <w:rsid w:val="00472095"/>
    <w:rsid w:val="00487632"/>
    <w:rsid w:val="00494BDF"/>
    <w:rsid w:val="004C3AE3"/>
    <w:rsid w:val="004D41F3"/>
    <w:rsid w:val="00504E1E"/>
    <w:rsid w:val="0050563A"/>
    <w:rsid w:val="00506859"/>
    <w:rsid w:val="00520F93"/>
    <w:rsid w:val="00566856"/>
    <w:rsid w:val="005A21B0"/>
    <w:rsid w:val="005B1FED"/>
    <w:rsid w:val="005B3EC7"/>
    <w:rsid w:val="005B5161"/>
    <w:rsid w:val="005D6AD4"/>
    <w:rsid w:val="005F1E49"/>
    <w:rsid w:val="00605876"/>
    <w:rsid w:val="00606BCE"/>
    <w:rsid w:val="00610B49"/>
    <w:rsid w:val="006338C1"/>
    <w:rsid w:val="00636F5E"/>
    <w:rsid w:val="0065130F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D3B64"/>
    <w:rsid w:val="006F63FD"/>
    <w:rsid w:val="00710B2E"/>
    <w:rsid w:val="0071520A"/>
    <w:rsid w:val="00716F54"/>
    <w:rsid w:val="007238A3"/>
    <w:rsid w:val="00732169"/>
    <w:rsid w:val="007329E2"/>
    <w:rsid w:val="00735659"/>
    <w:rsid w:val="007427C6"/>
    <w:rsid w:val="0074294A"/>
    <w:rsid w:val="00755277"/>
    <w:rsid w:val="007609A3"/>
    <w:rsid w:val="007675DD"/>
    <w:rsid w:val="0077110E"/>
    <w:rsid w:val="00785481"/>
    <w:rsid w:val="007870CB"/>
    <w:rsid w:val="007A08F7"/>
    <w:rsid w:val="007A3F0F"/>
    <w:rsid w:val="007D5C49"/>
    <w:rsid w:val="007D73FF"/>
    <w:rsid w:val="007F76A7"/>
    <w:rsid w:val="008006ED"/>
    <w:rsid w:val="008205C7"/>
    <w:rsid w:val="00822598"/>
    <w:rsid w:val="008360A1"/>
    <w:rsid w:val="00861563"/>
    <w:rsid w:val="00871AAA"/>
    <w:rsid w:val="00876F57"/>
    <w:rsid w:val="00891AAA"/>
    <w:rsid w:val="008C167C"/>
    <w:rsid w:val="008C6C60"/>
    <w:rsid w:val="00915625"/>
    <w:rsid w:val="0092401D"/>
    <w:rsid w:val="00933EA1"/>
    <w:rsid w:val="00940960"/>
    <w:rsid w:val="00951416"/>
    <w:rsid w:val="00960D21"/>
    <w:rsid w:val="00973344"/>
    <w:rsid w:val="00977277"/>
    <w:rsid w:val="00981D29"/>
    <w:rsid w:val="00981E11"/>
    <w:rsid w:val="009C6843"/>
    <w:rsid w:val="00A1564B"/>
    <w:rsid w:val="00A24BE8"/>
    <w:rsid w:val="00A5194F"/>
    <w:rsid w:val="00A5229A"/>
    <w:rsid w:val="00A56E1E"/>
    <w:rsid w:val="00A8678A"/>
    <w:rsid w:val="00A871D6"/>
    <w:rsid w:val="00A915B8"/>
    <w:rsid w:val="00A93A7C"/>
    <w:rsid w:val="00AC58B2"/>
    <w:rsid w:val="00AD3234"/>
    <w:rsid w:val="00AF282C"/>
    <w:rsid w:val="00AF3FF7"/>
    <w:rsid w:val="00B03FCC"/>
    <w:rsid w:val="00B05183"/>
    <w:rsid w:val="00B1491D"/>
    <w:rsid w:val="00B30CE0"/>
    <w:rsid w:val="00B44D38"/>
    <w:rsid w:val="00B47B7D"/>
    <w:rsid w:val="00B541B6"/>
    <w:rsid w:val="00B7182E"/>
    <w:rsid w:val="00B82D1F"/>
    <w:rsid w:val="00BA007B"/>
    <w:rsid w:val="00BC62CF"/>
    <w:rsid w:val="00BD5908"/>
    <w:rsid w:val="00C03E0F"/>
    <w:rsid w:val="00C3523D"/>
    <w:rsid w:val="00C52A86"/>
    <w:rsid w:val="00C52E56"/>
    <w:rsid w:val="00C5407A"/>
    <w:rsid w:val="00C662B0"/>
    <w:rsid w:val="00C74669"/>
    <w:rsid w:val="00C84FD4"/>
    <w:rsid w:val="00C958EE"/>
    <w:rsid w:val="00CD21FB"/>
    <w:rsid w:val="00CD402A"/>
    <w:rsid w:val="00CE39A2"/>
    <w:rsid w:val="00D14CF1"/>
    <w:rsid w:val="00D423FE"/>
    <w:rsid w:val="00D43496"/>
    <w:rsid w:val="00D442E4"/>
    <w:rsid w:val="00D51893"/>
    <w:rsid w:val="00D80EDC"/>
    <w:rsid w:val="00DA3704"/>
    <w:rsid w:val="00DE0448"/>
    <w:rsid w:val="00DE4CB8"/>
    <w:rsid w:val="00DF4F15"/>
    <w:rsid w:val="00E047D3"/>
    <w:rsid w:val="00E22140"/>
    <w:rsid w:val="00E266B7"/>
    <w:rsid w:val="00E30666"/>
    <w:rsid w:val="00E321C5"/>
    <w:rsid w:val="00E3221E"/>
    <w:rsid w:val="00E5772B"/>
    <w:rsid w:val="00E67511"/>
    <w:rsid w:val="00E741F2"/>
    <w:rsid w:val="00E82D0F"/>
    <w:rsid w:val="00E939A8"/>
    <w:rsid w:val="00E950B5"/>
    <w:rsid w:val="00ED0E96"/>
    <w:rsid w:val="00F05879"/>
    <w:rsid w:val="00F05F88"/>
    <w:rsid w:val="00F06F5B"/>
    <w:rsid w:val="00F241DA"/>
    <w:rsid w:val="00F2485D"/>
    <w:rsid w:val="00F33926"/>
    <w:rsid w:val="00F511F8"/>
    <w:rsid w:val="00F53D5A"/>
    <w:rsid w:val="00F60C61"/>
    <w:rsid w:val="00F64B52"/>
    <w:rsid w:val="00F850BE"/>
    <w:rsid w:val="00FB5291"/>
    <w:rsid w:val="00FB5DB0"/>
    <w:rsid w:val="00FB5E84"/>
    <w:rsid w:val="00FC545D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085830B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428E-BD03-455D-958A-0E00017F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Novak, Katherine</dc:creator>
  <cp:lastModifiedBy>Novak, Katherine</cp:lastModifiedBy>
  <cp:revision>2</cp:revision>
  <cp:lastPrinted>2019-04-25T21:54:00Z</cp:lastPrinted>
  <dcterms:created xsi:type="dcterms:W3CDTF">2019-04-25T21:55:00Z</dcterms:created>
  <dcterms:modified xsi:type="dcterms:W3CDTF">2019-04-25T21:55:00Z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</Properties>
</file>