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36" w:type="dxa"/>
        <w:tblLayout w:type="fixed"/>
        <w:tblLook w:val="0000" w:firstRow="0" w:lastRow="0" w:firstColumn="0" w:lastColumn="0" w:noHBand="0" w:noVBand="0"/>
      </w:tblPr>
      <w:tblGrid>
        <w:gridCol w:w="5400"/>
        <w:gridCol w:w="3636"/>
      </w:tblGrid>
      <w:tr w:rsidR="00357F4D" w:rsidRPr="007F76A7" w:rsidTr="00426AD0">
        <w:trPr>
          <w:cantSplit/>
          <w:trHeight w:val="1987"/>
        </w:trPr>
        <w:tc>
          <w:tcPr>
            <w:tcW w:w="5400" w:type="dxa"/>
          </w:tcPr>
          <w:p w:rsidR="006F63FD" w:rsidRPr="007F76A7" w:rsidRDefault="00321387" w:rsidP="00A24BE8">
            <w:pPr>
              <w:pStyle w:val="FirmInformation"/>
              <w:spacing w:line="240" w:lineRule="auto"/>
              <w:ind w:right="-227"/>
              <w:rPr>
                <w:sz w:val="28"/>
                <w:szCs w:val="28"/>
              </w:rPr>
            </w:pPr>
            <w:bookmarkStart w:id="0" w:name="_zzmpFIXED_CounselTable"/>
            <w:r w:rsidRPr="007F76A7">
              <w:rPr>
                <w:sz w:val="28"/>
                <w:szCs w:val="28"/>
              </w:rPr>
              <w:t xml:space="preserve">Hon. </w:t>
            </w:r>
            <w:r w:rsidR="00A24BE8" w:rsidRPr="007F76A7">
              <w:rPr>
                <w:sz w:val="28"/>
                <w:szCs w:val="28"/>
              </w:rPr>
              <w:t xml:space="preserve">Ann </w:t>
            </w:r>
            <w:r w:rsidR="00C74669">
              <w:rPr>
                <w:sz w:val="28"/>
                <w:szCs w:val="28"/>
              </w:rPr>
              <w:t xml:space="preserve">A. </w:t>
            </w:r>
            <w:r w:rsidR="00A24BE8" w:rsidRPr="007F76A7">
              <w:rPr>
                <w:sz w:val="28"/>
                <w:szCs w:val="28"/>
              </w:rPr>
              <w:t xml:space="preserve">Scott Timmer, </w:t>
            </w:r>
            <w:r w:rsidR="00C74669">
              <w:rPr>
                <w:sz w:val="28"/>
                <w:szCs w:val="28"/>
              </w:rPr>
              <w:t>C</w:t>
            </w:r>
            <w:r w:rsidR="00A24BE8" w:rsidRPr="007F76A7">
              <w:rPr>
                <w:sz w:val="28"/>
                <w:szCs w:val="28"/>
              </w:rPr>
              <w:t>hair</w:t>
            </w:r>
          </w:p>
          <w:p w:rsidR="00A24BE8" w:rsidRPr="007F76A7" w:rsidRDefault="00A24BE8" w:rsidP="00735659">
            <w:pPr>
              <w:pStyle w:val="FirmInformation"/>
              <w:spacing w:line="240" w:lineRule="auto"/>
              <w:rPr>
                <w:sz w:val="28"/>
                <w:szCs w:val="28"/>
              </w:rPr>
            </w:pPr>
            <w:r w:rsidRPr="007F76A7">
              <w:rPr>
                <w:sz w:val="28"/>
                <w:szCs w:val="28"/>
              </w:rPr>
              <w:t>Attorney Regulation Advisory Committee</w:t>
            </w:r>
          </w:p>
          <w:p w:rsidR="003B1CD4" w:rsidRDefault="003B1CD4" w:rsidP="003B1CD4">
            <w:pPr>
              <w:pStyle w:val="FirmInformation"/>
              <w:spacing w:line="240" w:lineRule="auto"/>
              <w:rPr>
                <w:sz w:val="28"/>
                <w:szCs w:val="28"/>
              </w:rPr>
            </w:pPr>
            <w:r>
              <w:rPr>
                <w:sz w:val="28"/>
                <w:szCs w:val="28"/>
              </w:rPr>
              <w:t>Arizona Supreme Court</w:t>
            </w:r>
          </w:p>
          <w:p w:rsidR="00321387" w:rsidRPr="007F76A7" w:rsidRDefault="00321387" w:rsidP="00735659">
            <w:pPr>
              <w:pStyle w:val="FirmInformation"/>
              <w:spacing w:line="240" w:lineRule="auto"/>
              <w:rPr>
                <w:sz w:val="28"/>
                <w:szCs w:val="28"/>
              </w:rPr>
            </w:pPr>
            <w:r w:rsidRPr="007F76A7">
              <w:rPr>
                <w:sz w:val="28"/>
                <w:szCs w:val="28"/>
              </w:rPr>
              <w:t>1501 W. Washington St</w:t>
            </w:r>
            <w:r w:rsidR="00A24BE8" w:rsidRPr="007F76A7">
              <w:rPr>
                <w:sz w:val="28"/>
                <w:szCs w:val="28"/>
              </w:rPr>
              <w:t>.</w:t>
            </w:r>
          </w:p>
          <w:p w:rsidR="00321387" w:rsidRDefault="00321387" w:rsidP="00735659">
            <w:pPr>
              <w:pStyle w:val="FirmInformation"/>
              <w:spacing w:line="240" w:lineRule="auto"/>
              <w:rPr>
                <w:sz w:val="28"/>
                <w:szCs w:val="28"/>
              </w:rPr>
            </w:pPr>
            <w:r w:rsidRPr="007F76A7">
              <w:rPr>
                <w:sz w:val="28"/>
                <w:szCs w:val="28"/>
              </w:rPr>
              <w:t xml:space="preserve">Phoenix, AZ </w:t>
            </w:r>
            <w:r w:rsidR="001033D4" w:rsidRPr="007F76A7">
              <w:rPr>
                <w:sz w:val="28"/>
                <w:szCs w:val="28"/>
              </w:rPr>
              <w:t xml:space="preserve"> </w:t>
            </w:r>
            <w:r w:rsidRPr="007F76A7">
              <w:rPr>
                <w:sz w:val="28"/>
                <w:szCs w:val="28"/>
              </w:rPr>
              <w:t>85007</w:t>
            </w:r>
          </w:p>
          <w:p w:rsidR="00F511F8" w:rsidRPr="007F76A7" w:rsidRDefault="00F511F8" w:rsidP="00735659">
            <w:pPr>
              <w:pStyle w:val="FirmInformation"/>
              <w:spacing w:line="240" w:lineRule="auto"/>
              <w:rPr>
                <w:sz w:val="28"/>
                <w:szCs w:val="28"/>
              </w:rPr>
            </w:pPr>
          </w:p>
        </w:tc>
        <w:tc>
          <w:tcPr>
            <w:tcW w:w="3636" w:type="dxa"/>
          </w:tcPr>
          <w:p w:rsidR="00357F4D" w:rsidRPr="007F76A7" w:rsidRDefault="00357F4D" w:rsidP="00000C35">
            <w:pPr>
              <w:ind w:left="113" w:right="113"/>
              <w:rPr>
                <w:sz w:val="28"/>
                <w:szCs w:val="28"/>
              </w:rPr>
            </w:pPr>
          </w:p>
        </w:tc>
      </w:tr>
    </w:tbl>
    <w:bookmarkEnd w:id="0"/>
    <w:p w:rsidR="000C48A9" w:rsidRPr="007F76A7" w:rsidRDefault="000F7A7F" w:rsidP="00000C35">
      <w:pPr>
        <w:pStyle w:val="Court"/>
        <w:spacing w:line="240" w:lineRule="auto"/>
        <w:rPr>
          <w:b/>
          <w:sz w:val="28"/>
          <w:szCs w:val="28"/>
        </w:rPr>
      </w:pPr>
      <w:r w:rsidRPr="007F76A7">
        <w:rPr>
          <w:b/>
          <w:sz w:val="28"/>
          <w:szCs w:val="28"/>
        </w:rPr>
        <w:t>IN THE SUPREME COURT</w:t>
      </w:r>
      <w:r w:rsidRPr="007F76A7">
        <w:rPr>
          <w:b/>
          <w:sz w:val="28"/>
          <w:szCs w:val="28"/>
        </w:rPr>
        <w:br/>
        <w:t>STATE OF ARIZONA</w:t>
      </w:r>
    </w:p>
    <w:tbl>
      <w:tblPr>
        <w:tblW w:w="9270" w:type="dxa"/>
        <w:tblBorders>
          <w:insideH w:val="single" w:sz="4" w:space="0" w:color="auto"/>
        </w:tblBorders>
        <w:tblLayout w:type="fixed"/>
        <w:tblLook w:val="0000" w:firstRow="0" w:lastRow="0" w:firstColumn="0" w:lastColumn="0" w:noHBand="0" w:noVBand="0"/>
      </w:tblPr>
      <w:tblGrid>
        <w:gridCol w:w="4590"/>
        <w:gridCol w:w="360"/>
        <w:gridCol w:w="4320"/>
      </w:tblGrid>
      <w:tr w:rsidR="00785481" w:rsidRPr="007F76A7" w:rsidTr="00625A29">
        <w:trPr>
          <w:trHeight w:val="2421"/>
        </w:trPr>
        <w:tc>
          <w:tcPr>
            <w:tcW w:w="4590" w:type="dxa"/>
            <w:tcBorders>
              <w:top w:val="nil"/>
              <w:bottom w:val="single" w:sz="4" w:space="0" w:color="auto"/>
              <w:right w:val="nil"/>
            </w:tcBorders>
            <w:shd w:val="clear" w:color="auto" w:fill="auto"/>
          </w:tcPr>
          <w:p w:rsidR="00785481" w:rsidRDefault="00785481" w:rsidP="00785481">
            <w:pPr>
              <w:pStyle w:val="Caption"/>
              <w:spacing w:line="260" w:lineRule="exact"/>
              <w:rPr>
                <w:sz w:val="28"/>
                <w:szCs w:val="28"/>
              </w:rPr>
            </w:pPr>
            <w:bookmarkStart w:id="1" w:name="_zzmpFIXED_CaptionTable"/>
          </w:p>
          <w:p w:rsidR="00785481" w:rsidRDefault="00785481" w:rsidP="00785481">
            <w:pPr>
              <w:pStyle w:val="Caption"/>
              <w:spacing w:line="260" w:lineRule="exact"/>
              <w:rPr>
                <w:sz w:val="28"/>
                <w:szCs w:val="28"/>
              </w:rPr>
            </w:pPr>
            <w:r w:rsidRPr="00B03FCC">
              <w:rPr>
                <w:sz w:val="28"/>
                <w:szCs w:val="28"/>
              </w:rPr>
              <w:t>In the Matter of:</w:t>
            </w:r>
          </w:p>
          <w:p w:rsidR="00785481" w:rsidRDefault="00785481" w:rsidP="00785481">
            <w:pPr>
              <w:pStyle w:val="Caption"/>
              <w:spacing w:line="260" w:lineRule="exact"/>
              <w:rPr>
                <w:sz w:val="28"/>
                <w:szCs w:val="28"/>
              </w:rPr>
            </w:pPr>
          </w:p>
          <w:p w:rsidR="00785481" w:rsidRDefault="00785481" w:rsidP="00785481">
            <w:pPr>
              <w:pStyle w:val="Caption"/>
              <w:spacing w:line="260" w:lineRule="exact"/>
              <w:rPr>
                <w:sz w:val="28"/>
                <w:szCs w:val="28"/>
              </w:rPr>
            </w:pPr>
          </w:p>
          <w:p w:rsidR="00190F92" w:rsidRDefault="00785481" w:rsidP="00785481">
            <w:pPr>
              <w:pStyle w:val="Caption"/>
              <w:spacing w:line="260" w:lineRule="exact"/>
              <w:rPr>
                <w:sz w:val="28"/>
                <w:szCs w:val="28"/>
              </w:rPr>
            </w:pPr>
            <w:r w:rsidRPr="00B03FCC">
              <w:rPr>
                <w:sz w:val="28"/>
                <w:szCs w:val="28"/>
              </w:rPr>
              <w:t xml:space="preserve">PETITION TO AMEND </w:t>
            </w:r>
          </w:p>
          <w:p w:rsidR="00785481" w:rsidRDefault="00785481" w:rsidP="00190F92">
            <w:pPr>
              <w:pStyle w:val="Caption"/>
              <w:spacing w:line="260" w:lineRule="exact"/>
              <w:rPr>
                <w:sz w:val="28"/>
                <w:szCs w:val="28"/>
              </w:rPr>
            </w:pPr>
            <w:r>
              <w:rPr>
                <w:sz w:val="28"/>
                <w:szCs w:val="28"/>
              </w:rPr>
              <w:t xml:space="preserve">RULE </w:t>
            </w:r>
            <w:r w:rsidR="00190F92">
              <w:rPr>
                <w:sz w:val="28"/>
                <w:szCs w:val="28"/>
              </w:rPr>
              <w:t>64(f)(1)(B)</w:t>
            </w:r>
            <w:r>
              <w:rPr>
                <w:sz w:val="28"/>
                <w:szCs w:val="28"/>
              </w:rPr>
              <w:t xml:space="preserve"> </w:t>
            </w:r>
          </w:p>
          <w:p w:rsidR="00190F92" w:rsidRPr="00190F92" w:rsidRDefault="00190F92" w:rsidP="00190F92">
            <w:r w:rsidRPr="00190F92">
              <w:rPr>
                <w:sz w:val="28"/>
              </w:rPr>
              <w:t>A</w:t>
            </w:r>
            <w:r>
              <w:rPr>
                <w:sz w:val="28"/>
              </w:rPr>
              <w:t>rizona Rules of the Supreme Court</w:t>
            </w:r>
          </w:p>
        </w:tc>
        <w:tc>
          <w:tcPr>
            <w:tcW w:w="360" w:type="dxa"/>
            <w:tcBorders>
              <w:top w:val="nil"/>
              <w:left w:val="nil"/>
              <w:bottom w:val="nil"/>
              <w:right w:val="nil"/>
            </w:tcBorders>
          </w:tcPr>
          <w:p w:rsidR="00785481" w:rsidRPr="00785481" w:rsidRDefault="00785481" w:rsidP="00625A29">
            <w:pPr>
              <w:pStyle w:val="Caption"/>
              <w:spacing w:line="240" w:lineRule="auto"/>
              <w:ind w:left="-105" w:right="335"/>
              <w:rPr>
                <w:sz w:val="28"/>
                <w:szCs w:val="28"/>
              </w:rPr>
            </w:pPr>
            <w:r w:rsidRPr="00785481">
              <w:rPr>
                <w:sz w:val="28"/>
                <w:szCs w:val="28"/>
              </w:rPr>
              <w:t>)</w:t>
            </w:r>
          </w:p>
          <w:p w:rsidR="00785481" w:rsidRPr="00785481" w:rsidRDefault="00785481" w:rsidP="00625A29">
            <w:pPr>
              <w:spacing w:line="240" w:lineRule="auto"/>
              <w:ind w:left="-105"/>
              <w:rPr>
                <w:sz w:val="28"/>
                <w:szCs w:val="28"/>
              </w:rPr>
            </w:pPr>
            <w:r w:rsidRPr="00785481">
              <w:rPr>
                <w:sz w:val="28"/>
                <w:szCs w:val="28"/>
              </w:rPr>
              <w:t>)</w:t>
            </w:r>
          </w:p>
          <w:p w:rsidR="00785481" w:rsidRPr="00785481" w:rsidRDefault="00785481" w:rsidP="00625A29">
            <w:pPr>
              <w:spacing w:line="240" w:lineRule="auto"/>
              <w:ind w:left="-105"/>
              <w:rPr>
                <w:sz w:val="28"/>
                <w:szCs w:val="28"/>
              </w:rPr>
            </w:pPr>
            <w:r w:rsidRPr="00785481">
              <w:rPr>
                <w:sz w:val="28"/>
                <w:szCs w:val="28"/>
              </w:rPr>
              <w:t>)</w:t>
            </w:r>
          </w:p>
          <w:p w:rsidR="00785481" w:rsidRDefault="00785481" w:rsidP="00625A29">
            <w:pPr>
              <w:spacing w:line="240" w:lineRule="auto"/>
              <w:ind w:left="-105"/>
              <w:rPr>
                <w:sz w:val="28"/>
                <w:szCs w:val="28"/>
              </w:rPr>
            </w:pPr>
            <w:r w:rsidRPr="00785481">
              <w:rPr>
                <w:sz w:val="28"/>
                <w:szCs w:val="28"/>
              </w:rPr>
              <w:t>)</w:t>
            </w:r>
          </w:p>
          <w:p w:rsidR="00785481" w:rsidRDefault="00785481" w:rsidP="00625A29">
            <w:pPr>
              <w:spacing w:line="240" w:lineRule="auto"/>
              <w:ind w:left="-105"/>
              <w:rPr>
                <w:sz w:val="28"/>
                <w:szCs w:val="28"/>
              </w:rPr>
            </w:pPr>
            <w:r>
              <w:rPr>
                <w:sz w:val="28"/>
                <w:szCs w:val="28"/>
              </w:rPr>
              <w:t>)</w:t>
            </w:r>
          </w:p>
          <w:p w:rsidR="00785481" w:rsidRDefault="00785481" w:rsidP="00625A29">
            <w:pPr>
              <w:spacing w:line="240" w:lineRule="auto"/>
              <w:ind w:left="-105"/>
              <w:rPr>
                <w:sz w:val="28"/>
                <w:szCs w:val="28"/>
              </w:rPr>
            </w:pPr>
            <w:r>
              <w:rPr>
                <w:sz w:val="28"/>
                <w:szCs w:val="28"/>
              </w:rPr>
              <w:t>)</w:t>
            </w:r>
          </w:p>
          <w:p w:rsidR="00785481" w:rsidRDefault="00785481" w:rsidP="00625A29">
            <w:pPr>
              <w:spacing w:line="240" w:lineRule="auto"/>
              <w:ind w:left="-105"/>
              <w:rPr>
                <w:sz w:val="28"/>
                <w:szCs w:val="28"/>
              </w:rPr>
            </w:pPr>
            <w:r>
              <w:rPr>
                <w:sz w:val="28"/>
                <w:szCs w:val="28"/>
              </w:rPr>
              <w:t>)</w:t>
            </w:r>
          </w:p>
          <w:p w:rsidR="00785481" w:rsidRPr="00785481" w:rsidRDefault="00785481" w:rsidP="00625A29">
            <w:pPr>
              <w:spacing w:line="240" w:lineRule="auto"/>
              <w:ind w:left="-105"/>
              <w:rPr>
                <w:sz w:val="28"/>
                <w:szCs w:val="28"/>
              </w:rPr>
            </w:pPr>
            <w:r>
              <w:rPr>
                <w:sz w:val="28"/>
                <w:szCs w:val="28"/>
              </w:rPr>
              <w:t>)</w:t>
            </w:r>
          </w:p>
        </w:tc>
        <w:tc>
          <w:tcPr>
            <w:tcW w:w="4320" w:type="dxa"/>
            <w:tcBorders>
              <w:top w:val="nil"/>
              <w:left w:val="nil"/>
            </w:tcBorders>
            <w:shd w:val="clear" w:color="auto" w:fill="auto"/>
          </w:tcPr>
          <w:p w:rsidR="00785481" w:rsidRDefault="00785481" w:rsidP="00785481">
            <w:pPr>
              <w:pStyle w:val="Caption"/>
              <w:tabs>
                <w:tab w:val="left" w:pos="346"/>
              </w:tabs>
              <w:spacing w:after="240"/>
              <w:ind w:left="259" w:right="115"/>
              <w:rPr>
                <w:sz w:val="28"/>
                <w:szCs w:val="28"/>
              </w:rPr>
            </w:pPr>
            <w:r>
              <w:rPr>
                <w:sz w:val="28"/>
                <w:szCs w:val="28"/>
              </w:rPr>
              <w:tab/>
            </w:r>
          </w:p>
          <w:p w:rsidR="00785481" w:rsidRPr="00B03FCC" w:rsidRDefault="00785481" w:rsidP="00785481">
            <w:pPr>
              <w:pStyle w:val="Caption"/>
              <w:spacing w:after="240"/>
              <w:ind w:left="259" w:right="115"/>
              <w:rPr>
                <w:sz w:val="28"/>
                <w:szCs w:val="28"/>
              </w:rPr>
            </w:pPr>
            <w:r w:rsidRPr="00B03FCC">
              <w:rPr>
                <w:sz w:val="28"/>
                <w:szCs w:val="28"/>
              </w:rPr>
              <w:t>Supreme Court No. R-1</w:t>
            </w:r>
            <w:r w:rsidR="00190F92">
              <w:rPr>
                <w:sz w:val="28"/>
                <w:szCs w:val="28"/>
              </w:rPr>
              <w:t>8-0024</w:t>
            </w:r>
          </w:p>
          <w:p w:rsidR="00785481" w:rsidRPr="00B03FCC" w:rsidRDefault="00785481" w:rsidP="00785481">
            <w:pPr>
              <w:pStyle w:val="Caption"/>
              <w:spacing w:line="260" w:lineRule="exact"/>
              <w:ind w:left="259" w:right="115"/>
              <w:rPr>
                <w:sz w:val="28"/>
                <w:szCs w:val="28"/>
              </w:rPr>
            </w:pPr>
            <w:r w:rsidRPr="00B03FCC">
              <w:rPr>
                <w:sz w:val="28"/>
                <w:szCs w:val="28"/>
              </w:rPr>
              <w:t xml:space="preserve">Comment of </w:t>
            </w:r>
            <w:r>
              <w:rPr>
                <w:sz w:val="28"/>
                <w:szCs w:val="28"/>
              </w:rPr>
              <w:t xml:space="preserve">the </w:t>
            </w:r>
            <w:r w:rsidRPr="00B03FCC">
              <w:rPr>
                <w:sz w:val="28"/>
                <w:szCs w:val="28"/>
              </w:rPr>
              <w:t>Attorney Regulation Advisory Committee</w:t>
            </w:r>
          </w:p>
          <w:p w:rsidR="00785481" w:rsidRPr="00B03FCC" w:rsidRDefault="00785481" w:rsidP="00785481">
            <w:pPr>
              <w:pStyle w:val="DocumentTitle"/>
              <w:rPr>
                <w:sz w:val="28"/>
                <w:szCs w:val="28"/>
              </w:rPr>
            </w:pPr>
          </w:p>
          <w:p w:rsidR="00785481" w:rsidRPr="00B03FCC" w:rsidRDefault="00785481" w:rsidP="00785481">
            <w:pPr>
              <w:pStyle w:val="Caption"/>
              <w:ind w:left="1512" w:right="115" w:hanging="1253"/>
              <w:rPr>
                <w:sz w:val="28"/>
                <w:szCs w:val="28"/>
              </w:rPr>
            </w:pPr>
          </w:p>
        </w:tc>
      </w:tr>
    </w:tbl>
    <w:bookmarkEnd w:id="1"/>
    <w:p w:rsidR="002B1E48" w:rsidRDefault="00B01CF2" w:rsidP="00B77718">
      <w:pPr>
        <w:spacing w:before="240" w:line="480" w:lineRule="auto"/>
        <w:ind w:firstLine="720"/>
        <w:jc w:val="both"/>
        <w:rPr>
          <w:sz w:val="28"/>
          <w:szCs w:val="28"/>
        </w:rPr>
      </w:pPr>
      <w:r w:rsidRPr="00B01CF2">
        <w:rPr>
          <w:sz w:val="28"/>
          <w:szCs w:val="28"/>
        </w:rPr>
        <w:t>The Attorney Regulation Advisory Committee (“ARC”) respectfully recommends that the Arizona Supreme Court grant Rule Change Petition R-18-0024 (the “Petition”) as proposed.  In support of its recommendation, ARC provides the following comments and observations regarding the Petition:</w:t>
      </w:r>
    </w:p>
    <w:p w:rsidR="00B01CF2" w:rsidRPr="00B01CF2" w:rsidRDefault="002B1E48" w:rsidP="0077783D">
      <w:pPr>
        <w:spacing w:line="480" w:lineRule="auto"/>
        <w:ind w:firstLine="720"/>
        <w:jc w:val="both"/>
        <w:rPr>
          <w:sz w:val="28"/>
          <w:szCs w:val="28"/>
        </w:rPr>
      </w:pPr>
      <w:r>
        <w:rPr>
          <w:sz w:val="28"/>
          <w:szCs w:val="28"/>
        </w:rPr>
        <w:t xml:space="preserve">1.  </w:t>
      </w:r>
      <w:r w:rsidR="00B01CF2" w:rsidRPr="00B01CF2">
        <w:rPr>
          <w:sz w:val="28"/>
          <w:szCs w:val="28"/>
        </w:rPr>
        <w:t xml:space="preserve">The Petition would make semantic changes to Rule 64(f)(1)(B), Arizona Rules of the Supreme Court, by striking the current reference to “findings” by the State Bar of Arizona as a condition precedent to an application for reinstatement for petitioners who have been summarily suspended for administrative deficiencies (i.e., failure to meet MCLE requirements or to pay State Bar dues) for more than two years.  The proposed semantic changes, as Petitioner states, would eliminate an </w:t>
      </w:r>
      <w:r w:rsidR="00B01CF2" w:rsidRPr="00B01CF2">
        <w:rPr>
          <w:sz w:val="28"/>
          <w:szCs w:val="28"/>
        </w:rPr>
        <w:lastRenderedPageBreak/>
        <w:t>inaccurate description in the current rule regarding the State Bar’s authority to make “findings.”</w:t>
      </w:r>
    </w:p>
    <w:p w:rsidR="00B01CF2" w:rsidRPr="00B01CF2" w:rsidRDefault="00B01CF2" w:rsidP="0077783D">
      <w:pPr>
        <w:spacing w:line="480" w:lineRule="auto"/>
        <w:ind w:firstLine="720"/>
        <w:jc w:val="both"/>
        <w:rPr>
          <w:sz w:val="28"/>
          <w:szCs w:val="28"/>
        </w:rPr>
      </w:pPr>
      <w:r>
        <w:rPr>
          <w:sz w:val="28"/>
          <w:szCs w:val="28"/>
        </w:rPr>
        <w:t xml:space="preserve">2.  </w:t>
      </w:r>
      <w:r w:rsidRPr="00B01CF2">
        <w:rPr>
          <w:sz w:val="28"/>
          <w:szCs w:val="28"/>
        </w:rPr>
        <w:t xml:space="preserve">More importantly, ARC believes the proposed rule change will align Rule 64(f)(1)(B) with other rules that control reinstatements to practice law by recognizing that any applicant for reinstatement has the burden of proving eligibility for readmission by clear and convincing evidence.  </w:t>
      </w:r>
      <w:r w:rsidRPr="00B01CF2">
        <w:rPr>
          <w:i/>
          <w:sz w:val="28"/>
          <w:szCs w:val="28"/>
        </w:rPr>
        <w:t xml:space="preserve">See </w:t>
      </w:r>
      <w:r w:rsidRPr="00B01CF2">
        <w:rPr>
          <w:sz w:val="28"/>
          <w:szCs w:val="28"/>
        </w:rPr>
        <w:t xml:space="preserve">Rule 64(a), </w:t>
      </w:r>
      <w:proofErr w:type="spellStart"/>
      <w:r w:rsidRPr="00B01CF2">
        <w:rPr>
          <w:sz w:val="28"/>
          <w:szCs w:val="28"/>
        </w:rPr>
        <w:t>Ariz.R.Sup.Ct</w:t>
      </w:r>
      <w:proofErr w:type="spellEnd"/>
      <w:r w:rsidRPr="00B01CF2">
        <w:rPr>
          <w:sz w:val="28"/>
          <w:szCs w:val="28"/>
        </w:rPr>
        <w:t xml:space="preserve">.  Because an applicant for readmission has the burden of proof, there is no reason for any preliminary “findings.”  </w:t>
      </w:r>
    </w:p>
    <w:p w:rsidR="00B01CF2" w:rsidRPr="00B01CF2" w:rsidRDefault="00B01CF2" w:rsidP="0077783D">
      <w:pPr>
        <w:spacing w:line="480" w:lineRule="auto"/>
        <w:ind w:firstLine="720"/>
        <w:jc w:val="both"/>
        <w:rPr>
          <w:sz w:val="28"/>
          <w:szCs w:val="28"/>
        </w:rPr>
      </w:pPr>
      <w:r>
        <w:rPr>
          <w:sz w:val="28"/>
          <w:szCs w:val="28"/>
        </w:rPr>
        <w:t xml:space="preserve">3.  </w:t>
      </w:r>
      <w:r w:rsidRPr="00B01CF2">
        <w:rPr>
          <w:sz w:val="28"/>
          <w:szCs w:val="28"/>
        </w:rPr>
        <w:t>Specifically, the Petition, if granted, would continue to place on an applicant for reinstatement the burden of proving, in part, the applicant’s “fitness” to practice law, as well as “competence,” under Rule 65(b)(2).  Thus, if an applicant’s reason for having failed to apply for reinstatement in less than two years from the date of summary suspension is in any way related to the applicant’s “fitness” or “competence” to practice, the applicant’s burden to prove “fitness” and “competence” by clear and convincing evidence would apply.  In such cases, the applicant would be required to prove rehabilitation from the cause of the applicant’s delay in seeking reinstatement, the State Bar would have an opportunity to present evidence on that issue, and a hearing panel would decide the question, all in the same manner, and with the same burden of proof, as in any other reinstatement case.</w:t>
      </w:r>
    </w:p>
    <w:p w:rsidR="00B01CF2" w:rsidRPr="00B01CF2" w:rsidRDefault="00B01CF2" w:rsidP="0077783D">
      <w:pPr>
        <w:spacing w:line="480" w:lineRule="auto"/>
        <w:ind w:firstLine="720"/>
        <w:jc w:val="both"/>
        <w:rPr>
          <w:sz w:val="28"/>
          <w:szCs w:val="28"/>
        </w:rPr>
      </w:pPr>
      <w:r>
        <w:rPr>
          <w:sz w:val="28"/>
          <w:szCs w:val="28"/>
        </w:rPr>
        <w:lastRenderedPageBreak/>
        <w:t xml:space="preserve">4.  </w:t>
      </w:r>
      <w:r w:rsidRPr="00B01CF2">
        <w:rPr>
          <w:sz w:val="28"/>
          <w:szCs w:val="28"/>
        </w:rPr>
        <w:t>Finally, ARC believes, based on informal inquiry, that the Petition, if granted, would have little or no effect on the process or outcome of cases that proceed under Rule 64(f)(1)(B).  Such cases appear to be relatively rare, and the State Bar has not, to date, issued any “findings” in</w:t>
      </w:r>
      <w:bookmarkStart w:id="2" w:name="_GoBack"/>
      <w:bookmarkEnd w:id="2"/>
      <w:r w:rsidRPr="00B01CF2">
        <w:rPr>
          <w:sz w:val="28"/>
          <w:szCs w:val="28"/>
        </w:rPr>
        <w:t xml:space="preserve"> those cases that have been </w:t>
      </w:r>
      <w:proofErr w:type="gramStart"/>
      <w:r w:rsidRPr="00B01CF2">
        <w:rPr>
          <w:sz w:val="28"/>
          <w:szCs w:val="28"/>
        </w:rPr>
        <w:t>adverse</w:t>
      </w:r>
      <w:proofErr w:type="gramEnd"/>
      <w:r w:rsidRPr="00B01CF2">
        <w:rPr>
          <w:sz w:val="28"/>
          <w:szCs w:val="28"/>
        </w:rPr>
        <w:t xml:space="preserve"> to an applicant.</w:t>
      </w:r>
    </w:p>
    <w:p w:rsidR="000C48A9" w:rsidRPr="007F76A7" w:rsidRDefault="00C74669" w:rsidP="000C48A9">
      <w:pPr>
        <w:pStyle w:val="Body"/>
        <w:widowControl w:val="0"/>
        <w:tabs>
          <w:tab w:val="left" w:pos="720"/>
        </w:tabs>
        <w:ind w:firstLine="0"/>
        <w:rPr>
          <w:sz w:val="28"/>
          <w:szCs w:val="28"/>
        </w:rPr>
      </w:pPr>
      <w:r>
        <w:rPr>
          <w:color w:val="000000" w:themeColor="text1"/>
          <w:sz w:val="28"/>
          <w:szCs w:val="28"/>
        </w:rPr>
        <w:t xml:space="preserve"> </w:t>
      </w:r>
      <w:r w:rsidR="00440489" w:rsidRPr="007F76A7">
        <w:rPr>
          <w:sz w:val="28"/>
          <w:szCs w:val="28"/>
        </w:rPr>
        <w:tab/>
      </w:r>
      <w:r w:rsidR="000C48A9" w:rsidRPr="007F76A7">
        <w:rPr>
          <w:sz w:val="28"/>
          <w:szCs w:val="28"/>
        </w:rPr>
        <w:t xml:space="preserve">RESPECTFULLY SUBMITTED this </w:t>
      </w:r>
      <w:r w:rsidR="00A24BE8" w:rsidRPr="007F76A7">
        <w:rPr>
          <w:b/>
          <w:sz w:val="28"/>
          <w:szCs w:val="28"/>
        </w:rPr>
        <w:t>_</w:t>
      </w:r>
      <w:r w:rsidR="002B0CE6">
        <w:rPr>
          <w:b/>
          <w:sz w:val="28"/>
          <w:szCs w:val="28"/>
        </w:rPr>
        <w:softHyphen/>
      </w:r>
      <w:r w:rsidR="002B0CE6">
        <w:rPr>
          <w:b/>
          <w:sz w:val="28"/>
          <w:szCs w:val="28"/>
        </w:rPr>
        <w:softHyphen/>
        <w:t>__</w:t>
      </w:r>
      <w:r w:rsidR="00A24BE8" w:rsidRPr="007F76A7">
        <w:rPr>
          <w:b/>
          <w:sz w:val="28"/>
          <w:szCs w:val="28"/>
        </w:rPr>
        <w:t>_</w:t>
      </w:r>
      <w:r w:rsidR="006820CB" w:rsidRPr="007F76A7">
        <w:rPr>
          <w:b/>
          <w:sz w:val="28"/>
          <w:szCs w:val="28"/>
        </w:rPr>
        <w:t xml:space="preserve"> </w:t>
      </w:r>
      <w:r w:rsidR="000C48A9" w:rsidRPr="007F76A7">
        <w:rPr>
          <w:sz w:val="28"/>
          <w:szCs w:val="28"/>
        </w:rPr>
        <w:t>day of</w:t>
      </w:r>
      <w:r w:rsidR="00B7182E" w:rsidRPr="007F76A7">
        <w:rPr>
          <w:sz w:val="28"/>
          <w:szCs w:val="28"/>
        </w:rPr>
        <w:t xml:space="preserve"> </w:t>
      </w:r>
      <w:proofErr w:type="gramStart"/>
      <w:r w:rsidR="00710B2E">
        <w:rPr>
          <w:sz w:val="28"/>
          <w:szCs w:val="28"/>
        </w:rPr>
        <w:t>April</w:t>
      </w:r>
      <w:r w:rsidR="00F511F8">
        <w:rPr>
          <w:sz w:val="28"/>
          <w:szCs w:val="28"/>
        </w:rPr>
        <w:t>,</w:t>
      </w:r>
      <w:proofErr w:type="gramEnd"/>
      <w:r w:rsidR="00710B2E">
        <w:rPr>
          <w:sz w:val="28"/>
          <w:szCs w:val="28"/>
        </w:rPr>
        <w:t xml:space="preserve"> 2019</w:t>
      </w:r>
      <w:r w:rsidR="000C48A9" w:rsidRPr="007F76A7">
        <w:rPr>
          <w:sz w:val="28"/>
          <w:szCs w:val="28"/>
        </w:rPr>
        <w:t>.</w:t>
      </w:r>
    </w:p>
    <w:p w:rsidR="000C48A9" w:rsidRPr="007F76A7" w:rsidRDefault="000C48A9" w:rsidP="000C48A9">
      <w:pPr>
        <w:pStyle w:val="Body"/>
        <w:widowControl w:val="0"/>
        <w:tabs>
          <w:tab w:val="left" w:pos="720"/>
        </w:tabs>
        <w:ind w:firstLine="0"/>
        <w:rPr>
          <w:sz w:val="28"/>
          <w:szCs w:val="28"/>
        </w:rPr>
      </w:pPr>
    </w:p>
    <w:p w:rsidR="00A24BE8" w:rsidRPr="007F76A7" w:rsidRDefault="00A24BE8" w:rsidP="000C48A9">
      <w:pPr>
        <w:pStyle w:val="Body"/>
        <w:widowControl w:val="0"/>
        <w:tabs>
          <w:tab w:val="left" w:pos="720"/>
        </w:tabs>
        <w:ind w:firstLine="0"/>
        <w:rPr>
          <w:sz w:val="28"/>
          <w:szCs w:val="28"/>
        </w:rPr>
      </w:pPr>
    </w:p>
    <w:p w:rsidR="00A24BE8" w:rsidRPr="007F76A7" w:rsidRDefault="00A24BE8" w:rsidP="00A24BE8">
      <w:pPr>
        <w:pStyle w:val="FirmInformation"/>
        <w:spacing w:line="240" w:lineRule="auto"/>
        <w:ind w:left="4320" w:right="-227"/>
        <w:rPr>
          <w:sz w:val="28"/>
          <w:szCs w:val="28"/>
        </w:rPr>
      </w:pPr>
      <w:r w:rsidRPr="007F76A7">
        <w:rPr>
          <w:sz w:val="28"/>
          <w:szCs w:val="28"/>
        </w:rPr>
        <w:t>_________________________________</w:t>
      </w:r>
    </w:p>
    <w:p w:rsidR="00A24BE8" w:rsidRPr="007F76A7" w:rsidRDefault="00A24BE8" w:rsidP="00A24BE8">
      <w:pPr>
        <w:pStyle w:val="FirmInformation"/>
        <w:spacing w:line="240" w:lineRule="auto"/>
        <w:ind w:left="4320" w:right="-227"/>
        <w:rPr>
          <w:sz w:val="28"/>
          <w:szCs w:val="28"/>
        </w:rPr>
      </w:pPr>
      <w:r w:rsidRPr="007F76A7">
        <w:rPr>
          <w:sz w:val="28"/>
          <w:szCs w:val="28"/>
        </w:rPr>
        <w:t xml:space="preserve">Hon. Ann </w:t>
      </w:r>
      <w:r w:rsidR="00C74669">
        <w:rPr>
          <w:sz w:val="28"/>
          <w:szCs w:val="28"/>
        </w:rPr>
        <w:t xml:space="preserve">A. </w:t>
      </w:r>
      <w:r w:rsidRPr="007F76A7">
        <w:rPr>
          <w:sz w:val="28"/>
          <w:szCs w:val="28"/>
        </w:rPr>
        <w:t xml:space="preserve">Scott Timmer, </w:t>
      </w:r>
      <w:r w:rsidR="00C74669">
        <w:rPr>
          <w:sz w:val="28"/>
          <w:szCs w:val="28"/>
        </w:rPr>
        <w:t>C</w:t>
      </w:r>
      <w:r w:rsidRPr="007F76A7">
        <w:rPr>
          <w:sz w:val="28"/>
          <w:szCs w:val="28"/>
        </w:rPr>
        <w:t>hair</w:t>
      </w:r>
    </w:p>
    <w:p w:rsidR="00A24BE8" w:rsidRPr="007F76A7" w:rsidRDefault="00A24BE8" w:rsidP="00A24BE8">
      <w:pPr>
        <w:pStyle w:val="FirmInformation"/>
        <w:spacing w:line="240" w:lineRule="auto"/>
        <w:ind w:left="4320"/>
        <w:rPr>
          <w:sz w:val="28"/>
          <w:szCs w:val="28"/>
        </w:rPr>
      </w:pPr>
      <w:r w:rsidRPr="007F76A7">
        <w:rPr>
          <w:sz w:val="28"/>
          <w:szCs w:val="28"/>
        </w:rPr>
        <w:t>Attorney Regulation Advisory Committee</w:t>
      </w:r>
    </w:p>
    <w:sectPr w:rsidR="00A24BE8" w:rsidRPr="007F76A7" w:rsidSect="003B3049">
      <w:footerReference w:type="even" r:id="rId8"/>
      <w:footerReference w:type="default" r:id="rId9"/>
      <w:pgSz w:w="12240" w:h="15840" w:code="1"/>
      <w:pgMar w:top="144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0B49" w:rsidRDefault="00610B49">
      <w:r>
        <w:separator/>
      </w:r>
    </w:p>
  </w:endnote>
  <w:endnote w:type="continuationSeparator" w:id="0">
    <w:p w:rsidR="00610B49" w:rsidRDefault="00610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74294A">
          <w:rPr>
            <w:noProof/>
            <w:sz w:val="26"/>
            <w:szCs w:val="26"/>
          </w:rPr>
          <w:t>5</w:t>
        </w:r>
        <w:r w:rsidRPr="006B4F9A">
          <w:rPr>
            <w:noProof/>
            <w:sz w:val="26"/>
            <w:szCs w:val="26"/>
          </w:rPr>
          <w:fldChar w:fldCharType="end"/>
        </w:r>
      </w:p>
    </w:sdtContent>
  </w:sdt>
  <w:p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0B49" w:rsidRDefault="00610B49">
      <w:r>
        <w:separator/>
      </w:r>
    </w:p>
  </w:footnote>
  <w:footnote w:type="continuationSeparator" w:id="0">
    <w:p w:rsidR="00610B49" w:rsidRDefault="00610B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97908"/>
    <w:multiLevelType w:val="hybridMultilevel"/>
    <w:tmpl w:val="80AE18CA"/>
    <w:lvl w:ilvl="0" w:tplc="E5268FA0">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426E3B"/>
    <w:multiLevelType w:val="hybridMultilevel"/>
    <w:tmpl w:val="017C6F22"/>
    <w:lvl w:ilvl="0" w:tplc="31C24A0C">
      <w:start w:val="1"/>
      <w:numFmt w:val="upperLetter"/>
      <w:lvlText w:val="(%1)"/>
      <w:lvlJc w:val="left"/>
      <w:pPr>
        <w:ind w:left="2010" w:hanging="57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9B73DC"/>
    <w:multiLevelType w:val="hybridMultilevel"/>
    <w:tmpl w:val="2B9C88DC"/>
    <w:lvl w:ilvl="0" w:tplc="04090001">
      <w:start w:val="1"/>
      <w:numFmt w:val="bullet"/>
      <w:lvlText w:val=""/>
      <w:lvlJc w:val="left"/>
      <w:pPr>
        <w:ind w:left="2080" w:hanging="360"/>
      </w:pPr>
      <w:rPr>
        <w:rFonts w:ascii="Symbol" w:hAnsi="Symbol" w:hint="default"/>
      </w:rPr>
    </w:lvl>
    <w:lvl w:ilvl="1" w:tplc="04090003" w:tentative="1">
      <w:start w:val="1"/>
      <w:numFmt w:val="bullet"/>
      <w:lvlText w:val="o"/>
      <w:lvlJc w:val="left"/>
      <w:pPr>
        <w:ind w:left="2800" w:hanging="360"/>
      </w:pPr>
      <w:rPr>
        <w:rFonts w:ascii="Courier New" w:hAnsi="Courier New" w:cs="Courier New" w:hint="default"/>
      </w:rPr>
    </w:lvl>
    <w:lvl w:ilvl="2" w:tplc="04090005" w:tentative="1">
      <w:start w:val="1"/>
      <w:numFmt w:val="bullet"/>
      <w:lvlText w:val=""/>
      <w:lvlJc w:val="left"/>
      <w:pPr>
        <w:ind w:left="3520" w:hanging="360"/>
      </w:pPr>
      <w:rPr>
        <w:rFonts w:ascii="Wingdings" w:hAnsi="Wingdings" w:hint="default"/>
      </w:rPr>
    </w:lvl>
    <w:lvl w:ilvl="3" w:tplc="04090001" w:tentative="1">
      <w:start w:val="1"/>
      <w:numFmt w:val="bullet"/>
      <w:lvlText w:val=""/>
      <w:lvlJc w:val="left"/>
      <w:pPr>
        <w:ind w:left="4240" w:hanging="360"/>
      </w:pPr>
      <w:rPr>
        <w:rFonts w:ascii="Symbol" w:hAnsi="Symbol" w:hint="default"/>
      </w:rPr>
    </w:lvl>
    <w:lvl w:ilvl="4" w:tplc="04090003" w:tentative="1">
      <w:start w:val="1"/>
      <w:numFmt w:val="bullet"/>
      <w:lvlText w:val="o"/>
      <w:lvlJc w:val="left"/>
      <w:pPr>
        <w:ind w:left="4960" w:hanging="360"/>
      </w:pPr>
      <w:rPr>
        <w:rFonts w:ascii="Courier New" w:hAnsi="Courier New" w:cs="Courier New" w:hint="default"/>
      </w:rPr>
    </w:lvl>
    <w:lvl w:ilvl="5" w:tplc="04090005" w:tentative="1">
      <w:start w:val="1"/>
      <w:numFmt w:val="bullet"/>
      <w:lvlText w:val=""/>
      <w:lvlJc w:val="left"/>
      <w:pPr>
        <w:ind w:left="5680" w:hanging="360"/>
      </w:pPr>
      <w:rPr>
        <w:rFonts w:ascii="Wingdings" w:hAnsi="Wingdings" w:hint="default"/>
      </w:rPr>
    </w:lvl>
    <w:lvl w:ilvl="6" w:tplc="04090001" w:tentative="1">
      <w:start w:val="1"/>
      <w:numFmt w:val="bullet"/>
      <w:lvlText w:val=""/>
      <w:lvlJc w:val="left"/>
      <w:pPr>
        <w:ind w:left="6400" w:hanging="360"/>
      </w:pPr>
      <w:rPr>
        <w:rFonts w:ascii="Symbol" w:hAnsi="Symbol" w:hint="default"/>
      </w:rPr>
    </w:lvl>
    <w:lvl w:ilvl="7" w:tplc="04090003" w:tentative="1">
      <w:start w:val="1"/>
      <w:numFmt w:val="bullet"/>
      <w:lvlText w:val="o"/>
      <w:lvlJc w:val="left"/>
      <w:pPr>
        <w:ind w:left="7120" w:hanging="360"/>
      </w:pPr>
      <w:rPr>
        <w:rFonts w:ascii="Courier New" w:hAnsi="Courier New" w:cs="Courier New" w:hint="default"/>
      </w:rPr>
    </w:lvl>
    <w:lvl w:ilvl="8" w:tplc="04090005" w:tentative="1">
      <w:start w:val="1"/>
      <w:numFmt w:val="bullet"/>
      <w:lvlText w:val=""/>
      <w:lvlJc w:val="left"/>
      <w:pPr>
        <w:ind w:left="7840" w:hanging="360"/>
      </w:pPr>
      <w:rPr>
        <w:rFonts w:ascii="Wingdings" w:hAnsi="Wingdings" w:hint="default"/>
      </w:rPr>
    </w:lvl>
  </w:abstractNum>
  <w:abstractNum w:abstractNumId="6"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B83C6B"/>
    <w:multiLevelType w:val="hybridMultilevel"/>
    <w:tmpl w:val="DFDA7040"/>
    <w:lvl w:ilvl="0" w:tplc="6A1404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D76E3E"/>
    <w:multiLevelType w:val="hybridMultilevel"/>
    <w:tmpl w:val="71F061B4"/>
    <w:lvl w:ilvl="0" w:tplc="04090001">
      <w:start w:val="1"/>
      <w:numFmt w:val="bullet"/>
      <w:lvlText w:val=""/>
      <w:lvlJc w:val="left"/>
      <w:pPr>
        <w:ind w:left="2080" w:hanging="360"/>
      </w:pPr>
      <w:rPr>
        <w:rFonts w:ascii="Symbol" w:hAnsi="Symbol" w:hint="default"/>
      </w:rPr>
    </w:lvl>
    <w:lvl w:ilvl="1" w:tplc="04090003">
      <w:start w:val="1"/>
      <w:numFmt w:val="bullet"/>
      <w:lvlText w:val="o"/>
      <w:lvlJc w:val="left"/>
      <w:pPr>
        <w:ind w:left="2800" w:hanging="360"/>
      </w:pPr>
      <w:rPr>
        <w:rFonts w:ascii="Courier New" w:hAnsi="Courier New" w:cs="Courier New" w:hint="default"/>
      </w:rPr>
    </w:lvl>
    <w:lvl w:ilvl="2" w:tplc="04090005" w:tentative="1">
      <w:start w:val="1"/>
      <w:numFmt w:val="bullet"/>
      <w:lvlText w:val=""/>
      <w:lvlJc w:val="left"/>
      <w:pPr>
        <w:ind w:left="3520" w:hanging="360"/>
      </w:pPr>
      <w:rPr>
        <w:rFonts w:ascii="Wingdings" w:hAnsi="Wingdings" w:hint="default"/>
      </w:rPr>
    </w:lvl>
    <w:lvl w:ilvl="3" w:tplc="04090001" w:tentative="1">
      <w:start w:val="1"/>
      <w:numFmt w:val="bullet"/>
      <w:lvlText w:val=""/>
      <w:lvlJc w:val="left"/>
      <w:pPr>
        <w:ind w:left="4240" w:hanging="360"/>
      </w:pPr>
      <w:rPr>
        <w:rFonts w:ascii="Symbol" w:hAnsi="Symbol" w:hint="default"/>
      </w:rPr>
    </w:lvl>
    <w:lvl w:ilvl="4" w:tplc="04090003" w:tentative="1">
      <w:start w:val="1"/>
      <w:numFmt w:val="bullet"/>
      <w:lvlText w:val="o"/>
      <w:lvlJc w:val="left"/>
      <w:pPr>
        <w:ind w:left="4960" w:hanging="360"/>
      </w:pPr>
      <w:rPr>
        <w:rFonts w:ascii="Courier New" w:hAnsi="Courier New" w:cs="Courier New" w:hint="default"/>
      </w:rPr>
    </w:lvl>
    <w:lvl w:ilvl="5" w:tplc="04090005" w:tentative="1">
      <w:start w:val="1"/>
      <w:numFmt w:val="bullet"/>
      <w:lvlText w:val=""/>
      <w:lvlJc w:val="left"/>
      <w:pPr>
        <w:ind w:left="5680" w:hanging="360"/>
      </w:pPr>
      <w:rPr>
        <w:rFonts w:ascii="Wingdings" w:hAnsi="Wingdings" w:hint="default"/>
      </w:rPr>
    </w:lvl>
    <w:lvl w:ilvl="6" w:tplc="04090001" w:tentative="1">
      <w:start w:val="1"/>
      <w:numFmt w:val="bullet"/>
      <w:lvlText w:val=""/>
      <w:lvlJc w:val="left"/>
      <w:pPr>
        <w:ind w:left="6400" w:hanging="360"/>
      </w:pPr>
      <w:rPr>
        <w:rFonts w:ascii="Symbol" w:hAnsi="Symbol" w:hint="default"/>
      </w:rPr>
    </w:lvl>
    <w:lvl w:ilvl="7" w:tplc="04090003" w:tentative="1">
      <w:start w:val="1"/>
      <w:numFmt w:val="bullet"/>
      <w:lvlText w:val="o"/>
      <w:lvlJc w:val="left"/>
      <w:pPr>
        <w:ind w:left="7120" w:hanging="360"/>
      </w:pPr>
      <w:rPr>
        <w:rFonts w:ascii="Courier New" w:hAnsi="Courier New" w:cs="Courier New" w:hint="default"/>
      </w:rPr>
    </w:lvl>
    <w:lvl w:ilvl="8" w:tplc="04090005" w:tentative="1">
      <w:start w:val="1"/>
      <w:numFmt w:val="bullet"/>
      <w:lvlText w:val=""/>
      <w:lvlJc w:val="left"/>
      <w:pPr>
        <w:ind w:left="7840" w:hanging="360"/>
      </w:pPr>
      <w:rPr>
        <w:rFonts w:ascii="Wingdings" w:hAnsi="Wingdings" w:hint="default"/>
      </w:rPr>
    </w:lvl>
  </w:abstractNum>
  <w:abstractNum w:abstractNumId="11"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17"/>
  </w:num>
  <w:num w:numId="3">
    <w:abstractNumId w:val="1"/>
  </w:num>
  <w:num w:numId="4">
    <w:abstractNumId w:val="8"/>
  </w:num>
  <w:num w:numId="5">
    <w:abstractNumId w:val="11"/>
  </w:num>
  <w:num w:numId="6">
    <w:abstractNumId w:val="12"/>
  </w:num>
  <w:num w:numId="7">
    <w:abstractNumId w:val="2"/>
  </w:num>
  <w:num w:numId="8">
    <w:abstractNumId w:val="18"/>
  </w:num>
  <w:num w:numId="9">
    <w:abstractNumId w:val="13"/>
  </w:num>
  <w:num w:numId="10">
    <w:abstractNumId w:val="15"/>
  </w:num>
  <w:num w:numId="11">
    <w:abstractNumId w:val="14"/>
  </w:num>
  <w:num w:numId="12">
    <w:abstractNumId w:val="9"/>
  </w:num>
  <w:num w:numId="13">
    <w:abstractNumId w:val="4"/>
  </w:num>
  <w:num w:numId="14">
    <w:abstractNumId w:val="6"/>
  </w:num>
  <w:num w:numId="15">
    <w:abstractNumId w:val="10"/>
  </w:num>
  <w:num w:numId="16">
    <w:abstractNumId w:val="5"/>
  </w:num>
  <w:num w:numId="17">
    <w:abstractNumId w:val="0"/>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E11"/>
    <w:rsid w:val="00000C35"/>
    <w:rsid w:val="000410B3"/>
    <w:rsid w:val="00043D4D"/>
    <w:rsid w:val="00052372"/>
    <w:rsid w:val="000666D1"/>
    <w:rsid w:val="000917C0"/>
    <w:rsid w:val="00094582"/>
    <w:rsid w:val="000A0155"/>
    <w:rsid w:val="000A1D6B"/>
    <w:rsid w:val="000A75C6"/>
    <w:rsid w:val="000C48A9"/>
    <w:rsid w:val="000D44CD"/>
    <w:rsid w:val="000F7A7F"/>
    <w:rsid w:val="000F7C13"/>
    <w:rsid w:val="0010288B"/>
    <w:rsid w:val="001033D4"/>
    <w:rsid w:val="00135326"/>
    <w:rsid w:val="00173F7D"/>
    <w:rsid w:val="00190F92"/>
    <w:rsid w:val="001A2520"/>
    <w:rsid w:val="001A5854"/>
    <w:rsid w:val="001F591C"/>
    <w:rsid w:val="00216A99"/>
    <w:rsid w:val="00232DFD"/>
    <w:rsid w:val="002545FB"/>
    <w:rsid w:val="002550E3"/>
    <w:rsid w:val="00274D6A"/>
    <w:rsid w:val="002B0CE6"/>
    <w:rsid w:val="002B1E48"/>
    <w:rsid w:val="002B3940"/>
    <w:rsid w:val="00321387"/>
    <w:rsid w:val="00343FB8"/>
    <w:rsid w:val="00352347"/>
    <w:rsid w:val="003566D6"/>
    <w:rsid w:val="00357F4D"/>
    <w:rsid w:val="003617D1"/>
    <w:rsid w:val="00377199"/>
    <w:rsid w:val="00380C44"/>
    <w:rsid w:val="003A28AC"/>
    <w:rsid w:val="003A4DA0"/>
    <w:rsid w:val="003B1CD4"/>
    <w:rsid w:val="003B3049"/>
    <w:rsid w:val="003B35C2"/>
    <w:rsid w:val="0040497A"/>
    <w:rsid w:val="00407E2D"/>
    <w:rsid w:val="00426AD0"/>
    <w:rsid w:val="004331B2"/>
    <w:rsid w:val="00440489"/>
    <w:rsid w:val="00440E4C"/>
    <w:rsid w:val="00463734"/>
    <w:rsid w:val="00472095"/>
    <w:rsid w:val="00487632"/>
    <w:rsid w:val="00494BDF"/>
    <w:rsid w:val="004C3AE3"/>
    <w:rsid w:val="00504E1E"/>
    <w:rsid w:val="0050563A"/>
    <w:rsid w:val="00506859"/>
    <w:rsid w:val="00520F93"/>
    <w:rsid w:val="005316C2"/>
    <w:rsid w:val="00566856"/>
    <w:rsid w:val="005A21B0"/>
    <w:rsid w:val="005B1FED"/>
    <w:rsid w:val="005B3EC7"/>
    <w:rsid w:val="005B5161"/>
    <w:rsid w:val="005D6AD4"/>
    <w:rsid w:val="005F1E49"/>
    <w:rsid w:val="00605876"/>
    <w:rsid w:val="00606BCE"/>
    <w:rsid w:val="00610B49"/>
    <w:rsid w:val="00625A29"/>
    <w:rsid w:val="006338C1"/>
    <w:rsid w:val="00636F5E"/>
    <w:rsid w:val="0066306D"/>
    <w:rsid w:val="00665CCF"/>
    <w:rsid w:val="006666D1"/>
    <w:rsid w:val="006721EC"/>
    <w:rsid w:val="006766BF"/>
    <w:rsid w:val="006820CB"/>
    <w:rsid w:val="006932BA"/>
    <w:rsid w:val="006A6147"/>
    <w:rsid w:val="006B4F9A"/>
    <w:rsid w:val="006D3B64"/>
    <w:rsid w:val="006F63FD"/>
    <w:rsid w:val="00710B2E"/>
    <w:rsid w:val="0071520A"/>
    <w:rsid w:val="00716F54"/>
    <w:rsid w:val="00732169"/>
    <w:rsid w:val="007329E2"/>
    <w:rsid w:val="00735659"/>
    <w:rsid w:val="007427C6"/>
    <w:rsid w:val="0074294A"/>
    <w:rsid w:val="00755277"/>
    <w:rsid w:val="007609A3"/>
    <w:rsid w:val="0077110E"/>
    <w:rsid w:val="0077783D"/>
    <w:rsid w:val="00785481"/>
    <w:rsid w:val="007870CB"/>
    <w:rsid w:val="007A3F0F"/>
    <w:rsid w:val="007D5C49"/>
    <w:rsid w:val="007D73FF"/>
    <w:rsid w:val="007F76A7"/>
    <w:rsid w:val="008006ED"/>
    <w:rsid w:val="00822598"/>
    <w:rsid w:val="008360A1"/>
    <w:rsid w:val="00861563"/>
    <w:rsid w:val="00871AAA"/>
    <w:rsid w:val="00876F57"/>
    <w:rsid w:val="00891AAA"/>
    <w:rsid w:val="008C167C"/>
    <w:rsid w:val="008C6C60"/>
    <w:rsid w:val="00915625"/>
    <w:rsid w:val="0092401D"/>
    <w:rsid w:val="00933EA1"/>
    <w:rsid w:val="00934D20"/>
    <w:rsid w:val="00940960"/>
    <w:rsid w:val="00951416"/>
    <w:rsid w:val="00960D21"/>
    <w:rsid w:val="00977277"/>
    <w:rsid w:val="00981D29"/>
    <w:rsid w:val="00981E11"/>
    <w:rsid w:val="009C6843"/>
    <w:rsid w:val="00A1564B"/>
    <w:rsid w:val="00A24BE8"/>
    <w:rsid w:val="00A5194F"/>
    <w:rsid w:val="00A56E1E"/>
    <w:rsid w:val="00A8678A"/>
    <w:rsid w:val="00A871D6"/>
    <w:rsid w:val="00A915B8"/>
    <w:rsid w:val="00A93A7C"/>
    <w:rsid w:val="00AF282C"/>
    <w:rsid w:val="00AF3FF7"/>
    <w:rsid w:val="00B01CF2"/>
    <w:rsid w:val="00B03FCC"/>
    <w:rsid w:val="00B05183"/>
    <w:rsid w:val="00B1491D"/>
    <w:rsid w:val="00B30CE0"/>
    <w:rsid w:val="00B44D38"/>
    <w:rsid w:val="00B47B7D"/>
    <w:rsid w:val="00B7182E"/>
    <w:rsid w:val="00B77718"/>
    <w:rsid w:val="00BC62CF"/>
    <w:rsid w:val="00BD5908"/>
    <w:rsid w:val="00C03E0F"/>
    <w:rsid w:val="00C3523D"/>
    <w:rsid w:val="00C52E56"/>
    <w:rsid w:val="00C5407A"/>
    <w:rsid w:val="00C662B0"/>
    <w:rsid w:val="00C74669"/>
    <w:rsid w:val="00C84FD4"/>
    <w:rsid w:val="00C958EE"/>
    <w:rsid w:val="00CD21FB"/>
    <w:rsid w:val="00CD402A"/>
    <w:rsid w:val="00CE39A2"/>
    <w:rsid w:val="00D14CF1"/>
    <w:rsid w:val="00D423FE"/>
    <w:rsid w:val="00D43496"/>
    <w:rsid w:val="00D442E4"/>
    <w:rsid w:val="00D467E0"/>
    <w:rsid w:val="00D51893"/>
    <w:rsid w:val="00D80EDC"/>
    <w:rsid w:val="00DA3704"/>
    <w:rsid w:val="00DE0448"/>
    <w:rsid w:val="00DE4CB8"/>
    <w:rsid w:val="00DF4F15"/>
    <w:rsid w:val="00E047D3"/>
    <w:rsid w:val="00E266B7"/>
    <w:rsid w:val="00E321C5"/>
    <w:rsid w:val="00E5772B"/>
    <w:rsid w:val="00E67511"/>
    <w:rsid w:val="00E82D0F"/>
    <w:rsid w:val="00E939A8"/>
    <w:rsid w:val="00E950B5"/>
    <w:rsid w:val="00ED0E96"/>
    <w:rsid w:val="00F05879"/>
    <w:rsid w:val="00F06F5B"/>
    <w:rsid w:val="00F241DA"/>
    <w:rsid w:val="00F2485D"/>
    <w:rsid w:val="00F33926"/>
    <w:rsid w:val="00F511F8"/>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3ED43C8"/>
  <w15:docId w15:val="{5143A2F9-F9E4-DC49-8255-6DA74B4AB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link w:val="Heading2Char"/>
    <w:semiHidden/>
    <w:unhideWhenUsed/>
    <w:qFormat/>
    <w:rsid w:val="00343FB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styleId="ListParagraph">
    <w:name w:val="List Paragraph"/>
    <w:basedOn w:val="Normal"/>
    <w:uiPriority w:val="34"/>
    <w:unhideWhenUsed/>
    <w:qFormat/>
    <w:rsid w:val="00472095"/>
    <w:pPr>
      <w:spacing w:before="240" w:line="240" w:lineRule="auto"/>
      <w:ind w:left="720"/>
      <w:contextualSpacing/>
    </w:pPr>
    <w:rPr>
      <w:rFonts w:asciiTheme="minorHAnsi" w:hAnsiTheme="minorHAnsi"/>
      <w:sz w:val="22"/>
      <w:szCs w:val="22"/>
    </w:rPr>
  </w:style>
  <w:style w:type="paragraph" w:styleId="NormalWeb">
    <w:name w:val="Normal (Web)"/>
    <w:basedOn w:val="Normal"/>
    <w:uiPriority w:val="99"/>
    <w:unhideWhenUsed/>
    <w:rsid w:val="000A0155"/>
    <w:pPr>
      <w:spacing w:before="100" w:beforeAutospacing="1" w:after="100" w:afterAutospacing="1" w:line="240" w:lineRule="auto"/>
    </w:pPr>
    <w:rPr>
      <w:rFonts w:eastAsiaTheme="minorEastAsia"/>
      <w:sz w:val="24"/>
      <w:szCs w:val="24"/>
    </w:rPr>
  </w:style>
  <w:style w:type="character" w:customStyle="1" w:styleId="apple-converted-space">
    <w:name w:val="apple-converted-space"/>
    <w:basedOn w:val="DefaultParagraphFont"/>
    <w:rsid w:val="007F76A7"/>
  </w:style>
  <w:style w:type="character" w:customStyle="1" w:styleId="Heading2Char">
    <w:name w:val="Heading 2 Char"/>
    <w:basedOn w:val="DefaultParagraphFont"/>
    <w:link w:val="Heading2"/>
    <w:semiHidden/>
    <w:rsid w:val="00343FB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262968">
      <w:bodyDiv w:val="1"/>
      <w:marLeft w:val="0"/>
      <w:marRight w:val="0"/>
      <w:marTop w:val="0"/>
      <w:marBottom w:val="0"/>
      <w:divBdr>
        <w:top w:val="none" w:sz="0" w:space="0" w:color="auto"/>
        <w:left w:val="none" w:sz="0" w:space="0" w:color="auto"/>
        <w:bottom w:val="none" w:sz="0" w:space="0" w:color="auto"/>
        <w:right w:val="none" w:sz="0" w:space="0" w:color="auto"/>
      </w:divBdr>
    </w:div>
    <w:div w:id="472912834">
      <w:bodyDiv w:val="1"/>
      <w:marLeft w:val="0"/>
      <w:marRight w:val="0"/>
      <w:marTop w:val="0"/>
      <w:marBottom w:val="0"/>
      <w:divBdr>
        <w:top w:val="none" w:sz="0" w:space="0" w:color="auto"/>
        <w:left w:val="none" w:sz="0" w:space="0" w:color="auto"/>
        <w:bottom w:val="none" w:sz="0" w:space="0" w:color="auto"/>
        <w:right w:val="none" w:sz="0" w:space="0" w:color="auto"/>
      </w:divBdr>
    </w:div>
    <w:div w:id="1053237602">
      <w:bodyDiv w:val="1"/>
      <w:marLeft w:val="0"/>
      <w:marRight w:val="0"/>
      <w:marTop w:val="0"/>
      <w:marBottom w:val="0"/>
      <w:divBdr>
        <w:top w:val="none" w:sz="0" w:space="0" w:color="auto"/>
        <w:left w:val="none" w:sz="0" w:space="0" w:color="auto"/>
        <w:bottom w:val="none" w:sz="0" w:space="0" w:color="auto"/>
        <w:right w:val="none" w:sz="0" w:space="0" w:color="auto"/>
      </w:divBdr>
      <w:divsChild>
        <w:div w:id="1810852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7322386">
              <w:marLeft w:val="0"/>
              <w:marRight w:val="0"/>
              <w:marTop w:val="0"/>
              <w:marBottom w:val="0"/>
              <w:divBdr>
                <w:top w:val="none" w:sz="0" w:space="0" w:color="auto"/>
                <w:left w:val="none" w:sz="0" w:space="0" w:color="auto"/>
                <w:bottom w:val="none" w:sz="0" w:space="0" w:color="auto"/>
                <w:right w:val="none" w:sz="0" w:space="0" w:color="auto"/>
              </w:divBdr>
              <w:divsChild>
                <w:div w:id="1916938730">
                  <w:marLeft w:val="0"/>
                  <w:marRight w:val="0"/>
                  <w:marTop w:val="0"/>
                  <w:marBottom w:val="0"/>
                  <w:divBdr>
                    <w:top w:val="none" w:sz="0" w:space="0" w:color="auto"/>
                    <w:left w:val="none" w:sz="0" w:space="0" w:color="auto"/>
                    <w:bottom w:val="none" w:sz="0" w:space="0" w:color="auto"/>
                    <w:right w:val="none" w:sz="0" w:space="0" w:color="auto"/>
                  </w:divBdr>
                </w:div>
                <w:div w:id="26643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47735-77A1-461E-9A0B-7DBEF8D0E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474</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Novak, Katherine</dc:creator>
  <cp:lastModifiedBy>Novak, Katherine</cp:lastModifiedBy>
  <cp:revision>5</cp:revision>
  <cp:lastPrinted>2019-04-25T23:07:00Z</cp:lastPrinted>
  <dcterms:created xsi:type="dcterms:W3CDTF">2019-04-15T18:02:00Z</dcterms:created>
  <dcterms:modified xsi:type="dcterms:W3CDTF">2019-04-25T23:58:00Z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9cc2b283-f0e4-4ac1-9f2d-3079a0f28293</vt:lpwstr>
  </property>
</Properties>
</file>