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0AE0" w:rsidRPr="005F0AE0" w:rsidRDefault="005F0AE0" w:rsidP="005F0AE0">
      <w:pPr>
        <w:widowControl w:val="0"/>
        <w:tabs>
          <w:tab w:val="center" w:pos="4680"/>
        </w:tabs>
        <w:autoSpaceDE w:val="0"/>
        <w:autoSpaceDN w:val="0"/>
        <w:adjustRightInd w:val="0"/>
        <w:spacing w:line="240" w:lineRule="auto"/>
        <w:jc w:val="both"/>
        <w:rPr>
          <w:sz w:val="28"/>
          <w:szCs w:val="28"/>
        </w:rPr>
      </w:pPr>
      <w:bookmarkStart w:id="0" w:name="_Hlk6217947"/>
      <w:bookmarkStart w:id="1" w:name="_Hlk6217890"/>
      <w:r w:rsidRPr="005F0AE0">
        <w:rPr>
          <w:sz w:val="28"/>
          <w:szCs w:val="28"/>
        </w:rPr>
        <w:t>Hon. Ann A. Scott Timmer, Chair</w:t>
      </w:r>
    </w:p>
    <w:p w:rsidR="005F0AE0" w:rsidRPr="005F0AE0" w:rsidRDefault="005F0AE0" w:rsidP="005F0AE0">
      <w:pPr>
        <w:widowControl w:val="0"/>
        <w:tabs>
          <w:tab w:val="center" w:pos="4680"/>
        </w:tabs>
        <w:autoSpaceDE w:val="0"/>
        <w:autoSpaceDN w:val="0"/>
        <w:adjustRightInd w:val="0"/>
        <w:spacing w:line="240" w:lineRule="auto"/>
        <w:jc w:val="both"/>
        <w:rPr>
          <w:sz w:val="28"/>
          <w:szCs w:val="28"/>
        </w:rPr>
      </w:pPr>
      <w:r w:rsidRPr="005F0AE0">
        <w:rPr>
          <w:sz w:val="28"/>
          <w:szCs w:val="28"/>
        </w:rPr>
        <w:t>Attorney Regulation Advisory Committee</w:t>
      </w:r>
    </w:p>
    <w:p w:rsidR="005F0AE0" w:rsidRPr="005F0AE0" w:rsidRDefault="005F0AE0" w:rsidP="005F0AE0">
      <w:pPr>
        <w:widowControl w:val="0"/>
        <w:tabs>
          <w:tab w:val="center" w:pos="4680"/>
        </w:tabs>
        <w:autoSpaceDE w:val="0"/>
        <w:autoSpaceDN w:val="0"/>
        <w:adjustRightInd w:val="0"/>
        <w:spacing w:line="240" w:lineRule="auto"/>
        <w:jc w:val="both"/>
        <w:rPr>
          <w:sz w:val="28"/>
          <w:szCs w:val="28"/>
        </w:rPr>
      </w:pPr>
      <w:r w:rsidRPr="005F0AE0">
        <w:rPr>
          <w:sz w:val="28"/>
          <w:szCs w:val="28"/>
        </w:rPr>
        <w:t>Arizona Supreme Court</w:t>
      </w:r>
    </w:p>
    <w:p w:rsidR="005F0AE0" w:rsidRPr="005F0AE0" w:rsidRDefault="005F0AE0" w:rsidP="005F0AE0">
      <w:pPr>
        <w:widowControl w:val="0"/>
        <w:tabs>
          <w:tab w:val="center" w:pos="4680"/>
        </w:tabs>
        <w:autoSpaceDE w:val="0"/>
        <w:autoSpaceDN w:val="0"/>
        <w:adjustRightInd w:val="0"/>
        <w:spacing w:line="240" w:lineRule="auto"/>
        <w:jc w:val="both"/>
        <w:rPr>
          <w:sz w:val="28"/>
          <w:szCs w:val="28"/>
        </w:rPr>
      </w:pPr>
      <w:r w:rsidRPr="005F0AE0">
        <w:rPr>
          <w:sz w:val="28"/>
          <w:szCs w:val="28"/>
        </w:rPr>
        <w:t xml:space="preserve">1501 W. Washington St. </w:t>
      </w:r>
    </w:p>
    <w:p w:rsidR="005F0AE0" w:rsidRPr="005F0AE0" w:rsidRDefault="005F0AE0" w:rsidP="005F0AE0">
      <w:pPr>
        <w:widowControl w:val="0"/>
        <w:tabs>
          <w:tab w:val="center" w:pos="4680"/>
        </w:tabs>
        <w:autoSpaceDE w:val="0"/>
        <w:autoSpaceDN w:val="0"/>
        <w:adjustRightInd w:val="0"/>
        <w:spacing w:line="240" w:lineRule="auto"/>
        <w:jc w:val="both"/>
        <w:rPr>
          <w:sz w:val="28"/>
          <w:szCs w:val="28"/>
        </w:rPr>
      </w:pPr>
      <w:r w:rsidRPr="005F0AE0">
        <w:rPr>
          <w:sz w:val="28"/>
          <w:szCs w:val="28"/>
        </w:rPr>
        <w:t>Phoenix, AZ 85007</w:t>
      </w:r>
    </w:p>
    <w:p w:rsidR="005F0AE0" w:rsidRPr="005F0AE0" w:rsidRDefault="005F0AE0" w:rsidP="005F0AE0">
      <w:pPr>
        <w:widowControl w:val="0"/>
        <w:tabs>
          <w:tab w:val="center" w:pos="4680"/>
        </w:tabs>
        <w:autoSpaceDE w:val="0"/>
        <w:autoSpaceDN w:val="0"/>
        <w:adjustRightInd w:val="0"/>
        <w:spacing w:line="240" w:lineRule="auto"/>
        <w:rPr>
          <w:sz w:val="28"/>
          <w:szCs w:val="28"/>
        </w:rPr>
      </w:pPr>
    </w:p>
    <w:p w:rsidR="005F0AE0" w:rsidRPr="005F0AE0" w:rsidRDefault="005F0AE0" w:rsidP="005F0AE0">
      <w:pPr>
        <w:widowControl w:val="0"/>
        <w:tabs>
          <w:tab w:val="center" w:pos="4680"/>
        </w:tabs>
        <w:autoSpaceDE w:val="0"/>
        <w:autoSpaceDN w:val="0"/>
        <w:adjustRightInd w:val="0"/>
        <w:spacing w:line="240" w:lineRule="auto"/>
        <w:rPr>
          <w:b/>
          <w:sz w:val="28"/>
          <w:szCs w:val="28"/>
        </w:rPr>
      </w:pPr>
      <w:r w:rsidRPr="005F0AE0">
        <w:rPr>
          <w:sz w:val="24"/>
          <w:szCs w:val="24"/>
        </w:rPr>
        <w:tab/>
      </w:r>
      <w:r w:rsidRPr="005F0AE0">
        <w:rPr>
          <w:b/>
          <w:sz w:val="28"/>
          <w:szCs w:val="28"/>
        </w:rPr>
        <w:t>IN THE SUPREME COURT</w:t>
      </w:r>
    </w:p>
    <w:p w:rsidR="005F0AE0" w:rsidRPr="005F0AE0" w:rsidRDefault="005F0AE0" w:rsidP="005F0AE0">
      <w:pPr>
        <w:widowControl w:val="0"/>
        <w:tabs>
          <w:tab w:val="center" w:pos="4680"/>
        </w:tabs>
        <w:autoSpaceDE w:val="0"/>
        <w:autoSpaceDN w:val="0"/>
        <w:adjustRightInd w:val="0"/>
        <w:spacing w:line="240" w:lineRule="auto"/>
        <w:jc w:val="center"/>
        <w:rPr>
          <w:b/>
          <w:sz w:val="28"/>
          <w:szCs w:val="28"/>
        </w:rPr>
      </w:pPr>
      <w:r w:rsidRPr="005F0AE0">
        <w:rPr>
          <w:b/>
          <w:sz w:val="28"/>
          <w:szCs w:val="28"/>
        </w:rPr>
        <w:t>STATE OF ARIZONA</w:t>
      </w:r>
    </w:p>
    <w:p w:rsidR="005F0AE0" w:rsidRPr="005F0AE0" w:rsidRDefault="005F0AE0" w:rsidP="005F0AE0">
      <w:pPr>
        <w:widowControl w:val="0"/>
        <w:autoSpaceDE w:val="0"/>
        <w:autoSpaceDN w:val="0"/>
        <w:adjustRightInd w:val="0"/>
        <w:spacing w:line="240" w:lineRule="auto"/>
        <w:rPr>
          <w:sz w:val="24"/>
          <w:szCs w:val="24"/>
        </w:rPr>
      </w:pPr>
    </w:p>
    <w:tbl>
      <w:tblPr>
        <w:tblW w:w="9270" w:type="dxa"/>
        <w:tblBorders>
          <w:insideH w:val="single" w:sz="4" w:space="0" w:color="auto"/>
        </w:tblBorders>
        <w:tblLayout w:type="fixed"/>
        <w:tblLook w:val="0000" w:firstRow="0" w:lastRow="0" w:firstColumn="0" w:lastColumn="0" w:noHBand="0" w:noVBand="0"/>
      </w:tblPr>
      <w:tblGrid>
        <w:gridCol w:w="4590"/>
        <w:gridCol w:w="270"/>
        <w:gridCol w:w="4410"/>
      </w:tblGrid>
      <w:tr w:rsidR="0023274A" w:rsidRPr="0023274A" w:rsidTr="009E12B5">
        <w:trPr>
          <w:trHeight w:val="2421"/>
        </w:trPr>
        <w:tc>
          <w:tcPr>
            <w:tcW w:w="4590" w:type="dxa"/>
            <w:tcBorders>
              <w:top w:val="nil"/>
              <w:bottom w:val="single" w:sz="4" w:space="0" w:color="auto"/>
              <w:right w:val="nil"/>
            </w:tcBorders>
            <w:shd w:val="clear" w:color="auto" w:fill="auto"/>
          </w:tcPr>
          <w:p w:rsidR="0023274A" w:rsidRPr="0023274A" w:rsidRDefault="0023274A" w:rsidP="002B1E73">
            <w:pPr>
              <w:widowControl w:val="0"/>
              <w:spacing w:line="240" w:lineRule="auto"/>
              <w:rPr>
                <w:bCs/>
                <w:sz w:val="28"/>
                <w:szCs w:val="28"/>
              </w:rPr>
            </w:pPr>
            <w:bookmarkStart w:id="2" w:name="_zzmpFIXED_CaptionTable"/>
            <w:bookmarkEnd w:id="0"/>
          </w:p>
          <w:p w:rsidR="0023274A" w:rsidRPr="0023274A" w:rsidRDefault="0023274A" w:rsidP="002B1E73">
            <w:pPr>
              <w:widowControl w:val="0"/>
              <w:spacing w:line="240" w:lineRule="auto"/>
              <w:rPr>
                <w:bCs/>
                <w:sz w:val="28"/>
                <w:szCs w:val="28"/>
              </w:rPr>
            </w:pPr>
            <w:r w:rsidRPr="0023274A">
              <w:rPr>
                <w:bCs/>
                <w:sz w:val="28"/>
                <w:szCs w:val="28"/>
              </w:rPr>
              <w:t>In the Matter of:</w:t>
            </w:r>
          </w:p>
          <w:p w:rsidR="0023274A" w:rsidRPr="0023274A" w:rsidRDefault="0023274A" w:rsidP="002B1E73">
            <w:pPr>
              <w:widowControl w:val="0"/>
              <w:spacing w:line="240" w:lineRule="auto"/>
              <w:rPr>
                <w:bCs/>
                <w:sz w:val="28"/>
                <w:szCs w:val="28"/>
              </w:rPr>
            </w:pPr>
          </w:p>
          <w:p w:rsidR="0023274A" w:rsidRPr="0023274A" w:rsidRDefault="0023274A" w:rsidP="002B1E73">
            <w:pPr>
              <w:widowControl w:val="0"/>
              <w:spacing w:line="240" w:lineRule="auto"/>
              <w:rPr>
                <w:bCs/>
                <w:sz w:val="26"/>
              </w:rPr>
            </w:pPr>
            <w:r w:rsidRPr="0023274A">
              <w:rPr>
                <w:bCs/>
                <w:sz w:val="28"/>
                <w:szCs w:val="28"/>
              </w:rPr>
              <w:t>PETITION TO AMEND RULE 34(b)(1)(D) OF THE RULES OF THE ARIZONA SUPREME COURT</w:t>
            </w:r>
          </w:p>
        </w:tc>
        <w:tc>
          <w:tcPr>
            <w:tcW w:w="270" w:type="dxa"/>
            <w:tcBorders>
              <w:top w:val="nil"/>
              <w:left w:val="nil"/>
              <w:bottom w:val="nil"/>
              <w:right w:val="nil"/>
            </w:tcBorders>
          </w:tcPr>
          <w:p w:rsidR="0023274A" w:rsidRPr="0023274A" w:rsidRDefault="0023274A" w:rsidP="0023274A">
            <w:pPr>
              <w:widowControl w:val="0"/>
              <w:spacing w:line="240" w:lineRule="auto"/>
              <w:ind w:left="-105" w:right="335"/>
              <w:rPr>
                <w:bCs/>
                <w:sz w:val="28"/>
                <w:szCs w:val="28"/>
              </w:rPr>
            </w:pPr>
            <w:r w:rsidRPr="0023274A">
              <w:rPr>
                <w:bCs/>
                <w:sz w:val="28"/>
                <w:szCs w:val="28"/>
              </w:rPr>
              <w:t>)</w:t>
            </w:r>
          </w:p>
          <w:p w:rsidR="0023274A" w:rsidRPr="0023274A" w:rsidRDefault="0023274A" w:rsidP="0023274A">
            <w:pPr>
              <w:widowControl w:val="0"/>
              <w:autoSpaceDE w:val="0"/>
              <w:autoSpaceDN w:val="0"/>
              <w:adjustRightInd w:val="0"/>
              <w:spacing w:line="240" w:lineRule="auto"/>
              <w:ind w:left="-105"/>
              <w:rPr>
                <w:sz w:val="28"/>
                <w:szCs w:val="28"/>
              </w:rPr>
            </w:pPr>
            <w:r w:rsidRPr="0023274A">
              <w:rPr>
                <w:sz w:val="28"/>
                <w:szCs w:val="28"/>
              </w:rPr>
              <w:t>)</w:t>
            </w:r>
          </w:p>
          <w:p w:rsidR="0023274A" w:rsidRPr="0023274A" w:rsidRDefault="0023274A" w:rsidP="0023274A">
            <w:pPr>
              <w:widowControl w:val="0"/>
              <w:autoSpaceDE w:val="0"/>
              <w:autoSpaceDN w:val="0"/>
              <w:adjustRightInd w:val="0"/>
              <w:spacing w:line="240" w:lineRule="auto"/>
              <w:ind w:left="-105"/>
              <w:rPr>
                <w:sz w:val="28"/>
                <w:szCs w:val="28"/>
              </w:rPr>
            </w:pPr>
            <w:r w:rsidRPr="0023274A">
              <w:rPr>
                <w:sz w:val="28"/>
                <w:szCs w:val="28"/>
              </w:rPr>
              <w:t>)</w:t>
            </w:r>
          </w:p>
          <w:p w:rsidR="0023274A" w:rsidRPr="0023274A" w:rsidRDefault="0023274A" w:rsidP="0023274A">
            <w:pPr>
              <w:widowControl w:val="0"/>
              <w:autoSpaceDE w:val="0"/>
              <w:autoSpaceDN w:val="0"/>
              <w:adjustRightInd w:val="0"/>
              <w:spacing w:line="240" w:lineRule="auto"/>
              <w:ind w:left="-105"/>
              <w:rPr>
                <w:sz w:val="28"/>
                <w:szCs w:val="28"/>
              </w:rPr>
            </w:pPr>
            <w:r w:rsidRPr="0023274A">
              <w:rPr>
                <w:sz w:val="28"/>
                <w:szCs w:val="28"/>
              </w:rPr>
              <w:t>)</w:t>
            </w:r>
          </w:p>
          <w:p w:rsidR="0023274A" w:rsidRPr="0023274A" w:rsidRDefault="0023274A" w:rsidP="0023274A">
            <w:pPr>
              <w:widowControl w:val="0"/>
              <w:autoSpaceDE w:val="0"/>
              <w:autoSpaceDN w:val="0"/>
              <w:adjustRightInd w:val="0"/>
              <w:spacing w:line="240" w:lineRule="auto"/>
              <w:ind w:left="-105"/>
              <w:rPr>
                <w:sz w:val="28"/>
                <w:szCs w:val="28"/>
              </w:rPr>
            </w:pPr>
            <w:r w:rsidRPr="0023274A">
              <w:rPr>
                <w:sz w:val="28"/>
                <w:szCs w:val="28"/>
              </w:rPr>
              <w:t>)</w:t>
            </w:r>
          </w:p>
          <w:p w:rsidR="0023274A" w:rsidRPr="0023274A" w:rsidRDefault="0023274A" w:rsidP="0023274A">
            <w:pPr>
              <w:widowControl w:val="0"/>
              <w:autoSpaceDE w:val="0"/>
              <w:autoSpaceDN w:val="0"/>
              <w:adjustRightInd w:val="0"/>
              <w:spacing w:line="240" w:lineRule="auto"/>
              <w:ind w:left="-105"/>
              <w:rPr>
                <w:sz w:val="28"/>
                <w:szCs w:val="28"/>
              </w:rPr>
            </w:pPr>
            <w:r w:rsidRPr="0023274A">
              <w:rPr>
                <w:sz w:val="28"/>
                <w:szCs w:val="28"/>
              </w:rPr>
              <w:t>)</w:t>
            </w:r>
          </w:p>
          <w:p w:rsidR="0023274A" w:rsidRPr="0023274A" w:rsidRDefault="0023274A" w:rsidP="0023274A">
            <w:pPr>
              <w:widowControl w:val="0"/>
              <w:autoSpaceDE w:val="0"/>
              <w:autoSpaceDN w:val="0"/>
              <w:adjustRightInd w:val="0"/>
              <w:spacing w:line="240" w:lineRule="auto"/>
              <w:ind w:left="-105"/>
              <w:rPr>
                <w:sz w:val="28"/>
                <w:szCs w:val="28"/>
              </w:rPr>
            </w:pPr>
            <w:r w:rsidRPr="0023274A">
              <w:rPr>
                <w:sz w:val="28"/>
                <w:szCs w:val="28"/>
              </w:rPr>
              <w:t>)</w:t>
            </w:r>
          </w:p>
          <w:p w:rsidR="0023274A" w:rsidRDefault="0023274A" w:rsidP="0023274A">
            <w:pPr>
              <w:widowControl w:val="0"/>
              <w:autoSpaceDE w:val="0"/>
              <w:autoSpaceDN w:val="0"/>
              <w:adjustRightInd w:val="0"/>
              <w:spacing w:line="240" w:lineRule="auto"/>
              <w:ind w:left="-105"/>
              <w:rPr>
                <w:sz w:val="28"/>
                <w:szCs w:val="28"/>
              </w:rPr>
            </w:pPr>
            <w:r w:rsidRPr="0023274A">
              <w:rPr>
                <w:sz w:val="28"/>
                <w:szCs w:val="28"/>
              </w:rPr>
              <w:t>)</w:t>
            </w:r>
          </w:p>
          <w:p w:rsidR="002B1E73" w:rsidRPr="0023274A" w:rsidRDefault="002B1E73" w:rsidP="0023274A">
            <w:pPr>
              <w:widowControl w:val="0"/>
              <w:autoSpaceDE w:val="0"/>
              <w:autoSpaceDN w:val="0"/>
              <w:adjustRightInd w:val="0"/>
              <w:spacing w:line="240" w:lineRule="auto"/>
              <w:ind w:left="-105"/>
              <w:rPr>
                <w:sz w:val="28"/>
                <w:szCs w:val="28"/>
              </w:rPr>
            </w:pPr>
            <w:r>
              <w:rPr>
                <w:sz w:val="28"/>
                <w:szCs w:val="28"/>
              </w:rPr>
              <w:t>)</w:t>
            </w:r>
          </w:p>
        </w:tc>
        <w:tc>
          <w:tcPr>
            <w:tcW w:w="4410" w:type="dxa"/>
            <w:tcBorders>
              <w:top w:val="nil"/>
              <w:left w:val="nil"/>
            </w:tcBorders>
            <w:shd w:val="clear" w:color="auto" w:fill="auto"/>
          </w:tcPr>
          <w:p w:rsidR="0023274A" w:rsidRPr="0023274A" w:rsidRDefault="0023274A" w:rsidP="0023274A">
            <w:pPr>
              <w:widowControl w:val="0"/>
              <w:autoSpaceDE w:val="0"/>
              <w:autoSpaceDN w:val="0"/>
              <w:adjustRightInd w:val="0"/>
              <w:spacing w:line="240" w:lineRule="auto"/>
              <w:rPr>
                <w:sz w:val="28"/>
                <w:szCs w:val="24"/>
              </w:rPr>
            </w:pPr>
          </w:p>
          <w:p w:rsidR="0023274A" w:rsidRPr="0023274A" w:rsidRDefault="0023274A" w:rsidP="0023274A">
            <w:pPr>
              <w:widowControl w:val="0"/>
              <w:autoSpaceDE w:val="0"/>
              <w:autoSpaceDN w:val="0"/>
              <w:adjustRightInd w:val="0"/>
              <w:spacing w:line="240" w:lineRule="auto"/>
              <w:rPr>
                <w:sz w:val="28"/>
                <w:szCs w:val="24"/>
              </w:rPr>
            </w:pPr>
            <w:r w:rsidRPr="0023274A">
              <w:rPr>
                <w:sz w:val="28"/>
                <w:szCs w:val="24"/>
              </w:rPr>
              <w:t>Supreme Court No. R-19-0004</w:t>
            </w:r>
          </w:p>
          <w:p w:rsidR="0023274A" w:rsidRPr="0023274A" w:rsidRDefault="0023274A" w:rsidP="0023274A">
            <w:pPr>
              <w:widowControl w:val="0"/>
              <w:autoSpaceDE w:val="0"/>
              <w:autoSpaceDN w:val="0"/>
              <w:adjustRightInd w:val="0"/>
              <w:spacing w:line="240" w:lineRule="auto"/>
              <w:rPr>
                <w:sz w:val="28"/>
                <w:szCs w:val="24"/>
              </w:rPr>
            </w:pPr>
          </w:p>
          <w:p w:rsidR="0023274A" w:rsidRPr="0023274A" w:rsidRDefault="0023274A" w:rsidP="0023274A">
            <w:pPr>
              <w:widowControl w:val="0"/>
              <w:autoSpaceDE w:val="0"/>
              <w:autoSpaceDN w:val="0"/>
              <w:adjustRightInd w:val="0"/>
              <w:spacing w:line="240" w:lineRule="auto"/>
              <w:rPr>
                <w:sz w:val="28"/>
                <w:szCs w:val="24"/>
              </w:rPr>
            </w:pPr>
            <w:r w:rsidRPr="0023274A">
              <w:rPr>
                <w:sz w:val="28"/>
                <w:szCs w:val="24"/>
              </w:rPr>
              <w:t xml:space="preserve">Comment </w:t>
            </w:r>
            <w:r w:rsidR="009E12B5">
              <w:rPr>
                <w:sz w:val="28"/>
                <w:szCs w:val="24"/>
              </w:rPr>
              <w:t xml:space="preserve">of </w:t>
            </w:r>
            <w:r w:rsidRPr="0023274A">
              <w:rPr>
                <w:sz w:val="28"/>
                <w:szCs w:val="24"/>
              </w:rPr>
              <w:t xml:space="preserve">the Attorney Regulation Advisory Committee in Support of Proposed Rule Change </w:t>
            </w:r>
            <w:r w:rsidR="009E12B5">
              <w:rPr>
                <w:sz w:val="28"/>
                <w:szCs w:val="24"/>
              </w:rPr>
              <w:t>with Modifications</w:t>
            </w:r>
          </w:p>
          <w:p w:rsidR="0023274A" w:rsidRPr="0023274A" w:rsidRDefault="0023274A" w:rsidP="0023274A">
            <w:pPr>
              <w:widowControl w:val="0"/>
              <w:spacing w:line="240" w:lineRule="exact"/>
              <w:ind w:left="1512" w:right="115" w:hanging="1253"/>
              <w:rPr>
                <w:bCs/>
                <w:sz w:val="28"/>
                <w:szCs w:val="28"/>
              </w:rPr>
            </w:pPr>
          </w:p>
        </w:tc>
      </w:tr>
      <w:bookmarkEnd w:id="2"/>
    </w:tbl>
    <w:p w:rsidR="005F0AE0" w:rsidRPr="005F0AE0" w:rsidRDefault="005F0AE0" w:rsidP="005F0AE0">
      <w:pPr>
        <w:widowControl w:val="0"/>
        <w:autoSpaceDE w:val="0"/>
        <w:autoSpaceDN w:val="0"/>
        <w:adjustRightInd w:val="0"/>
        <w:spacing w:line="240" w:lineRule="auto"/>
        <w:rPr>
          <w:sz w:val="24"/>
          <w:szCs w:val="24"/>
        </w:rPr>
      </w:pPr>
    </w:p>
    <w:p w:rsidR="005F0AE0" w:rsidRPr="005F0AE0" w:rsidRDefault="005F0AE0" w:rsidP="005F0AE0">
      <w:pPr>
        <w:widowControl w:val="0"/>
        <w:tabs>
          <w:tab w:val="center" w:pos="4680"/>
        </w:tabs>
        <w:autoSpaceDE w:val="0"/>
        <w:autoSpaceDN w:val="0"/>
        <w:adjustRightInd w:val="0"/>
        <w:spacing w:line="480" w:lineRule="auto"/>
        <w:ind w:firstLine="720"/>
        <w:jc w:val="both"/>
        <w:rPr>
          <w:sz w:val="28"/>
          <w:szCs w:val="28"/>
        </w:rPr>
      </w:pPr>
      <w:r w:rsidRPr="005F0AE0">
        <w:rPr>
          <w:sz w:val="28"/>
          <w:szCs w:val="28"/>
        </w:rPr>
        <w:t xml:space="preserve">Pursuant to Rule 28(e), Rules of the Arizona Supreme Court, Justice Ann A. Scott Timmer, Chair of the Attorney Regulation Advisory Committee, respectfully urges this Court to adopt the proposed amendment to Rules 34(b)(1)(D), Rules of the Arizona Supreme Court, and consider expanding the scope of the proposed amendment. </w:t>
      </w:r>
    </w:p>
    <w:p w:rsidR="005F0AE0" w:rsidRPr="005F0AE0" w:rsidRDefault="005F0AE0" w:rsidP="005F0AE0">
      <w:pPr>
        <w:widowControl w:val="0"/>
        <w:tabs>
          <w:tab w:val="center" w:pos="4680"/>
        </w:tabs>
        <w:autoSpaceDE w:val="0"/>
        <w:autoSpaceDN w:val="0"/>
        <w:adjustRightInd w:val="0"/>
        <w:spacing w:line="480" w:lineRule="auto"/>
        <w:ind w:firstLine="720"/>
        <w:jc w:val="both"/>
        <w:rPr>
          <w:sz w:val="28"/>
          <w:szCs w:val="28"/>
        </w:rPr>
      </w:pPr>
      <w:r w:rsidRPr="005F0AE0">
        <w:rPr>
          <w:sz w:val="28"/>
          <w:szCs w:val="28"/>
        </w:rPr>
        <w:t>Pursuant to Administrative Order No. 2011-44, the Attorney Regulation Advisory Committee (ARC) was created to assist the Supreme Court and the Chief Justice on issues related to attorney regulation, including proposing or supporting recommendations for any changes needed “to reinforce lawyer competency and professionalism and strengthen the Supreme Court’s oversight of the regulation and practice of law in this state.”</w:t>
      </w:r>
    </w:p>
    <w:p w:rsidR="005F0AE0" w:rsidRPr="005F0AE0" w:rsidRDefault="005F0AE0" w:rsidP="005F0AE0">
      <w:pPr>
        <w:widowControl w:val="0"/>
        <w:tabs>
          <w:tab w:val="center" w:pos="4680"/>
        </w:tabs>
        <w:autoSpaceDE w:val="0"/>
        <w:autoSpaceDN w:val="0"/>
        <w:adjustRightInd w:val="0"/>
        <w:spacing w:line="480" w:lineRule="auto"/>
        <w:jc w:val="center"/>
        <w:rPr>
          <w:sz w:val="28"/>
          <w:szCs w:val="28"/>
        </w:rPr>
      </w:pPr>
      <w:r w:rsidRPr="005F0AE0">
        <w:rPr>
          <w:b/>
          <w:sz w:val="28"/>
          <w:szCs w:val="28"/>
        </w:rPr>
        <w:lastRenderedPageBreak/>
        <w:t>The Current Petition and Proposed Amendment</w:t>
      </w:r>
    </w:p>
    <w:p w:rsidR="005F0AE0" w:rsidRPr="005F0AE0" w:rsidRDefault="005F0AE0" w:rsidP="005F0AE0">
      <w:pPr>
        <w:widowControl w:val="0"/>
        <w:tabs>
          <w:tab w:val="center" w:pos="4680"/>
        </w:tabs>
        <w:autoSpaceDE w:val="0"/>
        <w:autoSpaceDN w:val="0"/>
        <w:adjustRightInd w:val="0"/>
        <w:spacing w:line="480" w:lineRule="auto"/>
        <w:ind w:firstLine="720"/>
        <w:jc w:val="both"/>
        <w:rPr>
          <w:sz w:val="28"/>
          <w:szCs w:val="28"/>
        </w:rPr>
      </w:pPr>
      <w:r w:rsidRPr="005F0AE0">
        <w:rPr>
          <w:sz w:val="28"/>
          <w:szCs w:val="28"/>
        </w:rPr>
        <w:t xml:space="preserve">Current Rule 38(f) allows an attorney licensed by and having practiced in another jurisdiction to provide civil legal aid services in Arizona under the auspices of an approved legal service organization.  </w:t>
      </w:r>
      <w:proofErr w:type="gramStart"/>
      <w:r w:rsidRPr="005F0AE0">
        <w:rPr>
          <w:sz w:val="28"/>
          <w:szCs w:val="28"/>
        </w:rPr>
        <w:t>As long as</w:t>
      </w:r>
      <w:proofErr w:type="gramEnd"/>
      <w:r w:rsidRPr="005F0AE0">
        <w:rPr>
          <w:sz w:val="28"/>
          <w:szCs w:val="28"/>
        </w:rPr>
        <w:t xml:space="preserve"> that lawyer’s practice is limited to providing indigent legal services, he or she does not need to first pass Arizona’s uniform bar examination and/or otherwise obtain an Arizona license.</w:t>
      </w:r>
    </w:p>
    <w:p w:rsidR="005F0AE0" w:rsidRPr="005F0AE0" w:rsidRDefault="005F0AE0" w:rsidP="005F0AE0">
      <w:pPr>
        <w:widowControl w:val="0"/>
        <w:tabs>
          <w:tab w:val="center" w:pos="4680"/>
        </w:tabs>
        <w:autoSpaceDE w:val="0"/>
        <w:autoSpaceDN w:val="0"/>
        <w:adjustRightInd w:val="0"/>
        <w:spacing w:line="480" w:lineRule="auto"/>
        <w:ind w:firstLine="720"/>
        <w:jc w:val="both"/>
        <w:rPr>
          <w:sz w:val="28"/>
          <w:szCs w:val="28"/>
        </w:rPr>
      </w:pPr>
      <w:r w:rsidRPr="005F0AE0">
        <w:rPr>
          <w:sz w:val="28"/>
          <w:szCs w:val="28"/>
        </w:rPr>
        <w:t>The pending petition asks: What if that lawyer, after a period of years practicing in Arizona, wants to sit for the Arizona bar examination and obtain an Arizona license?</w:t>
      </w:r>
    </w:p>
    <w:p w:rsidR="005F0AE0" w:rsidRPr="005F0AE0" w:rsidRDefault="005F0AE0" w:rsidP="005F0AE0">
      <w:pPr>
        <w:widowControl w:val="0"/>
        <w:tabs>
          <w:tab w:val="center" w:pos="4680"/>
        </w:tabs>
        <w:autoSpaceDE w:val="0"/>
        <w:autoSpaceDN w:val="0"/>
        <w:adjustRightInd w:val="0"/>
        <w:spacing w:line="480" w:lineRule="auto"/>
        <w:ind w:firstLine="720"/>
        <w:jc w:val="both"/>
        <w:rPr>
          <w:sz w:val="28"/>
          <w:szCs w:val="28"/>
        </w:rPr>
      </w:pPr>
      <w:r w:rsidRPr="005F0AE0">
        <w:rPr>
          <w:sz w:val="28"/>
          <w:szCs w:val="28"/>
        </w:rPr>
        <w:t>Current Rule 34(b)(1)(D) might preclude that lawyer from taking the exam.  Why? Because current Rule 34(b)(1)(D) requires an applicant have either (1) a juris doctor degree issued by a school fully or provisionally accredited by the American Bar Association; or (2) a juris doctor degree and, in addition, have been engaged in the practice of law for at least three out of the last five years in a state other than Arizona.  Under the current rule, a Rule 38(f) attorney cannot count his/her legal experience in Arizona toward the practice requirement in Rule 34(b)(1)(D).</w:t>
      </w:r>
    </w:p>
    <w:p w:rsidR="005F0AE0" w:rsidRPr="005F0AE0" w:rsidRDefault="005F0AE0" w:rsidP="005F0AE0">
      <w:pPr>
        <w:widowControl w:val="0"/>
        <w:tabs>
          <w:tab w:val="center" w:pos="4680"/>
        </w:tabs>
        <w:autoSpaceDE w:val="0"/>
        <w:autoSpaceDN w:val="0"/>
        <w:adjustRightInd w:val="0"/>
        <w:spacing w:line="480" w:lineRule="auto"/>
        <w:ind w:firstLine="720"/>
        <w:jc w:val="both"/>
        <w:rPr>
          <w:sz w:val="28"/>
          <w:szCs w:val="28"/>
        </w:rPr>
      </w:pPr>
      <w:r w:rsidRPr="005F0AE0">
        <w:rPr>
          <w:sz w:val="28"/>
          <w:szCs w:val="28"/>
        </w:rPr>
        <w:t>Whether an applicant graduates from an accredited law school may well be a legitimate concern as to qualification to sit for a bar examination, particularly if the applicant is a new graduate.  This Court has already determined that any concern about the origin of the juris doctor degree lessens – as reflected in current Rule 34(b)(1)(D) -- once the applicant has not only taken and passed a bar examination in a sister state but has also successfully practiced law in that jurisdiction for at least three out of the last five years before applying to sit for the Arizona exam.</w:t>
      </w:r>
    </w:p>
    <w:p w:rsidR="005F0AE0" w:rsidRPr="005F0AE0" w:rsidRDefault="005F0AE0" w:rsidP="005F0AE0">
      <w:pPr>
        <w:widowControl w:val="0"/>
        <w:tabs>
          <w:tab w:val="center" w:pos="4680"/>
        </w:tabs>
        <w:autoSpaceDE w:val="0"/>
        <w:autoSpaceDN w:val="0"/>
        <w:adjustRightInd w:val="0"/>
        <w:spacing w:line="480" w:lineRule="auto"/>
        <w:ind w:firstLine="720"/>
        <w:jc w:val="both"/>
        <w:rPr>
          <w:sz w:val="28"/>
          <w:szCs w:val="28"/>
        </w:rPr>
      </w:pPr>
      <w:r w:rsidRPr="005F0AE0">
        <w:rPr>
          <w:sz w:val="28"/>
          <w:szCs w:val="28"/>
        </w:rPr>
        <w:t xml:space="preserve">The petition before the Court proposes only that a similarly situated attorney, possessing a juris doctor degree and being licensed in another state, be allowed to count his or her Rule 38(f) civil legal aid service years </w:t>
      </w:r>
      <w:r w:rsidRPr="005F0AE0">
        <w:rPr>
          <w:sz w:val="28"/>
          <w:szCs w:val="28"/>
          <w:u w:val="single"/>
        </w:rPr>
        <w:t>in Arizona</w:t>
      </w:r>
      <w:r w:rsidRPr="005F0AE0">
        <w:rPr>
          <w:sz w:val="28"/>
          <w:szCs w:val="28"/>
        </w:rPr>
        <w:t xml:space="preserve"> toward the three-out-of-the-last five years’ requirement in Rule 34(b)(1)(D).   </w:t>
      </w:r>
    </w:p>
    <w:p w:rsidR="005F0AE0" w:rsidRPr="005F0AE0" w:rsidRDefault="005F0AE0" w:rsidP="005F0AE0">
      <w:pPr>
        <w:widowControl w:val="0"/>
        <w:tabs>
          <w:tab w:val="center" w:pos="4680"/>
        </w:tabs>
        <w:autoSpaceDE w:val="0"/>
        <w:autoSpaceDN w:val="0"/>
        <w:adjustRightInd w:val="0"/>
        <w:spacing w:line="480" w:lineRule="auto"/>
        <w:ind w:firstLine="720"/>
        <w:jc w:val="both"/>
        <w:rPr>
          <w:sz w:val="28"/>
          <w:szCs w:val="28"/>
        </w:rPr>
      </w:pPr>
      <w:r w:rsidRPr="005F0AE0">
        <w:rPr>
          <w:sz w:val="28"/>
          <w:szCs w:val="28"/>
        </w:rPr>
        <w:t>The Attorney Regulation Advisory Committee supports this rule change.  The Committee sees no reason to value an applicant’s legal experience providing civil legal aid services to the indigent population in Arizona differently than the legal experience that same attorney may have obtained providing legal services to a non-profit organization, for a government office or in the private sector in another state.  As importantly, there are traditional safeguards that remain in place to protect the public.  First, the applicant must complete a detailed application and submit an extensive character and fitness report.  That report, along with information available from the other state’s licensing body, will disclose and prompt further investigation into any prior discipline or practice competency issues.  Second, the applicant must successfully pass the Arizona Bar Examination, and complete the Arizona-specific practice course.</w:t>
      </w:r>
    </w:p>
    <w:p w:rsidR="005F0AE0" w:rsidRPr="005F0AE0" w:rsidRDefault="005F0AE0" w:rsidP="005F0AE0">
      <w:pPr>
        <w:widowControl w:val="0"/>
        <w:tabs>
          <w:tab w:val="center" w:pos="4680"/>
        </w:tabs>
        <w:autoSpaceDE w:val="0"/>
        <w:autoSpaceDN w:val="0"/>
        <w:adjustRightInd w:val="0"/>
        <w:spacing w:line="480" w:lineRule="auto"/>
        <w:ind w:firstLine="720"/>
        <w:jc w:val="center"/>
        <w:rPr>
          <w:b/>
          <w:sz w:val="28"/>
          <w:szCs w:val="28"/>
        </w:rPr>
      </w:pPr>
    </w:p>
    <w:p w:rsidR="005F0AE0" w:rsidRPr="005F0AE0" w:rsidRDefault="005F0AE0" w:rsidP="005F0AE0">
      <w:pPr>
        <w:widowControl w:val="0"/>
        <w:tabs>
          <w:tab w:val="center" w:pos="4680"/>
        </w:tabs>
        <w:autoSpaceDE w:val="0"/>
        <w:autoSpaceDN w:val="0"/>
        <w:adjustRightInd w:val="0"/>
        <w:spacing w:line="480" w:lineRule="auto"/>
        <w:jc w:val="center"/>
        <w:rPr>
          <w:b/>
          <w:sz w:val="28"/>
          <w:szCs w:val="28"/>
        </w:rPr>
      </w:pPr>
      <w:r w:rsidRPr="005F0AE0">
        <w:rPr>
          <w:b/>
          <w:sz w:val="28"/>
          <w:szCs w:val="28"/>
        </w:rPr>
        <w:t>An Alternative Proposal</w:t>
      </w:r>
    </w:p>
    <w:p w:rsidR="005F0AE0" w:rsidRPr="005F0AE0" w:rsidRDefault="005F0AE0" w:rsidP="0087621F">
      <w:pPr>
        <w:widowControl w:val="0"/>
        <w:tabs>
          <w:tab w:val="center" w:pos="4680"/>
        </w:tabs>
        <w:autoSpaceDE w:val="0"/>
        <w:autoSpaceDN w:val="0"/>
        <w:adjustRightInd w:val="0"/>
        <w:spacing w:line="480" w:lineRule="auto"/>
        <w:ind w:firstLine="720"/>
        <w:jc w:val="both"/>
        <w:rPr>
          <w:sz w:val="28"/>
          <w:szCs w:val="28"/>
        </w:rPr>
      </w:pPr>
      <w:r w:rsidRPr="005F0AE0">
        <w:rPr>
          <w:sz w:val="28"/>
          <w:szCs w:val="28"/>
        </w:rPr>
        <w:t>There are a number of other lawyers not licensed in Arizona but who are authorized and actively practicing law in Arizona under a variety of exceptions existing under current Rule 38.</w:t>
      </w:r>
      <w:r w:rsidRPr="005F0AE0">
        <w:rPr>
          <w:sz w:val="28"/>
          <w:szCs w:val="28"/>
          <w:vertAlign w:val="superscript"/>
        </w:rPr>
        <w:footnoteReference w:id="1"/>
      </w:r>
      <w:r w:rsidRPr="005F0AE0">
        <w:rPr>
          <w:sz w:val="28"/>
          <w:szCs w:val="28"/>
        </w:rPr>
        <w:t xml:space="preserve">  Like the provision in Rule 38(f) discussed above, the connecting thread among these exceptions is that the applicant has graduated with a juris doctor degree, and has been admitted in another state, territory or the District of Columbia.    The Court could consider adopting language already utilized in Rule 34(f)(1)(C), the “Admission on Motion” rule, to allow any non-Arizona licensed lawyer authorized to practice in this state to apply to take the Arizona bar examination.  The proposed language for Rule 34(b)(1)(D) could read:</w:t>
      </w:r>
    </w:p>
    <w:p w:rsidR="005F0AE0" w:rsidRPr="005F0AE0" w:rsidRDefault="005F0AE0" w:rsidP="0087621F">
      <w:pPr>
        <w:spacing w:after="160" w:line="240" w:lineRule="auto"/>
        <w:ind w:left="720" w:right="720" w:firstLine="86"/>
        <w:contextualSpacing/>
        <w:jc w:val="both"/>
        <w:rPr>
          <w:rFonts w:eastAsia="Calibri"/>
          <w:sz w:val="28"/>
          <w:szCs w:val="28"/>
        </w:rPr>
      </w:pPr>
      <w:bookmarkStart w:id="3" w:name="_GoBack"/>
      <w:bookmarkEnd w:id="3"/>
      <w:r w:rsidRPr="005F0AE0">
        <w:rPr>
          <w:rFonts w:eastAsia="Calibri"/>
          <w:sz w:val="28"/>
          <w:szCs w:val="28"/>
        </w:rPr>
        <w:t xml:space="preserve"> </w:t>
      </w:r>
      <w:r w:rsidRPr="005F0AE0">
        <w:rPr>
          <w:rFonts w:eastAsia="Calibri"/>
          <w:sz w:val="28"/>
          <w:szCs w:val="28"/>
          <w:lang w:val="en"/>
        </w:rPr>
        <w:t xml:space="preserve">D. the applicant is a graduate with a juris doctor from a law school provisionally or fully approved by the American Bar Association at the time of graduation or the applicant is a graduate with a juris doctor and has been actively engaged in the </w:t>
      </w:r>
      <w:r w:rsidRPr="005F0AE0">
        <w:rPr>
          <w:rFonts w:eastAsia="Calibri"/>
          <w:sz w:val="28"/>
          <w:szCs w:val="28"/>
          <w:u w:val="single"/>
          <w:lang w:val="en"/>
        </w:rPr>
        <w:t>authorized</w:t>
      </w:r>
      <w:r w:rsidRPr="005F0AE0">
        <w:rPr>
          <w:rFonts w:eastAsia="Calibri"/>
          <w:sz w:val="28"/>
          <w:szCs w:val="28"/>
          <w:lang w:val="en"/>
        </w:rPr>
        <w:t xml:space="preserve"> practice of law in </w:t>
      </w:r>
      <w:r w:rsidRPr="005F0AE0">
        <w:rPr>
          <w:rFonts w:eastAsia="Calibri"/>
          <w:strike/>
          <w:sz w:val="28"/>
          <w:szCs w:val="28"/>
          <w:lang w:val="en"/>
        </w:rPr>
        <w:t>some other state or states</w:t>
      </w:r>
      <w:r w:rsidRPr="005F0AE0">
        <w:rPr>
          <w:rFonts w:eastAsia="Calibri"/>
          <w:sz w:val="28"/>
          <w:szCs w:val="28"/>
          <w:lang w:val="en"/>
        </w:rPr>
        <w:t xml:space="preserve"> </w:t>
      </w:r>
      <w:r w:rsidRPr="005F0AE0">
        <w:rPr>
          <w:rFonts w:eastAsia="Calibri"/>
          <w:sz w:val="28"/>
          <w:szCs w:val="28"/>
          <w:u w:val="single"/>
        </w:rPr>
        <w:t>one or more states, territories, or the District of Columbia</w:t>
      </w:r>
      <w:r w:rsidRPr="005F0AE0">
        <w:rPr>
          <w:rFonts w:eastAsia="Calibri"/>
          <w:sz w:val="28"/>
          <w:szCs w:val="28"/>
          <w:u w:val="single"/>
          <w:lang w:val="en"/>
        </w:rPr>
        <w:t xml:space="preserve"> </w:t>
      </w:r>
      <w:r w:rsidRPr="005F0AE0">
        <w:rPr>
          <w:rFonts w:eastAsia="Calibri"/>
          <w:sz w:val="28"/>
          <w:szCs w:val="28"/>
          <w:lang w:val="en"/>
        </w:rPr>
        <w:t>for at least three of the last five years prior to filing an application for admission to practice in Arizona; and …</w:t>
      </w:r>
    </w:p>
    <w:p w:rsidR="005F0AE0" w:rsidRPr="005F0AE0" w:rsidRDefault="005F0AE0" w:rsidP="005F0AE0">
      <w:pPr>
        <w:spacing w:after="160" w:line="252" w:lineRule="auto"/>
        <w:ind w:firstLine="90"/>
        <w:contextualSpacing/>
        <w:rPr>
          <w:rFonts w:eastAsia="Calibri"/>
          <w:sz w:val="28"/>
          <w:szCs w:val="28"/>
        </w:rPr>
      </w:pPr>
    </w:p>
    <w:p w:rsidR="005F0AE0" w:rsidRPr="005F0AE0" w:rsidRDefault="005F0AE0" w:rsidP="005F0AE0">
      <w:pPr>
        <w:widowControl w:val="0"/>
        <w:tabs>
          <w:tab w:val="center" w:pos="4680"/>
        </w:tabs>
        <w:autoSpaceDE w:val="0"/>
        <w:autoSpaceDN w:val="0"/>
        <w:adjustRightInd w:val="0"/>
        <w:spacing w:line="480" w:lineRule="auto"/>
        <w:ind w:firstLine="720"/>
        <w:jc w:val="both"/>
        <w:rPr>
          <w:sz w:val="28"/>
          <w:szCs w:val="28"/>
        </w:rPr>
      </w:pPr>
      <w:r w:rsidRPr="005F0AE0">
        <w:rPr>
          <w:sz w:val="28"/>
          <w:szCs w:val="28"/>
        </w:rPr>
        <w:t xml:space="preserve">All of the safeguards to vet potential problems identified concerning Rule 38(f)-qualified applicants above would apply equally to other non-Arizona licensed Rule 38-authorized </w:t>
      </w:r>
      <w:proofErr w:type="gramStart"/>
      <w:r w:rsidRPr="005F0AE0">
        <w:rPr>
          <w:sz w:val="28"/>
          <w:szCs w:val="28"/>
        </w:rPr>
        <w:t>practitioners, and</w:t>
      </w:r>
      <w:proofErr w:type="gramEnd"/>
      <w:r w:rsidRPr="005F0AE0">
        <w:rPr>
          <w:sz w:val="28"/>
          <w:szCs w:val="28"/>
        </w:rPr>
        <w:t xml:space="preserve"> would insure adequate protection for the public.</w:t>
      </w:r>
    </w:p>
    <w:p w:rsidR="005F0AE0" w:rsidRPr="005F0AE0" w:rsidRDefault="005F0AE0" w:rsidP="005F0AE0">
      <w:pPr>
        <w:widowControl w:val="0"/>
        <w:tabs>
          <w:tab w:val="center" w:pos="4680"/>
        </w:tabs>
        <w:autoSpaceDE w:val="0"/>
        <w:autoSpaceDN w:val="0"/>
        <w:adjustRightInd w:val="0"/>
        <w:spacing w:line="480" w:lineRule="auto"/>
        <w:ind w:firstLine="720"/>
        <w:jc w:val="both"/>
        <w:rPr>
          <w:sz w:val="28"/>
          <w:szCs w:val="28"/>
        </w:rPr>
      </w:pPr>
      <w:r w:rsidRPr="005F0AE0">
        <w:rPr>
          <w:sz w:val="28"/>
          <w:szCs w:val="28"/>
        </w:rPr>
        <w:t>Based on the forgoing, the Committee respectfully urges the Arizona Supreme Court to favorably consider the pending petition and either adopt the change to  Rule 34(b)(1)(D) proposed by the petitioner or, in the alternative, adopt the language proposed by ARC to allow other non-Arizona licensed lawyers authorized to practice under the provisions of Rule 38 to apply to take the Arizona bar examination.</w:t>
      </w:r>
    </w:p>
    <w:p w:rsidR="005F0AE0" w:rsidRPr="005F0AE0" w:rsidRDefault="005F0AE0" w:rsidP="005F0AE0">
      <w:pPr>
        <w:widowControl w:val="0"/>
        <w:tabs>
          <w:tab w:val="left" w:pos="720"/>
        </w:tabs>
        <w:spacing w:line="480" w:lineRule="exact"/>
        <w:rPr>
          <w:sz w:val="28"/>
          <w:szCs w:val="28"/>
        </w:rPr>
      </w:pPr>
      <w:r w:rsidRPr="005F0AE0">
        <w:rPr>
          <w:sz w:val="28"/>
          <w:szCs w:val="28"/>
        </w:rPr>
        <w:tab/>
        <w:t xml:space="preserve">RESPECTFULLY SUBMITTED this </w:t>
      </w:r>
      <w:r w:rsidRPr="005F0AE0">
        <w:rPr>
          <w:b/>
          <w:sz w:val="28"/>
          <w:szCs w:val="28"/>
        </w:rPr>
        <w:t>_</w:t>
      </w:r>
      <w:r w:rsidRPr="005F0AE0">
        <w:rPr>
          <w:b/>
          <w:sz w:val="28"/>
          <w:szCs w:val="28"/>
        </w:rPr>
        <w:softHyphen/>
      </w:r>
      <w:r w:rsidRPr="005F0AE0">
        <w:rPr>
          <w:b/>
          <w:sz w:val="28"/>
          <w:szCs w:val="28"/>
        </w:rPr>
        <w:softHyphen/>
        <w:t xml:space="preserve">___ </w:t>
      </w:r>
      <w:r w:rsidRPr="005F0AE0">
        <w:rPr>
          <w:sz w:val="28"/>
          <w:szCs w:val="28"/>
        </w:rPr>
        <w:t xml:space="preserve">day of </w:t>
      </w:r>
      <w:proofErr w:type="gramStart"/>
      <w:r w:rsidRPr="005F0AE0">
        <w:rPr>
          <w:sz w:val="28"/>
          <w:szCs w:val="28"/>
        </w:rPr>
        <w:t>April,</w:t>
      </w:r>
      <w:proofErr w:type="gramEnd"/>
      <w:r w:rsidRPr="005F0AE0">
        <w:rPr>
          <w:sz w:val="28"/>
          <w:szCs w:val="28"/>
        </w:rPr>
        <w:t xml:space="preserve"> 2019.</w:t>
      </w:r>
    </w:p>
    <w:p w:rsidR="005F0AE0" w:rsidRPr="005F0AE0" w:rsidRDefault="005F0AE0" w:rsidP="005F0AE0">
      <w:pPr>
        <w:widowControl w:val="0"/>
        <w:tabs>
          <w:tab w:val="left" w:pos="720"/>
        </w:tabs>
        <w:spacing w:line="480" w:lineRule="exact"/>
        <w:rPr>
          <w:sz w:val="28"/>
          <w:szCs w:val="28"/>
        </w:rPr>
      </w:pPr>
    </w:p>
    <w:p w:rsidR="005F0AE0" w:rsidRPr="005F0AE0" w:rsidRDefault="005F0AE0" w:rsidP="005F0AE0">
      <w:pPr>
        <w:widowControl w:val="0"/>
        <w:tabs>
          <w:tab w:val="left" w:pos="720"/>
        </w:tabs>
        <w:spacing w:line="480" w:lineRule="exact"/>
        <w:rPr>
          <w:sz w:val="28"/>
          <w:szCs w:val="28"/>
        </w:rPr>
      </w:pPr>
    </w:p>
    <w:p w:rsidR="005F0AE0" w:rsidRPr="005F0AE0" w:rsidRDefault="005F0AE0" w:rsidP="005F0AE0">
      <w:pPr>
        <w:widowControl w:val="0"/>
        <w:spacing w:line="240" w:lineRule="auto"/>
        <w:ind w:left="4320" w:right="-227"/>
        <w:rPr>
          <w:sz w:val="28"/>
          <w:szCs w:val="28"/>
        </w:rPr>
      </w:pPr>
      <w:r w:rsidRPr="005F0AE0">
        <w:rPr>
          <w:sz w:val="28"/>
          <w:szCs w:val="28"/>
        </w:rPr>
        <w:t>_________________________________</w:t>
      </w:r>
    </w:p>
    <w:p w:rsidR="005F0AE0" w:rsidRPr="005F0AE0" w:rsidRDefault="005F0AE0" w:rsidP="005F0AE0">
      <w:pPr>
        <w:widowControl w:val="0"/>
        <w:spacing w:line="240" w:lineRule="auto"/>
        <w:ind w:left="4320" w:right="-227"/>
        <w:rPr>
          <w:sz w:val="28"/>
          <w:szCs w:val="28"/>
        </w:rPr>
      </w:pPr>
      <w:r w:rsidRPr="005F0AE0">
        <w:rPr>
          <w:sz w:val="28"/>
          <w:szCs w:val="28"/>
        </w:rPr>
        <w:t>Hon. Ann A. Scott Timmer, Chair</w:t>
      </w:r>
    </w:p>
    <w:p w:rsidR="005F0AE0" w:rsidRPr="005F0AE0" w:rsidRDefault="005F0AE0" w:rsidP="005F0AE0">
      <w:pPr>
        <w:widowControl w:val="0"/>
        <w:spacing w:line="240" w:lineRule="auto"/>
        <w:ind w:left="4320" w:right="144"/>
        <w:rPr>
          <w:sz w:val="28"/>
          <w:szCs w:val="28"/>
        </w:rPr>
      </w:pPr>
      <w:r w:rsidRPr="005F0AE0">
        <w:rPr>
          <w:sz w:val="28"/>
          <w:szCs w:val="28"/>
        </w:rPr>
        <w:t>Attorney Regulation Advisory Committee</w:t>
      </w:r>
    </w:p>
    <w:bookmarkEnd w:id="1"/>
    <w:p w:rsidR="00A24BE8" w:rsidRPr="005F0AE0" w:rsidRDefault="00A24BE8" w:rsidP="005F0AE0"/>
    <w:sectPr w:rsidR="00A24BE8" w:rsidRPr="005F0AE0" w:rsidSect="006F238B">
      <w:footerReference w:type="even" r:id="rId8"/>
      <w:footerReference w:type="default" r:id="rId9"/>
      <w:pgSz w:w="12240" w:h="15840" w:code="1"/>
      <w:pgMar w:top="144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0B49" w:rsidRDefault="00610B49">
      <w:r>
        <w:separator/>
      </w:r>
    </w:p>
  </w:endnote>
  <w:endnote w:type="continuationSeparator" w:id="0">
    <w:p w:rsidR="00610B49" w:rsidRDefault="0061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74294A">
          <w:rPr>
            <w:noProof/>
            <w:sz w:val="26"/>
            <w:szCs w:val="26"/>
          </w:rPr>
          <w:t>5</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0B49" w:rsidRDefault="00610B49">
      <w:r>
        <w:separator/>
      </w:r>
    </w:p>
  </w:footnote>
  <w:footnote w:type="continuationSeparator" w:id="0">
    <w:p w:rsidR="00610B49" w:rsidRDefault="00610B49">
      <w:r>
        <w:continuationSeparator/>
      </w:r>
    </w:p>
  </w:footnote>
  <w:footnote w:id="1">
    <w:p w:rsidR="005F0AE0" w:rsidRDefault="005F0AE0" w:rsidP="005F0AE0">
      <w:pPr>
        <w:pStyle w:val="FootnoteText"/>
      </w:pPr>
      <w:r>
        <w:rPr>
          <w:rStyle w:val="FootnoteReference"/>
        </w:rPr>
        <w:footnoteRef/>
      </w:r>
      <w:r>
        <w:t xml:space="preserve"> </w:t>
      </w:r>
      <w:r>
        <w:tab/>
        <w:t>A pending rule change petition, R-19-0011 proposes reorganizing the exceptions authorized under Rule 38 and 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97908"/>
    <w:multiLevelType w:val="hybridMultilevel"/>
    <w:tmpl w:val="80AE18CA"/>
    <w:lvl w:ilvl="0" w:tplc="E5268FA0">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26E3B"/>
    <w:multiLevelType w:val="hybridMultilevel"/>
    <w:tmpl w:val="017C6F22"/>
    <w:lvl w:ilvl="0" w:tplc="31C24A0C">
      <w:start w:val="1"/>
      <w:numFmt w:val="upperLetter"/>
      <w:lvlText w:val="(%1)"/>
      <w:lvlJc w:val="left"/>
      <w:pPr>
        <w:ind w:left="2010" w:hanging="57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9B73DC"/>
    <w:multiLevelType w:val="hybridMultilevel"/>
    <w:tmpl w:val="2B9C88DC"/>
    <w:lvl w:ilvl="0" w:tplc="04090001">
      <w:start w:val="1"/>
      <w:numFmt w:val="bullet"/>
      <w:lvlText w:val=""/>
      <w:lvlJc w:val="left"/>
      <w:pPr>
        <w:ind w:left="2080" w:hanging="360"/>
      </w:pPr>
      <w:rPr>
        <w:rFonts w:ascii="Symbol" w:hAnsi="Symbol" w:hint="default"/>
      </w:rPr>
    </w:lvl>
    <w:lvl w:ilvl="1" w:tplc="04090003" w:tentative="1">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6"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B83C6B"/>
    <w:multiLevelType w:val="hybridMultilevel"/>
    <w:tmpl w:val="DFDA7040"/>
    <w:lvl w:ilvl="0" w:tplc="6A1404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D76E3E"/>
    <w:multiLevelType w:val="hybridMultilevel"/>
    <w:tmpl w:val="71F061B4"/>
    <w:lvl w:ilvl="0" w:tplc="04090001">
      <w:start w:val="1"/>
      <w:numFmt w:val="bullet"/>
      <w:lvlText w:val=""/>
      <w:lvlJc w:val="left"/>
      <w:pPr>
        <w:ind w:left="2080" w:hanging="360"/>
      </w:pPr>
      <w:rPr>
        <w:rFonts w:ascii="Symbol" w:hAnsi="Symbol" w:hint="default"/>
      </w:rPr>
    </w:lvl>
    <w:lvl w:ilvl="1" w:tplc="04090003">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11"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7"/>
  </w:num>
  <w:num w:numId="3">
    <w:abstractNumId w:val="1"/>
  </w:num>
  <w:num w:numId="4">
    <w:abstractNumId w:val="8"/>
  </w:num>
  <w:num w:numId="5">
    <w:abstractNumId w:val="11"/>
  </w:num>
  <w:num w:numId="6">
    <w:abstractNumId w:val="12"/>
  </w:num>
  <w:num w:numId="7">
    <w:abstractNumId w:val="2"/>
  </w:num>
  <w:num w:numId="8">
    <w:abstractNumId w:val="18"/>
  </w:num>
  <w:num w:numId="9">
    <w:abstractNumId w:val="13"/>
  </w:num>
  <w:num w:numId="10">
    <w:abstractNumId w:val="15"/>
  </w:num>
  <w:num w:numId="11">
    <w:abstractNumId w:val="14"/>
  </w:num>
  <w:num w:numId="12">
    <w:abstractNumId w:val="9"/>
  </w:num>
  <w:num w:numId="13">
    <w:abstractNumId w:val="4"/>
  </w:num>
  <w:num w:numId="14">
    <w:abstractNumId w:val="6"/>
  </w:num>
  <w:num w:numId="15">
    <w:abstractNumId w:val="10"/>
  </w:num>
  <w:num w:numId="16">
    <w:abstractNumId w:val="5"/>
  </w:num>
  <w:num w:numId="17">
    <w:abstractNumId w:val="0"/>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E11"/>
    <w:rsid w:val="00000C35"/>
    <w:rsid w:val="000410B3"/>
    <w:rsid w:val="00043D4D"/>
    <w:rsid w:val="00052372"/>
    <w:rsid w:val="000666D1"/>
    <w:rsid w:val="000917C0"/>
    <w:rsid w:val="00094582"/>
    <w:rsid w:val="000A0155"/>
    <w:rsid w:val="000A1D6B"/>
    <w:rsid w:val="000A75C6"/>
    <w:rsid w:val="000C48A9"/>
    <w:rsid w:val="000D44CD"/>
    <w:rsid w:val="000F7A7F"/>
    <w:rsid w:val="000F7C13"/>
    <w:rsid w:val="0010288B"/>
    <w:rsid w:val="001033D4"/>
    <w:rsid w:val="00135326"/>
    <w:rsid w:val="00173F7D"/>
    <w:rsid w:val="00190F92"/>
    <w:rsid w:val="001A2520"/>
    <w:rsid w:val="001A5854"/>
    <w:rsid w:val="001F591C"/>
    <w:rsid w:val="00216A99"/>
    <w:rsid w:val="0023274A"/>
    <w:rsid w:val="00232DFD"/>
    <w:rsid w:val="002545FB"/>
    <w:rsid w:val="002550E3"/>
    <w:rsid w:val="00274D6A"/>
    <w:rsid w:val="002B0CE6"/>
    <w:rsid w:val="002B1E48"/>
    <w:rsid w:val="002B1E73"/>
    <w:rsid w:val="002B3940"/>
    <w:rsid w:val="00321387"/>
    <w:rsid w:val="00343FB8"/>
    <w:rsid w:val="00352347"/>
    <w:rsid w:val="003566D6"/>
    <w:rsid w:val="00357F4D"/>
    <w:rsid w:val="003617D1"/>
    <w:rsid w:val="00377199"/>
    <w:rsid w:val="00380C44"/>
    <w:rsid w:val="003A28AC"/>
    <w:rsid w:val="003A4DA0"/>
    <w:rsid w:val="003B1CD4"/>
    <w:rsid w:val="003B35C2"/>
    <w:rsid w:val="0040497A"/>
    <w:rsid w:val="00407E2D"/>
    <w:rsid w:val="00426AD0"/>
    <w:rsid w:val="004331B2"/>
    <w:rsid w:val="00440489"/>
    <w:rsid w:val="00440E4C"/>
    <w:rsid w:val="00463734"/>
    <w:rsid w:val="00472095"/>
    <w:rsid w:val="00487632"/>
    <w:rsid w:val="00494BDF"/>
    <w:rsid w:val="004C3AE3"/>
    <w:rsid w:val="00504E1E"/>
    <w:rsid w:val="0050563A"/>
    <w:rsid w:val="00506859"/>
    <w:rsid w:val="00520F93"/>
    <w:rsid w:val="005316C2"/>
    <w:rsid w:val="00566856"/>
    <w:rsid w:val="005A21B0"/>
    <w:rsid w:val="005B1FED"/>
    <w:rsid w:val="005B3EC7"/>
    <w:rsid w:val="005B5161"/>
    <w:rsid w:val="005D6AD4"/>
    <w:rsid w:val="005F0AE0"/>
    <w:rsid w:val="005F1E49"/>
    <w:rsid w:val="00605876"/>
    <w:rsid w:val="00606BCE"/>
    <w:rsid w:val="00610B49"/>
    <w:rsid w:val="006338C1"/>
    <w:rsid w:val="00636F5E"/>
    <w:rsid w:val="0066306D"/>
    <w:rsid w:val="00665CCF"/>
    <w:rsid w:val="006666D1"/>
    <w:rsid w:val="006721EC"/>
    <w:rsid w:val="006766BF"/>
    <w:rsid w:val="006820CB"/>
    <w:rsid w:val="006932BA"/>
    <w:rsid w:val="006A6147"/>
    <w:rsid w:val="006B4F9A"/>
    <w:rsid w:val="006D3B64"/>
    <w:rsid w:val="006F238B"/>
    <w:rsid w:val="006F63FD"/>
    <w:rsid w:val="00710B2E"/>
    <w:rsid w:val="0071520A"/>
    <w:rsid w:val="00716F54"/>
    <w:rsid w:val="00732169"/>
    <w:rsid w:val="007329E2"/>
    <w:rsid w:val="00735659"/>
    <w:rsid w:val="007427C6"/>
    <w:rsid w:val="0074294A"/>
    <w:rsid w:val="00755277"/>
    <w:rsid w:val="007609A3"/>
    <w:rsid w:val="0077110E"/>
    <w:rsid w:val="00785481"/>
    <w:rsid w:val="007870CB"/>
    <w:rsid w:val="007A3F0F"/>
    <w:rsid w:val="007D5C49"/>
    <w:rsid w:val="007D73FF"/>
    <w:rsid w:val="007F76A7"/>
    <w:rsid w:val="008006ED"/>
    <w:rsid w:val="00822598"/>
    <w:rsid w:val="008360A1"/>
    <w:rsid w:val="00861563"/>
    <w:rsid w:val="00871AAA"/>
    <w:rsid w:val="0087621F"/>
    <w:rsid w:val="00876F57"/>
    <w:rsid w:val="00891AAA"/>
    <w:rsid w:val="008A6251"/>
    <w:rsid w:val="008C167C"/>
    <w:rsid w:val="008C6C60"/>
    <w:rsid w:val="008E220D"/>
    <w:rsid w:val="00915625"/>
    <w:rsid w:val="0092401D"/>
    <w:rsid w:val="00933EA1"/>
    <w:rsid w:val="00940960"/>
    <w:rsid w:val="00951416"/>
    <w:rsid w:val="00960D21"/>
    <w:rsid w:val="00977277"/>
    <w:rsid w:val="00981D29"/>
    <w:rsid w:val="00981E11"/>
    <w:rsid w:val="009C6843"/>
    <w:rsid w:val="009E12B5"/>
    <w:rsid w:val="00A1564B"/>
    <w:rsid w:val="00A24BE8"/>
    <w:rsid w:val="00A5194F"/>
    <w:rsid w:val="00A56E1E"/>
    <w:rsid w:val="00A8678A"/>
    <w:rsid w:val="00A871D6"/>
    <w:rsid w:val="00A915B8"/>
    <w:rsid w:val="00A93A7C"/>
    <w:rsid w:val="00AF282C"/>
    <w:rsid w:val="00AF3FF7"/>
    <w:rsid w:val="00B01CF2"/>
    <w:rsid w:val="00B03FCC"/>
    <w:rsid w:val="00B05183"/>
    <w:rsid w:val="00B1491D"/>
    <w:rsid w:val="00B30CE0"/>
    <w:rsid w:val="00B44D38"/>
    <w:rsid w:val="00B47B7D"/>
    <w:rsid w:val="00B7182E"/>
    <w:rsid w:val="00BC62CF"/>
    <w:rsid w:val="00BD5908"/>
    <w:rsid w:val="00C03E0F"/>
    <w:rsid w:val="00C3523D"/>
    <w:rsid w:val="00C36A1B"/>
    <w:rsid w:val="00C52E56"/>
    <w:rsid w:val="00C5407A"/>
    <w:rsid w:val="00C662B0"/>
    <w:rsid w:val="00C74669"/>
    <w:rsid w:val="00C84FD4"/>
    <w:rsid w:val="00C958EE"/>
    <w:rsid w:val="00CD21FB"/>
    <w:rsid w:val="00CD402A"/>
    <w:rsid w:val="00CE39A2"/>
    <w:rsid w:val="00D14CF1"/>
    <w:rsid w:val="00D423FE"/>
    <w:rsid w:val="00D43496"/>
    <w:rsid w:val="00D442E4"/>
    <w:rsid w:val="00D51893"/>
    <w:rsid w:val="00D80EDC"/>
    <w:rsid w:val="00DA3704"/>
    <w:rsid w:val="00DE0448"/>
    <w:rsid w:val="00DE4CB8"/>
    <w:rsid w:val="00DF4F15"/>
    <w:rsid w:val="00E047D3"/>
    <w:rsid w:val="00E266B7"/>
    <w:rsid w:val="00E321C5"/>
    <w:rsid w:val="00E5772B"/>
    <w:rsid w:val="00E67511"/>
    <w:rsid w:val="00E82D0F"/>
    <w:rsid w:val="00E939A8"/>
    <w:rsid w:val="00E950B5"/>
    <w:rsid w:val="00ED0E96"/>
    <w:rsid w:val="00F05879"/>
    <w:rsid w:val="00F06F5B"/>
    <w:rsid w:val="00F241DA"/>
    <w:rsid w:val="00F2485D"/>
    <w:rsid w:val="00F33926"/>
    <w:rsid w:val="00F511F8"/>
    <w:rsid w:val="00F5639D"/>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5143A2F9-F9E4-DC49-8255-6DA74B4AB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link w:val="Heading2Char"/>
    <w:semiHidden/>
    <w:unhideWhenUsed/>
    <w:qFormat/>
    <w:rsid w:val="00343FB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uiPriority w:val="99"/>
    <w:rsid w:val="005A21B0"/>
    <w:pPr>
      <w:spacing w:line="240" w:lineRule="auto"/>
    </w:pPr>
  </w:style>
  <w:style w:type="character" w:customStyle="1" w:styleId="FootnoteTextChar">
    <w:name w:val="Footnote Text Char"/>
    <w:basedOn w:val="DefaultParagraphFont"/>
    <w:link w:val="FootnoteText"/>
    <w:uiPriority w:val="99"/>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ListParagraph">
    <w:name w:val="List Paragraph"/>
    <w:basedOn w:val="Normal"/>
    <w:uiPriority w:val="34"/>
    <w:unhideWhenUsed/>
    <w:qFormat/>
    <w:rsid w:val="00472095"/>
    <w:pPr>
      <w:spacing w:before="240" w:line="240" w:lineRule="auto"/>
      <w:ind w:left="720"/>
      <w:contextualSpacing/>
    </w:pPr>
    <w:rPr>
      <w:rFonts w:asciiTheme="minorHAnsi" w:hAnsiTheme="minorHAnsi"/>
      <w:sz w:val="22"/>
      <w:szCs w:val="22"/>
    </w:rPr>
  </w:style>
  <w:style w:type="paragraph" w:styleId="NormalWeb">
    <w:name w:val="Normal (Web)"/>
    <w:basedOn w:val="Normal"/>
    <w:uiPriority w:val="99"/>
    <w:unhideWhenUsed/>
    <w:rsid w:val="000A0155"/>
    <w:pPr>
      <w:spacing w:before="100" w:beforeAutospacing="1" w:after="100" w:afterAutospacing="1" w:line="240" w:lineRule="auto"/>
    </w:pPr>
    <w:rPr>
      <w:rFonts w:eastAsiaTheme="minorEastAsia"/>
      <w:sz w:val="24"/>
      <w:szCs w:val="24"/>
    </w:rPr>
  </w:style>
  <w:style w:type="character" w:customStyle="1" w:styleId="apple-converted-space">
    <w:name w:val="apple-converted-space"/>
    <w:basedOn w:val="DefaultParagraphFont"/>
    <w:rsid w:val="007F76A7"/>
  </w:style>
  <w:style w:type="character" w:customStyle="1" w:styleId="Heading2Char">
    <w:name w:val="Heading 2 Char"/>
    <w:basedOn w:val="DefaultParagraphFont"/>
    <w:link w:val="Heading2"/>
    <w:semiHidden/>
    <w:rsid w:val="00343FB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262968">
      <w:bodyDiv w:val="1"/>
      <w:marLeft w:val="0"/>
      <w:marRight w:val="0"/>
      <w:marTop w:val="0"/>
      <w:marBottom w:val="0"/>
      <w:divBdr>
        <w:top w:val="none" w:sz="0" w:space="0" w:color="auto"/>
        <w:left w:val="none" w:sz="0" w:space="0" w:color="auto"/>
        <w:bottom w:val="none" w:sz="0" w:space="0" w:color="auto"/>
        <w:right w:val="none" w:sz="0" w:space="0" w:color="auto"/>
      </w:divBdr>
    </w:div>
    <w:div w:id="472912834">
      <w:bodyDiv w:val="1"/>
      <w:marLeft w:val="0"/>
      <w:marRight w:val="0"/>
      <w:marTop w:val="0"/>
      <w:marBottom w:val="0"/>
      <w:divBdr>
        <w:top w:val="none" w:sz="0" w:space="0" w:color="auto"/>
        <w:left w:val="none" w:sz="0" w:space="0" w:color="auto"/>
        <w:bottom w:val="none" w:sz="0" w:space="0" w:color="auto"/>
        <w:right w:val="none" w:sz="0" w:space="0" w:color="auto"/>
      </w:divBdr>
    </w:div>
    <w:div w:id="1053237602">
      <w:bodyDiv w:val="1"/>
      <w:marLeft w:val="0"/>
      <w:marRight w:val="0"/>
      <w:marTop w:val="0"/>
      <w:marBottom w:val="0"/>
      <w:divBdr>
        <w:top w:val="none" w:sz="0" w:space="0" w:color="auto"/>
        <w:left w:val="none" w:sz="0" w:space="0" w:color="auto"/>
        <w:bottom w:val="none" w:sz="0" w:space="0" w:color="auto"/>
        <w:right w:val="none" w:sz="0" w:space="0" w:color="auto"/>
      </w:divBdr>
      <w:divsChild>
        <w:div w:id="1810852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7322386">
              <w:marLeft w:val="0"/>
              <w:marRight w:val="0"/>
              <w:marTop w:val="0"/>
              <w:marBottom w:val="0"/>
              <w:divBdr>
                <w:top w:val="none" w:sz="0" w:space="0" w:color="auto"/>
                <w:left w:val="none" w:sz="0" w:space="0" w:color="auto"/>
                <w:bottom w:val="none" w:sz="0" w:space="0" w:color="auto"/>
                <w:right w:val="none" w:sz="0" w:space="0" w:color="auto"/>
              </w:divBdr>
              <w:divsChild>
                <w:div w:id="1916938730">
                  <w:marLeft w:val="0"/>
                  <w:marRight w:val="0"/>
                  <w:marTop w:val="0"/>
                  <w:marBottom w:val="0"/>
                  <w:divBdr>
                    <w:top w:val="none" w:sz="0" w:space="0" w:color="auto"/>
                    <w:left w:val="none" w:sz="0" w:space="0" w:color="auto"/>
                    <w:bottom w:val="none" w:sz="0" w:space="0" w:color="auto"/>
                    <w:right w:val="none" w:sz="0" w:space="0" w:color="auto"/>
                  </w:divBdr>
                </w:div>
                <w:div w:id="26643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070F9-EBB5-4815-909B-3EE5FA184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970</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Novak, Katherine</dc:creator>
  <cp:lastModifiedBy>Martinez, Michelle R</cp:lastModifiedBy>
  <cp:revision>8</cp:revision>
  <cp:lastPrinted>2019-04-30T16:42:00Z</cp:lastPrinted>
  <dcterms:created xsi:type="dcterms:W3CDTF">2019-04-15T17:50:00Z</dcterms:created>
  <dcterms:modified xsi:type="dcterms:W3CDTF">2019-04-30T16:50:00Z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9cc2b283-f0e4-4ac1-9f2d-3079a0f28293</vt:lpwstr>
  </property>
</Properties>
</file>