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B7" w:rsidRDefault="00D865E3" w:rsidP="006756B7">
      <w:pPr>
        <w:spacing w:line="240" w:lineRule="auto"/>
        <w:rPr>
          <w:sz w:val="28"/>
          <w:szCs w:val="28"/>
        </w:rPr>
      </w:pPr>
      <w:r>
        <w:rPr>
          <w:sz w:val="28"/>
          <w:szCs w:val="28"/>
        </w:rPr>
        <w:t xml:space="preserve">Mark </w:t>
      </w:r>
      <w:r w:rsidR="009970CC">
        <w:rPr>
          <w:sz w:val="28"/>
          <w:szCs w:val="28"/>
        </w:rPr>
        <w:t>D. Wilson, Director</w:t>
      </w:r>
    </w:p>
    <w:p w:rsidR="009970CC" w:rsidRDefault="009970CC" w:rsidP="006756B7">
      <w:pPr>
        <w:spacing w:line="240" w:lineRule="auto"/>
        <w:rPr>
          <w:sz w:val="28"/>
          <w:szCs w:val="28"/>
        </w:rPr>
      </w:pPr>
      <w:r>
        <w:rPr>
          <w:sz w:val="28"/>
          <w:szCs w:val="28"/>
        </w:rPr>
        <w:t>Certification and Licensing Division</w:t>
      </w:r>
    </w:p>
    <w:p w:rsidR="009970CC" w:rsidRPr="006756B7" w:rsidRDefault="009970CC" w:rsidP="006756B7">
      <w:pPr>
        <w:spacing w:line="240" w:lineRule="auto"/>
        <w:rPr>
          <w:sz w:val="28"/>
          <w:szCs w:val="28"/>
        </w:rPr>
      </w:pPr>
      <w:r>
        <w:rPr>
          <w:sz w:val="28"/>
          <w:szCs w:val="28"/>
        </w:rPr>
        <w:t>Administrative Office of the Courts</w:t>
      </w:r>
    </w:p>
    <w:p w:rsidR="005C3EC3" w:rsidRDefault="006756B7" w:rsidP="006756B7">
      <w:pPr>
        <w:spacing w:line="240" w:lineRule="auto"/>
        <w:rPr>
          <w:sz w:val="28"/>
          <w:szCs w:val="28"/>
        </w:rPr>
      </w:pPr>
      <w:r w:rsidRPr="006756B7">
        <w:rPr>
          <w:sz w:val="28"/>
          <w:szCs w:val="28"/>
        </w:rPr>
        <w:t>Supreme Court of Arizona</w:t>
      </w:r>
    </w:p>
    <w:p w:rsidR="006756B7" w:rsidRPr="006756B7" w:rsidRDefault="006756B7" w:rsidP="006756B7">
      <w:pPr>
        <w:spacing w:line="240" w:lineRule="auto"/>
        <w:rPr>
          <w:sz w:val="28"/>
          <w:szCs w:val="28"/>
        </w:rPr>
      </w:pPr>
      <w:r w:rsidRPr="006756B7">
        <w:rPr>
          <w:sz w:val="28"/>
          <w:szCs w:val="28"/>
        </w:rPr>
        <w:t>1501 W. Washington St.</w:t>
      </w:r>
    </w:p>
    <w:p w:rsidR="006756B7" w:rsidRPr="006756B7" w:rsidRDefault="006756B7" w:rsidP="006756B7">
      <w:pPr>
        <w:spacing w:line="240" w:lineRule="auto"/>
        <w:rPr>
          <w:sz w:val="28"/>
          <w:szCs w:val="28"/>
        </w:rPr>
      </w:pPr>
      <w:r w:rsidRPr="006756B7">
        <w:rPr>
          <w:sz w:val="28"/>
          <w:szCs w:val="28"/>
        </w:rPr>
        <w:t>Phoenix, AZ 85007</w:t>
      </w:r>
    </w:p>
    <w:p w:rsidR="008A7239" w:rsidRPr="006756B7" w:rsidRDefault="008A7239" w:rsidP="004D5F24">
      <w:pPr>
        <w:spacing w:line="240" w:lineRule="auto"/>
        <w:rPr>
          <w:sz w:val="28"/>
          <w:szCs w:val="28"/>
        </w:rPr>
      </w:pPr>
    </w:p>
    <w:p w:rsidR="000A6E16" w:rsidRPr="006756B7" w:rsidRDefault="00507BFF" w:rsidP="000A6E16">
      <w:pPr>
        <w:spacing w:line="240" w:lineRule="auto"/>
        <w:jc w:val="center"/>
        <w:rPr>
          <w:b/>
          <w:sz w:val="28"/>
          <w:szCs w:val="28"/>
        </w:rPr>
      </w:pPr>
      <w:r w:rsidRPr="006756B7">
        <w:rPr>
          <w:b/>
          <w:sz w:val="28"/>
          <w:szCs w:val="28"/>
        </w:rPr>
        <w:t xml:space="preserve">IN THE </w:t>
      </w:r>
      <w:r w:rsidR="006756B7" w:rsidRPr="006756B7">
        <w:rPr>
          <w:b/>
          <w:sz w:val="28"/>
          <w:szCs w:val="28"/>
        </w:rPr>
        <w:t>SUPREME COURT</w:t>
      </w:r>
    </w:p>
    <w:p w:rsidR="000A6E16" w:rsidRPr="006756B7" w:rsidRDefault="000A6E16" w:rsidP="000A6E16">
      <w:pPr>
        <w:spacing w:line="240" w:lineRule="auto"/>
        <w:jc w:val="center"/>
        <w:rPr>
          <w:b/>
          <w:sz w:val="28"/>
          <w:szCs w:val="28"/>
        </w:rPr>
      </w:pPr>
    </w:p>
    <w:p w:rsidR="000A6E16" w:rsidRPr="006756B7" w:rsidRDefault="006756B7" w:rsidP="000A6E16">
      <w:pPr>
        <w:spacing w:line="240" w:lineRule="auto"/>
        <w:jc w:val="center"/>
        <w:rPr>
          <w:b/>
          <w:sz w:val="28"/>
          <w:szCs w:val="28"/>
        </w:rPr>
      </w:pPr>
      <w:r w:rsidRPr="006756B7">
        <w:rPr>
          <w:b/>
          <w:sz w:val="28"/>
          <w:szCs w:val="28"/>
        </w:rPr>
        <w:t>STATE OF ARIZONA</w:t>
      </w:r>
    </w:p>
    <w:p w:rsidR="00443687" w:rsidRPr="006756B7" w:rsidRDefault="00443687" w:rsidP="00443687">
      <w:pPr>
        <w:spacing w:line="240" w:lineRule="auto"/>
        <w:jc w:val="center"/>
        <w:rPr>
          <w:sz w:val="28"/>
          <w:szCs w:val="28"/>
        </w:rPr>
      </w:pPr>
    </w:p>
    <w:tbl>
      <w:tblPr>
        <w:tblW w:w="0" w:type="auto"/>
        <w:tblLook w:val="01E0" w:firstRow="1" w:lastRow="1" w:firstColumn="1" w:lastColumn="1" w:noHBand="0" w:noVBand="0"/>
      </w:tblPr>
      <w:tblGrid>
        <w:gridCol w:w="4666"/>
        <w:gridCol w:w="4694"/>
      </w:tblGrid>
      <w:tr w:rsidR="00F33FB2" w:rsidRPr="006756B7" w:rsidTr="00A31037">
        <w:tc>
          <w:tcPr>
            <w:tcW w:w="4878" w:type="dxa"/>
            <w:tcBorders>
              <w:bottom w:val="single" w:sz="4" w:space="0" w:color="auto"/>
              <w:right w:val="single" w:sz="4" w:space="0" w:color="auto"/>
            </w:tcBorders>
            <w:shd w:val="clear" w:color="auto" w:fill="auto"/>
          </w:tcPr>
          <w:p w:rsidR="00635384" w:rsidRPr="006756B7" w:rsidRDefault="006756B7" w:rsidP="00ED5322">
            <w:pPr>
              <w:spacing w:line="240" w:lineRule="auto"/>
              <w:rPr>
                <w:sz w:val="28"/>
                <w:szCs w:val="28"/>
              </w:rPr>
            </w:pPr>
            <w:r>
              <w:rPr>
                <w:sz w:val="28"/>
                <w:szCs w:val="28"/>
              </w:rPr>
              <w:t>In the Matter of:</w:t>
            </w:r>
          </w:p>
          <w:p w:rsidR="00635384" w:rsidRPr="006756B7" w:rsidRDefault="00635384" w:rsidP="00ED5322">
            <w:pPr>
              <w:spacing w:line="240" w:lineRule="auto"/>
              <w:rPr>
                <w:sz w:val="28"/>
                <w:szCs w:val="28"/>
              </w:rPr>
            </w:pPr>
          </w:p>
          <w:p w:rsidR="006756B7" w:rsidRPr="006756B7" w:rsidRDefault="001F08A4" w:rsidP="006756B7">
            <w:pPr>
              <w:spacing w:line="240" w:lineRule="auto"/>
              <w:rPr>
                <w:b/>
                <w:sz w:val="28"/>
                <w:szCs w:val="28"/>
              </w:rPr>
            </w:pPr>
            <w:r w:rsidRPr="006756B7">
              <w:rPr>
                <w:b/>
                <w:sz w:val="28"/>
                <w:szCs w:val="28"/>
              </w:rPr>
              <w:t>PETITION TO AMEND RULE</w:t>
            </w:r>
            <w:r>
              <w:rPr>
                <w:b/>
                <w:sz w:val="28"/>
                <w:szCs w:val="28"/>
              </w:rPr>
              <w:t>S</w:t>
            </w:r>
            <w:r w:rsidRPr="006756B7">
              <w:rPr>
                <w:b/>
                <w:sz w:val="28"/>
                <w:szCs w:val="28"/>
              </w:rPr>
              <w:t xml:space="preserve"> 3</w:t>
            </w:r>
            <w:r>
              <w:rPr>
                <w:b/>
                <w:sz w:val="28"/>
                <w:szCs w:val="28"/>
              </w:rPr>
              <w:t>8</w:t>
            </w:r>
            <w:r w:rsidRPr="006756B7">
              <w:rPr>
                <w:b/>
                <w:sz w:val="28"/>
                <w:szCs w:val="28"/>
              </w:rPr>
              <w:t>,</w:t>
            </w:r>
            <w:r>
              <w:rPr>
                <w:b/>
                <w:sz w:val="28"/>
                <w:szCs w:val="28"/>
              </w:rPr>
              <w:t xml:space="preserve"> 39 AND ABROGATE RULE 40,</w:t>
            </w:r>
          </w:p>
          <w:p w:rsidR="00A31037" w:rsidRDefault="001F08A4" w:rsidP="006756B7">
            <w:pPr>
              <w:spacing w:line="240" w:lineRule="auto"/>
              <w:rPr>
                <w:b/>
                <w:sz w:val="28"/>
                <w:szCs w:val="28"/>
              </w:rPr>
            </w:pPr>
            <w:r w:rsidRPr="006756B7">
              <w:rPr>
                <w:b/>
                <w:sz w:val="28"/>
                <w:szCs w:val="28"/>
              </w:rPr>
              <w:t>RULES OF THE SUPREME COURT</w:t>
            </w:r>
            <w:r>
              <w:rPr>
                <w:b/>
                <w:sz w:val="28"/>
                <w:szCs w:val="28"/>
              </w:rPr>
              <w:t xml:space="preserve"> </w:t>
            </w:r>
            <w:r w:rsidRPr="006756B7">
              <w:rPr>
                <w:b/>
                <w:sz w:val="28"/>
                <w:szCs w:val="28"/>
              </w:rPr>
              <w:t>OF ARIZONA</w:t>
            </w:r>
          </w:p>
          <w:p w:rsidR="006756B7" w:rsidRPr="006756B7" w:rsidRDefault="006756B7" w:rsidP="006756B7">
            <w:pPr>
              <w:spacing w:line="240" w:lineRule="auto"/>
              <w:rPr>
                <w:b/>
                <w:sz w:val="28"/>
                <w:szCs w:val="28"/>
              </w:rPr>
            </w:pPr>
          </w:p>
        </w:tc>
        <w:tc>
          <w:tcPr>
            <w:tcW w:w="4914" w:type="dxa"/>
            <w:tcBorders>
              <w:left w:val="single" w:sz="4" w:space="0" w:color="auto"/>
            </w:tcBorders>
            <w:shd w:val="clear" w:color="auto" w:fill="auto"/>
          </w:tcPr>
          <w:p w:rsidR="00635384" w:rsidRPr="006756B7" w:rsidRDefault="006756B7" w:rsidP="00ED5322">
            <w:pPr>
              <w:spacing w:line="240" w:lineRule="auto"/>
              <w:rPr>
                <w:sz w:val="28"/>
                <w:szCs w:val="28"/>
              </w:rPr>
            </w:pPr>
            <w:r>
              <w:rPr>
                <w:sz w:val="28"/>
                <w:szCs w:val="28"/>
              </w:rPr>
              <w:t>Suprem</w:t>
            </w:r>
            <w:r w:rsidR="00635384" w:rsidRPr="006756B7">
              <w:rPr>
                <w:sz w:val="28"/>
                <w:szCs w:val="28"/>
              </w:rPr>
              <w:t xml:space="preserve">e </w:t>
            </w:r>
            <w:r>
              <w:rPr>
                <w:sz w:val="28"/>
                <w:szCs w:val="28"/>
              </w:rPr>
              <w:t xml:space="preserve">Court </w:t>
            </w:r>
            <w:r w:rsidR="00635384" w:rsidRPr="006756B7">
              <w:rPr>
                <w:sz w:val="28"/>
                <w:szCs w:val="28"/>
              </w:rPr>
              <w:t xml:space="preserve">No. </w:t>
            </w:r>
            <w:r>
              <w:rPr>
                <w:sz w:val="28"/>
                <w:szCs w:val="28"/>
              </w:rPr>
              <w:t>R-19-00</w:t>
            </w:r>
            <w:r w:rsidR="00E858BE">
              <w:rPr>
                <w:sz w:val="28"/>
                <w:szCs w:val="28"/>
              </w:rPr>
              <w:t>1</w:t>
            </w:r>
            <w:r w:rsidR="00EE77DC">
              <w:rPr>
                <w:sz w:val="28"/>
                <w:szCs w:val="28"/>
              </w:rPr>
              <w:t>1</w:t>
            </w:r>
          </w:p>
          <w:p w:rsidR="00635384" w:rsidRPr="006756B7" w:rsidRDefault="00635384" w:rsidP="00ED5322">
            <w:pPr>
              <w:spacing w:line="240" w:lineRule="auto"/>
              <w:rPr>
                <w:sz w:val="28"/>
                <w:szCs w:val="28"/>
              </w:rPr>
            </w:pPr>
          </w:p>
          <w:p w:rsidR="00635384" w:rsidRPr="006756B7" w:rsidRDefault="006756B7" w:rsidP="00212F43">
            <w:pPr>
              <w:spacing w:line="240" w:lineRule="auto"/>
              <w:rPr>
                <w:b/>
                <w:sz w:val="28"/>
                <w:szCs w:val="28"/>
              </w:rPr>
            </w:pPr>
            <w:r w:rsidRPr="006756B7">
              <w:rPr>
                <w:b/>
                <w:sz w:val="28"/>
                <w:szCs w:val="28"/>
              </w:rPr>
              <w:t xml:space="preserve">Proposed Rule Change </w:t>
            </w:r>
            <w:r w:rsidR="00F25C03">
              <w:rPr>
                <w:b/>
                <w:sz w:val="28"/>
                <w:szCs w:val="28"/>
              </w:rPr>
              <w:t>Comment by Certification and Licensing Division Staff</w:t>
            </w:r>
          </w:p>
        </w:tc>
      </w:tr>
    </w:tbl>
    <w:p w:rsidR="006756B7" w:rsidRDefault="00A31037" w:rsidP="006756B7">
      <w:pPr>
        <w:spacing w:line="240" w:lineRule="auto"/>
        <w:rPr>
          <w:sz w:val="28"/>
          <w:szCs w:val="28"/>
        </w:rPr>
      </w:pPr>
      <w:r w:rsidRPr="006756B7">
        <w:rPr>
          <w:sz w:val="28"/>
          <w:szCs w:val="28"/>
        </w:rPr>
        <w:tab/>
      </w:r>
    </w:p>
    <w:p w:rsidR="00C532A0" w:rsidRPr="00C532A0" w:rsidRDefault="00C532A0" w:rsidP="00C532A0">
      <w:pPr>
        <w:spacing w:line="480" w:lineRule="auto"/>
        <w:ind w:firstLine="720"/>
        <w:jc w:val="both"/>
        <w:rPr>
          <w:sz w:val="28"/>
          <w:szCs w:val="28"/>
        </w:rPr>
      </w:pPr>
      <w:r w:rsidRPr="00C532A0">
        <w:rPr>
          <w:sz w:val="28"/>
          <w:szCs w:val="28"/>
        </w:rPr>
        <w:t xml:space="preserve">The Certification and Licensing Division provides the administrative support to the Committee on Character and Fitness and the Committee on Examinations.  The Division </w:t>
      </w:r>
      <w:bookmarkStart w:id="0" w:name="_GoBack"/>
      <w:bookmarkEnd w:id="0"/>
      <w:r w:rsidRPr="00C532A0">
        <w:rPr>
          <w:sz w:val="28"/>
          <w:szCs w:val="28"/>
        </w:rPr>
        <w:t xml:space="preserve">“staffs” each Committee.  In this role, the Division would like to provide the Supreme Court with the following comments. </w:t>
      </w:r>
    </w:p>
    <w:p w:rsidR="00C532A0" w:rsidRDefault="001C37F6" w:rsidP="00537C7C">
      <w:pPr>
        <w:spacing w:line="480" w:lineRule="auto"/>
        <w:ind w:firstLine="720"/>
        <w:jc w:val="both"/>
        <w:rPr>
          <w:sz w:val="28"/>
          <w:szCs w:val="28"/>
        </w:rPr>
      </w:pPr>
      <w:r>
        <w:rPr>
          <w:sz w:val="28"/>
          <w:szCs w:val="28"/>
        </w:rPr>
        <w:t xml:space="preserve">In general, </w:t>
      </w:r>
      <w:r w:rsidR="00AC1283">
        <w:rPr>
          <w:sz w:val="28"/>
          <w:szCs w:val="28"/>
        </w:rPr>
        <w:t>the Division</w:t>
      </w:r>
      <w:r>
        <w:rPr>
          <w:sz w:val="28"/>
          <w:szCs w:val="28"/>
        </w:rPr>
        <w:t xml:space="preserve"> wishes to express agreement with the intended purpose of </w:t>
      </w:r>
      <w:r w:rsidR="00AC1283">
        <w:rPr>
          <w:sz w:val="28"/>
          <w:szCs w:val="28"/>
        </w:rPr>
        <w:t xml:space="preserve">reorganizing and harmonizing these rules through </w:t>
      </w:r>
      <w:r w:rsidR="007D5600">
        <w:rPr>
          <w:sz w:val="28"/>
          <w:szCs w:val="28"/>
        </w:rPr>
        <w:t>this</w:t>
      </w:r>
      <w:r w:rsidR="00AC1283">
        <w:rPr>
          <w:sz w:val="28"/>
          <w:szCs w:val="28"/>
        </w:rPr>
        <w:t xml:space="preserve"> </w:t>
      </w:r>
      <w:r>
        <w:rPr>
          <w:sz w:val="28"/>
          <w:szCs w:val="28"/>
        </w:rPr>
        <w:t>rule change petition</w:t>
      </w:r>
      <w:r w:rsidR="00C532A0" w:rsidRPr="00C532A0">
        <w:rPr>
          <w:sz w:val="28"/>
          <w:szCs w:val="28"/>
        </w:rPr>
        <w:t>.</w:t>
      </w:r>
      <w:r w:rsidR="00AC1283">
        <w:rPr>
          <w:sz w:val="28"/>
          <w:szCs w:val="28"/>
        </w:rPr>
        <w:t xml:space="preserve">  </w:t>
      </w:r>
      <w:r w:rsidR="003F79B9">
        <w:rPr>
          <w:sz w:val="28"/>
          <w:szCs w:val="28"/>
        </w:rPr>
        <w:t xml:space="preserve">The Division does </w:t>
      </w:r>
      <w:r w:rsidR="00751F72">
        <w:rPr>
          <w:sz w:val="28"/>
          <w:szCs w:val="28"/>
        </w:rPr>
        <w:t xml:space="preserve">wish to note </w:t>
      </w:r>
      <w:r w:rsidR="002173F5">
        <w:rPr>
          <w:sz w:val="28"/>
          <w:szCs w:val="28"/>
        </w:rPr>
        <w:t>substantive</w:t>
      </w:r>
      <w:r w:rsidR="0058797B">
        <w:rPr>
          <w:sz w:val="28"/>
          <w:szCs w:val="28"/>
        </w:rPr>
        <w:t xml:space="preserve"> concerns</w:t>
      </w:r>
      <w:r w:rsidR="00253B5D">
        <w:rPr>
          <w:sz w:val="28"/>
          <w:szCs w:val="28"/>
        </w:rPr>
        <w:t xml:space="preserve"> </w:t>
      </w:r>
      <w:r w:rsidR="00047626">
        <w:rPr>
          <w:sz w:val="28"/>
          <w:szCs w:val="28"/>
        </w:rPr>
        <w:t>specific</w:t>
      </w:r>
      <w:r w:rsidR="00253B5D">
        <w:rPr>
          <w:sz w:val="28"/>
          <w:szCs w:val="28"/>
        </w:rPr>
        <w:t xml:space="preserve"> </w:t>
      </w:r>
      <w:r w:rsidR="002173F5">
        <w:rPr>
          <w:sz w:val="28"/>
          <w:szCs w:val="28"/>
        </w:rPr>
        <w:t xml:space="preserve">to </w:t>
      </w:r>
      <w:r w:rsidR="00047626">
        <w:rPr>
          <w:sz w:val="28"/>
          <w:szCs w:val="28"/>
        </w:rPr>
        <w:t xml:space="preserve">limited practice </w:t>
      </w:r>
      <w:r w:rsidR="007D5600">
        <w:rPr>
          <w:sz w:val="28"/>
          <w:szCs w:val="28"/>
        </w:rPr>
        <w:t xml:space="preserve">admissions outlined in </w:t>
      </w:r>
      <w:r w:rsidR="002173F5">
        <w:rPr>
          <w:sz w:val="28"/>
          <w:szCs w:val="28"/>
        </w:rPr>
        <w:t>Rule</w:t>
      </w:r>
      <w:r w:rsidR="00A217A1">
        <w:rPr>
          <w:sz w:val="28"/>
          <w:szCs w:val="28"/>
        </w:rPr>
        <w:t xml:space="preserve"> </w:t>
      </w:r>
      <w:r w:rsidR="00233F8C">
        <w:rPr>
          <w:sz w:val="28"/>
          <w:szCs w:val="28"/>
        </w:rPr>
        <w:t>39</w:t>
      </w:r>
      <w:r w:rsidR="006B1078">
        <w:rPr>
          <w:sz w:val="28"/>
          <w:szCs w:val="28"/>
        </w:rPr>
        <w:t>.</w:t>
      </w:r>
      <w:r w:rsidR="00233F8C">
        <w:rPr>
          <w:sz w:val="28"/>
          <w:szCs w:val="28"/>
        </w:rPr>
        <w:t xml:space="preserve"> </w:t>
      </w:r>
    </w:p>
    <w:p w:rsidR="00C0120D" w:rsidRDefault="00D94B4B" w:rsidP="00537C7C">
      <w:pPr>
        <w:spacing w:line="480" w:lineRule="auto"/>
        <w:ind w:firstLine="720"/>
        <w:jc w:val="both"/>
        <w:rPr>
          <w:sz w:val="28"/>
          <w:szCs w:val="28"/>
        </w:rPr>
      </w:pPr>
      <w:r>
        <w:rPr>
          <w:sz w:val="28"/>
          <w:szCs w:val="28"/>
        </w:rPr>
        <w:t xml:space="preserve">The </w:t>
      </w:r>
      <w:r w:rsidR="005F43D7">
        <w:rPr>
          <w:sz w:val="28"/>
          <w:szCs w:val="28"/>
        </w:rPr>
        <w:t xml:space="preserve">petition </w:t>
      </w:r>
      <w:r w:rsidR="004512B1">
        <w:rPr>
          <w:sz w:val="28"/>
          <w:szCs w:val="28"/>
        </w:rPr>
        <w:t xml:space="preserve">proposes to amend </w:t>
      </w:r>
      <w:r w:rsidR="00615275">
        <w:rPr>
          <w:sz w:val="28"/>
          <w:szCs w:val="28"/>
        </w:rPr>
        <w:t xml:space="preserve">Rule 39 </w:t>
      </w:r>
      <w:r w:rsidR="0058257A">
        <w:rPr>
          <w:sz w:val="28"/>
          <w:szCs w:val="28"/>
        </w:rPr>
        <w:t xml:space="preserve">to allow </w:t>
      </w:r>
      <w:r w:rsidR="00D44DF4">
        <w:rPr>
          <w:sz w:val="28"/>
          <w:szCs w:val="28"/>
        </w:rPr>
        <w:t xml:space="preserve">certain </w:t>
      </w:r>
      <w:r w:rsidR="009324D1">
        <w:rPr>
          <w:sz w:val="28"/>
          <w:szCs w:val="28"/>
        </w:rPr>
        <w:t xml:space="preserve">individuals applying for admission to the State Bar </w:t>
      </w:r>
      <w:r w:rsidR="005860B6">
        <w:rPr>
          <w:sz w:val="28"/>
          <w:szCs w:val="28"/>
        </w:rPr>
        <w:t xml:space="preserve">through </w:t>
      </w:r>
      <w:r w:rsidR="00151A32">
        <w:rPr>
          <w:sz w:val="28"/>
          <w:szCs w:val="28"/>
        </w:rPr>
        <w:t xml:space="preserve">the </w:t>
      </w:r>
      <w:r w:rsidR="00171306">
        <w:rPr>
          <w:sz w:val="28"/>
          <w:szCs w:val="28"/>
        </w:rPr>
        <w:t>U</w:t>
      </w:r>
      <w:r w:rsidR="4868AA8C">
        <w:rPr>
          <w:sz w:val="28"/>
          <w:szCs w:val="28"/>
        </w:rPr>
        <w:t xml:space="preserve">niform </w:t>
      </w:r>
      <w:r w:rsidR="00171306">
        <w:rPr>
          <w:sz w:val="28"/>
          <w:szCs w:val="28"/>
        </w:rPr>
        <w:t>B</w:t>
      </w:r>
      <w:r w:rsidR="4868AA8C">
        <w:rPr>
          <w:sz w:val="28"/>
          <w:szCs w:val="28"/>
        </w:rPr>
        <w:t xml:space="preserve">ar </w:t>
      </w:r>
      <w:r w:rsidR="00171306">
        <w:rPr>
          <w:sz w:val="28"/>
          <w:szCs w:val="28"/>
        </w:rPr>
        <w:t>E</w:t>
      </w:r>
      <w:r w:rsidR="4868AA8C">
        <w:rPr>
          <w:sz w:val="28"/>
          <w:szCs w:val="28"/>
        </w:rPr>
        <w:t>xamination (UBE)</w:t>
      </w:r>
      <w:r w:rsidR="00171306">
        <w:rPr>
          <w:sz w:val="28"/>
          <w:szCs w:val="28"/>
        </w:rPr>
        <w:t xml:space="preserve"> </w:t>
      </w:r>
      <w:r w:rsidR="00903D94">
        <w:rPr>
          <w:sz w:val="28"/>
          <w:szCs w:val="28"/>
        </w:rPr>
        <w:t xml:space="preserve">score </w:t>
      </w:r>
      <w:r w:rsidR="00171306">
        <w:rPr>
          <w:sz w:val="28"/>
          <w:szCs w:val="28"/>
        </w:rPr>
        <w:t xml:space="preserve">transfer </w:t>
      </w:r>
      <w:r w:rsidR="005860B6">
        <w:rPr>
          <w:sz w:val="28"/>
          <w:szCs w:val="28"/>
        </w:rPr>
        <w:t xml:space="preserve">application process </w:t>
      </w:r>
      <w:r w:rsidR="00171306">
        <w:rPr>
          <w:sz w:val="28"/>
          <w:szCs w:val="28"/>
        </w:rPr>
        <w:t xml:space="preserve">and </w:t>
      </w:r>
      <w:r w:rsidR="00151A32">
        <w:rPr>
          <w:sz w:val="28"/>
          <w:szCs w:val="28"/>
        </w:rPr>
        <w:t xml:space="preserve">the </w:t>
      </w:r>
      <w:r w:rsidR="7B797F8A">
        <w:rPr>
          <w:sz w:val="28"/>
          <w:szCs w:val="28"/>
        </w:rPr>
        <w:t>Uniform B</w:t>
      </w:r>
      <w:r w:rsidR="005860B6">
        <w:rPr>
          <w:sz w:val="28"/>
          <w:szCs w:val="28"/>
        </w:rPr>
        <w:t xml:space="preserve">ar </w:t>
      </w:r>
      <w:r w:rsidR="00171306">
        <w:rPr>
          <w:sz w:val="28"/>
          <w:szCs w:val="28"/>
        </w:rPr>
        <w:t xml:space="preserve">Exam </w:t>
      </w:r>
      <w:r w:rsidR="00AB3CA0">
        <w:rPr>
          <w:sz w:val="28"/>
          <w:szCs w:val="28"/>
        </w:rPr>
        <w:t xml:space="preserve">application process to </w:t>
      </w:r>
      <w:r w:rsidR="00AA47AB">
        <w:rPr>
          <w:sz w:val="28"/>
          <w:szCs w:val="28"/>
        </w:rPr>
        <w:lastRenderedPageBreak/>
        <w:t xml:space="preserve">practice law in Arizona pending their admission to the State Bar.  </w:t>
      </w:r>
      <w:r w:rsidR="007903AD">
        <w:rPr>
          <w:sz w:val="28"/>
          <w:szCs w:val="28"/>
        </w:rPr>
        <w:t xml:space="preserve">  </w:t>
      </w:r>
      <w:r w:rsidR="000E4B48">
        <w:rPr>
          <w:sz w:val="28"/>
          <w:szCs w:val="28"/>
        </w:rPr>
        <w:t>Presently certain applicants</w:t>
      </w:r>
      <w:r w:rsidR="001069A2">
        <w:rPr>
          <w:sz w:val="28"/>
          <w:szCs w:val="28"/>
        </w:rPr>
        <w:t xml:space="preserve"> pursuing admission to the State Bar through the admission on motion process</w:t>
      </w:r>
      <w:r w:rsidR="002402E4">
        <w:rPr>
          <w:sz w:val="28"/>
          <w:szCs w:val="28"/>
        </w:rPr>
        <w:t xml:space="preserve"> may practice law pending their admission.  </w:t>
      </w:r>
      <w:r w:rsidR="006A7868">
        <w:rPr>
          <w:sz w:val="28"/>
          <w:szCs w:val="28"/>
        </w:rPr>
        <w:t>The petition seeks to expan</w:t>
      </w:r>
      <w:r w:rsidR="00777A6B">
        <w:rPr>
          <w:sz w:val="28"/>
          <w:szCs w:val="28"/>
        </w:rPr>
        <w:t xml:space="preserve">d this privilege to UBE score transfer applicants and Bar Exam </w:t>
      </w:r>
      <w:r w:rsidR="00426088">
        <w:rPr>
          <w:sz w:val="28"/>
          <w:szCs w:val="28"/>
        </w:rPr>
        <w:t>applicants.</w:t>
      </w:r>
      <w:r w:rsidR="00777A6B">
        <w:rPr>
          <w:sz w:val="28"/>
          <w:szCs w:val="28"/>
        </w:rPr>
        <w:t xml:space="preserve"> </w:t>
      </w:r>
    </w:p>
    <w:p w:rsidR="0006305F" w:rsidRDefault="00663F32" w:rsidP="00537C7C">
      <w:pPr>
        <w:spacing w:line="480" w:lineRule="auto"/>
        <w:ind w:firstLine="720"/>
        <w:jc w:val="both"/>
        <w:rPr>
          <w:sz w:val="28"/>
          <w:szCs w:val="28"/>
        </w:rPr>
      </w:pPr>
      <w:r>
        <w:rPr>
          <w:sz w:val="28"/>
          <w:szCs w:val="28"/>
        </w:rPr>
        <w:t xml:space="preserve">Staff believes there is a distinction between </w:t>
      </w:r>
      <w:r w:rsidR="00AF2E02">
        <w:rPr>
          <w:sz w:val="28"/>
          <w:szCs w:val="28"/>
        </w:rPr>
        <w:t xml:space="preserve">AOM or UBE transfer applicants on the one hand and exam applicants on the other.  </w:t>
      </w:r>
      <w:r w:rsidR="00C64458">
        <w:rPr>
          <w:sz w:val="28"/>
          <w:szCs w:val="28"/>
        </w:rPr>
        <w:t xml:space="preserve">The AOM and UBE applicants have both satisfied the </w:t>
      </w:r>
      <w:r w:rsidR="00F81378">
        <w:rPr>
          <w:sz w:val="28"/>
          <w:szCs w:val="28"/>
        </w:rPr>
        <w:t xml:space="preserve">skills portion of the admission process and only need to satisfy the </w:t>
      </w:r>
      <w:r w:rsidR="00E02341">
        <w:rPr>
          <w:sz w:val="28"/>
          <w:szCs w:val="28"/>
        </w:rPr>
        <w:t>character and fitness portion of the process.  On the other hand</w:t>
      </w:r>
      <w:r w:rsidR="00D6479D">
        <w:rPr>
          <w:sz w:val="28"/>
          <w:szCs w:val="28"/>
        </w:rPr>
        <w:t>,</w:t>
      </w:r>
      <w:r w:rsidR="00E02341">
        <w:rPr>
          <w:sz w:val="28"/>
          <w:szCs w:val="28"/>
        </w:rPr>
        <w:t xml:space="preserve"> the exam applicant must satisfy both the skill and character and fitness portions of the </w:t>
      </w:r>
      <w:r w:rsidR="004F571A">
        <w:rPr>
          <w:sz w:val="28"/>
          <w:szCs w:val="28"/>
        </w:rPr>
        <w:t xml:space="preserve">admission process.  </w:t>
      </w:r>
      <w:r w:rsidR="00B23A37">
        <w:rPr>
          <w:sz w:val="28"/>
          <w:szCs w:val="28"/>
        </w:rPr>
        <w:t xml:space="preserve">If adopted the petition would allow certain applicants to </w:t>
      </w:r>
      <w:r w:rsidR="004471DC">
        <w:rPr>
          <w:sz w:val="28"/>
          <w:szCs w:val="28"/>
        </w:rPr>
        <w:t xml:space="preserve">practice pending exam results and then </w:t>
      </w:r>
      <w:r w:rsidR="009E489D">
        <w:rPr>
          <w:sz w:val="28"/>
          <w:szCs w:val="28"/>
        </w:rPr>
        <w:t xml:space="preserve">a portion of </w:t>
      </w:r>
      <w:r w:rsidR="004471DC">
        <w:rPr>
          <w:sz w:val="28"/>
          <w:szCs w:val="28"/>
        </w:rPr>
        <w:t xml:space="preserve">those applicants would fail the exam.  For example, </w:t>
      </w:r>
      <w:r w:rsidR="009B69B9">
        <w:rPr>
          <w:sz w:val="28"/>
          <w:szCs w:val="28"/>
        </w:rPr>
        <w:t xml:space="preserve">the February 2018 bar exam had </w:t>
      </w:r>
      <w:r w:rsidR="7B797F8A">
        <w:rPr>
          <w:sz w:val="28"/>
          <w:szCs w:val="28"/>
        </w:rPr>
        <w:t>30</w:t>
      </w:r>
      <w:r w:rsidR="009B69B9">
        <w:rPr>
          <w:sz w:val="28"/>
          <w:szCs w:val="28"/>
        </w:rPr>
        <w:t xml:space="preserve"> applicants </w:t>
      </w:r>
      <w:r w:rsidR="00BC492C">
        <w:rPr>
          <w:sz w:val="28"/>
          <w:szCs w:val="28"/>
        </w:rPr>
        <w:t xml:space="preserve">sitting for the exam who were licensed to practice in another jurisdiction.  </w:t>
      </w:r>
      <w:r w:rsidR="009515C2">
        <w:rPr>
          <w:sz w:val="28"/>
          <w:szCs w:val="28"/>
        </w:rPr>
        <w:t xml:space="preserve">Of the </w:t>
      </w:r>
      <w:r w:rsidR="3AAF3973">
        <w:rPr>
          <w:sz w:val="28"/>
          <w:szCs w:val="28"/>
        </w:rPr>
        <w:t>30</w:t>
      </w:r>
      <w:r w:rsidR="009515C2">
        <w:rPr>
          <w:sz w:val="28"/>
          <w:szCs w:val="28"/>
        </w:rPr>
        <w:t xml:space="preserve"> applicants only</w:t>
      </w:r>
      <w:r w:rsidR="3AAF3973">
        <w:rPr>
          <w:sz w:val="28"/>
          <w:szCs w:val="28"/>
        </w:rPr>
        <w:t xml:space="preserve"> 22</w:t>
      </w:r>
      <w:r w:rsidR="009515C2">
        <w:rPr>
          <w:sz w:val="28"/>
          <w:szCs w:val="28"/>
        </w:rPr>
        <w:t xml:space="preserve"> passed the exam.  </w:t>
      </w:r>
      <w:r w:rsidR="00E35225">
        <w:rPr>
          <w:sz w:val="28"/>
          <w:szCs w:val="28"/>
        </w:rPr>
        <w:t>For the individuals who failed</w:t>
      </w:r>
      <w:r w:rsidR="00DF752C">
        <w:rPr>
          <w:sz w:val="28"/>
          <w:szCs w:val="28"/>
        </w:rPr>
        <w:t>,</w:t>
      </w:r>
      <w:r w:rsidR="00E35225">
        <w:rPr>
          <w:sz w:val="28"/>
          <w:szCs w:val="28"/>
        </w:rPr>
        <w:t xml:space="preserve"> </w:t>
      </w:r>
      <w:r w:rsidR="006F4872">
        <w:rPr>
          <w:sz w:val="28"/>
          <w:szCs w:val="28"/>
        </w:rPr>
        <w:t>the Court wou</w:t>
      </w:r>
      <w:r w:rsidR="003F101E">
        <w:rPr>
          <w:sz w:val="28"/>
          <w:szCs w:val="28"/>
        </w:rPr>
        <w:t>l</w:t>
      </w:r>
      <w:r w:rsidR="006F4872">
        <w:rPr>
          <w:sz w:val="28"/>
          <w:szCs w:val="28"/>
        </w:rPr>
        <w:t xml:space="preserve">d need to determine </w:t>
      </w:r>
      <w:r w:rsidR="00DF752C">
        <w:rPr>
          <w:sz w:val="28"/>
          <w:szCs w:val="28"/>
        </w:rPr>
        <w:t xml:space="preserve">whether </w:t>
      </w:r>
      <w:r w:rsidR="006F4872">
        <w:rPr>
          <w:sz w:val="28"/>
          <w:szCs w:val="28"/>
        </w:rPr>
        <w:t>to revoke the practice pen</w:t>
      </w:r>
      <w:r w:rsidR="003F101E">
        <w:rPr>
          <w:sz w:val="28"/>
          <w:szCs w:val="28"/>
        </w:rPr>
        <w:t xml:space="preserve">ding privilege which may have consequences to existing clients or allow continued practice </w:t>
      </w:r>
      <w:r w:rsidR="004E2D66">
        <w:rPr>
          <w:sz w:val="28"/>
          <w:szCs w:val="28"/>
        </w:rPr>
        <w:t xml:space="preserve">when the skill portion of the process has been failed. </w:t>
      </w:r>
      <w:r w:rsidR="003F101E">
        <w:rPr>
          <w:sz w:val="28"/>
          <w:szCs w:val="28"/>
        </w:rPr>
        <w:t xml:space="preserve"> </w:t>
      </w:r>
    </w:p>
    <w:p w:rsidR="00AD56CE" w:rsidRDefault="00AD56CE" w:rsidP="00537C7C">
      <w:pPr>
        <w:spacing w:line="480" w:lineRule="auto"/>
        <w:ind w:firstLine="720"/>
        <w:jc w:val="both"/>
        <w:rPr>
          <w:sz w:val="28"/>
          <w:szCs w:val="28"/>
        </w:rPr>
      </w:pPr>
      <w:r>
        <w:rPr>
          <w:sz w:val="28"/>
          <w:szCs w:val="28"/>
        </w:rPr>
        <w:t>For these reasons</w:t>
      </w:r>
      <w:r w:rsidR="3AAF3973">
        <w:rPr>
          <w:sz w:val="28"/>
          <w:szCs w:val="28"/>
        </w:rPr>
        <w:t>,</w:t>
      </w:r>
      <w:r>
        <w:rPr>
          <w:sz w:val="28"/>
          <w:szCs w:val="28"/>
        </w:rPr>
        <w:t xml:space="preserve"> staff would recommend against expanding practice pending to Bar Exam </w:t>
      </w:r>
      <w:r w:rsidR="005945BE">
        <w:rPr>
          <w:sz w:val="28"/>
          <w:szCs w:val="28"/>
        </w:rPr>
        <w:t xml:space="preserve">applicants.  In the alternative, staff would recommend </w:t>
      </w:r>
      <w:r w:rsidR="00720094">
        <w:rPr>
          <w:sz w:val="28"/>
          <w:szCs w:val="28"/>
        </w:rPr>
        <w:t>two changes to the language proposed in the petition:</w:t>
      </w:r>
    </w:p>
    <w:p w:rsidR="006660C2" w:rsidRDefault="008E38A2" w:rsidP="00F231CE">
      <w:pPr>
        <w:spacing w:line="240" w:lineRule="auto"/>
        <w:ind w:firstLine="720"/>
        <w:jc w:val="both"/>
        <w:rPr>
          <w:sz w:val="28"/>
          <w:szCs w:val="28"/>
        </w:rPr>
      </w:pPr>
      <w:r>
        <w:rPr>
          <w:sz w:val="28"/>
          <w:szCs w:val="28"/>
        </w:rPr>
        <w:lastRenderedPageBreak/>
        <w:t xml:space="preserve"> </w:t>
      </w:r>
      <w:r w:rsidR="008E7AE0">
        <w:rPr>
          <w:sz w:val="28"/>
          <w:szCs w:val="28"/>
        </w:rPr>
        <w:t xml:space="preserve">In </w:t>
      </w:r>
      <w:r w:rsidR="00DF35C8">
        <w:rPr>
          <w:sz w:val="28"/>
          <w:szCs w:val="28"/>
        </w:rPr>
        <w:t>sub</w:t>
      </w:r>
      <w:r>
        <w:rPr>
          <w:sz w:val="28"/>
          <w:szCs w:val="28"/>
        </w:rPr>
        <w:t xml:space="preserve">section (b) </w:t>
      </w:r>
      <w:r w:rsidRPr="00DF35C8">
        <w:rPr>
          <w:i/>
          <w:sz w:val="28"/>
          <w:szCs w:val="28"/>
        </w:rPr>
        <w:t>Pending Practice</w:t>
      </w:r>
      <w:r>
        <w:rPr>
          <w:sz w:val="28"/>
          <w:szCs w:val="28"/>
        </w:rPr>
        <w:t xml:space="preserve">, the </w:t>
      </w:r>
      <w:r w:rsidR="006207D6">
        <w:rPr>
          <w:sz w:val="28"/>
          <w:szCs w:val="28"/>
        </w:rPr>
        <w:t>Divis</w:t>
      </w:r>
      <w:r w:rsidR="00DF35C8">
        <w:rPr>
          <w:sz w:val="28"/>
          <w:szCs w:val="28"/>
        </w:rPr>
        <w:t>i</w:t>
      </w:r>
      <w:r w:rsidR="006207D6">
        <w:rPr>
          <w:sz w:val="28"/>
          <w:szCs w:val="28"/>
        </w:rPr>
        <w:t>on would recommend the following language change</w:t>
      </w:r>
      <w:r w:rsidR="0025219B">
        <w:rPr>
          <w:sz w:val="28"/>
          <w:szCs w:val="28"/>
        </w:rPr>
        <w:t xml:space="preserve"> to (1)(C)</w:t>
      </w:r>
      <w:r w:rsidR="006207D6">
        <w:rPr>
          <w:sz w:val="28"/>
          <w:szCs w:val="28"/>
        </w:rPr>
        <w:t xml:space="preserve">:  </w:t>
      </w:r>
    </w:p>
    <w:p w:rsidR="006207D6" w:rsidRPr="006207D6" w:rsidRDefault="006207D6" w:rsidP="00F231CE">
      <w:pPr>
        <w:spacing w:before="100" w:beforeAutospacing="1" w:after="100" w:afterAutospacing="1" w:line="240" w:lineRule="auto"/>
        <w:ind w:left="1440" w:right="720" w:hanging="720"/>
        <w:jc w:val="both"/>
        <w:rPr>
          <w:sz w:val="26"/>
          <w:szCs w:val="26"/>
        </w:rPr>
      </w:pPr>
      <w:r w:rsidRPr="006207D6">
        <w:rPr>
          <w:sz w:val="26"/>
          <w:szCs w:val="26"/>
        </w:rPr>
        <w:t>(C)</w:t>
      </w:r>
      <w:r w:rsidRPr="006207D6">
        <w:rPr>
          <w:sz w:val="26"/>
          <w:szCs w:val="26"/>
        </w:rPr>
        <w:tab/>
        <w:t xml:space="preserve">has not previously been denied admission to practice law in Arizona, has not failed to achieve a uniform bar examination score equivalent to the minimum passing score requirement for Arizona within the last three years, and has never been denied admission on character and fitness grounds in any jurisdiction;   </w:t>
      </w:r>
    </w:p>
    <w:p w:rsidR="00362F05" w:rsidRPr="00C532A0" w:rsidRDefault="00706255" w:rsidP="00713D6A">
      <w:pPr>
        <w:spacing w:line="480" w:lineRule="auto"/>
        <w:ind w:firstLine="720"/>
        <w:jc w:val="both"/>
        <w:rPr>
          <w:sz w:val="28"/>
          <w:szCs w:val="28"/>
        </w:rPr>
      </w:pPr>
      <w:r>
        <w:rPr>
          <w:sz w:val="28"/>
          <w:szCs w:val="28"/>
        </w:rPr>
        <w:t xml:space="preserve">In </w:t>
      </w:r>
      <w:r w:rsidR="00692435">
        <w:rPr>
          <w:sz w:val="28"/>
          <w:szCs w:val="28"/>
        </w:rPr>
        <w:t>section</w:t>
      </w:r>
      <w:r w:rsidR="00E95E80">
        <w:rPr>
          <w:sz w:val="28"/>
          <w:szCs w:val="28"/>
        </w:rPr>
        <w:t xml:space="preserve"> (D) of the same </w:t>
      </w:r>
      <w:r w:rsidR="00A52DD9">
        <w:rPr>
          <w:sz w:val="28"/>
          <w:szCs w:val="28"/>
        </w:rPr>
        <w:t>subsection of the rule</w:t>
      </w:r>
      <w:r w:rsidR="52FA0E6F">
        <w:rPr>
          <w:sz w:val="28"/>
          <w:szCs w:val="28"/>
        </w:rPr>
        <w:t>, staff recommends the language</w:t>
      </w:r>
      <w:r w:rsidR="00A52DD9">
        <w:rPr>
          <w:sz w:val="28"/>
          <w:szCs w:val="28"/>
        </w:rPr>
        <w:t xml:space="preserve"> be </w:t>
      </w:r>
      <w:r w:rsidR="000B042A">
        <w:rPr>
          <w:sz w:val="28"/>
          <w:szCs w:val="28"/>
        </w:rPr>
        <w:t xml:space="preserve">modified to assure the provisions of </w:t>
      </w:r>
      <w:r w:rsidR="00FB67BC">
        <w:rPr>
          <w:sz w:val="28"/>
          <w:szCs w:val="28"/>
        </w:rPr>
        <w:t xml:space="preserve">Rule 34(f) apply to all </w:t>
      </w:r>
      <w:r w:rsidR="001E2309">
        <w:rPr>
          <w:sz w:val="28"/>
          <w:szCs w:val="28"/>
        </w:rPr>
        <w:t xml:space="preserve">practice pending </w:t>
      </w:r>
      <w:r w:rsidR="00FB67BC">
        <w:rPr>
          <w:sz w:val="28"/>
          <w:szCs w:val="28"/>
        </w:rPr>
        <w:t>admission types</w:t>
      </w:r>
      <w:r w:rsidR="001E2309">
        <w:rPr>
          <w:sz w:val="28"/>
          <w:szCs w:val="28"/>
        </w:rPr>
        <w:t xml:space="preserve"> </w:t>
      </w:r>
      <w:r w:rsidR="00D966CC">
        <w:rPr>
          <w:sz w:val="28"/>
          <w:szCs w:val="28"/>
        </w:rPr>
        <w:t>(UBE Transfer and AOM)</w:t>
      </w:r>
      <w:r w:rsidR="000B732E">
        <w:rPr>
          <w:sz w:val="28"/>
          <w:szCs w:val="28"/>
        </w:rPr>
        <w:t xml:space="preserve"> instead of being limited </w:t>
      </w:r>
      <w:r w:rsidR="00032E9B">
        <w:rPr>
          <w:sz w:val="28"/>
          <w:szCs w:val="28"/>
        </w:rPr>
        <w:t xml:space="preserve">to </w:t>
      </w:r>
      <w:r w:rsidR="00902B7A">
        <w:rPr>
          <w:sz w:val="28"/>
          <w:szCs w:val="28"/>
        </w:rPr>
        <w:t>Admission on Motion applicants</w:t>
      </w:r>
      <w:r w:rsidR="000B732E">
        <w:rPr>
          <w:sz w:val="28"/>
          <w:szCs w:val="28"/>
        </w:rPr>
        <w:t xml:space="preserve"> as presently drafted</w:t>
      </w:r>
      <w:r w:rsidR="00902B7A">
        <w:rPr>
          <w:sz w:val="28"/>
          <w:szCs w:val="28"/>
        </w:rPr>
        <w:t>.</w:t>
      </w:r>
      <w:r w:rsidR="00FA1690">
        <w:rPr>
          <w:sz w:val="28"/>
          <w:szCs w:val="28"/>
        </w:rPr>
        <w:t xml:space="preserve">  </w:t>
      </w:r>
    </w:p>
    <w:p w:rsidR="006756B7" w:rsidRPr="00EE6BB1" w:rsidRDefault="006756B7" w:rsidP="00B25CB7">
      <w:pPr>
        <w:spacing w:line="240" w:lineRule="auto"/>
        <w:ind w:firstLine="720"/>
        <w:rPr>
          <w:sz w:val="28"/>
          <w:szCs w:val="28"/>
        </w:rPr>
      </w:pPr>
      <w:r w:rsidRPr="00EE6BB1">
        <w:rPr>
          <w:sz w:val="28"/>
          <w:szCs w:val="28"/>
        </w:rPr>
        <w:t xml:space="preserve">RESPECTFULLY SUBMITTED this _____ day of </w:t>
      </w:r>
      <w:proofErr w:type="gramStart"/>
      <w:r w:rsidRPr="00EE6BB1">
        <w:rPr>
          <w:sz w:val="28"/>
          <w:szCs w:val="28"/>
        </w:rPr>
        <w:t>April,</w:t>
      </w:r>
      <w:proofErr w:type="gramEnd"/>
      <w:r w:rsidRPr="00EE6BB1">
        <w:rPr>
          <w:sz w:val="28"/>
          <w:szCs w:val="28"/>
        </w:rPr>
        <w:t xml:space="preserve"> 2019.</w:t>
      </w:r>
    </w:p>
    <w:p w:rsidR="006756B7" w:rsidRDefault="006756B7" w:rsidP="006756B7">
      <w:pPr>
        <w:spacing w:line="240" w:lineRule="auto"/>
        <w:rPr>
          <w:sz w:val="28"/>
          <w:szCs w:val="28"/>
        </w:rPr>
      </w:pPr>
    </w:p>
    <w:p w:rsidR="00B25CB7" w:rsidRPr="00EE6BB1" w:rsidRDefault="00B25CB7" w:rsidP="006756B7">
      <w:pPr>
        <w:spacing w:line="240" w:lineRule="auto"/>
        <w:rPr>
          <w:sz w:val="28"/>
          <w:szCs w:val="28"/>
        </w:rPr>
      </w:pPr>
    </w:p>
    <w:p w:rsidR="006756B7" w:rsidRPr="00EE6BB1" w:rsidRDefault="006756B7" w:rsidP="006756B7">
      <w:pPr>
        <w:spacing w:line="240" w:lineRule="auto"/>
        <w:rPr>
          <w:sz w:val="28"/>
          <w:szCs w:val="28"/>
        </w:rPr>
      </w:pPr>
    </w:p>
    <w:p w:rsidR="00B25CB7" w:rsidRPr="00EE6BB1" w:rsidRDefault="00B25CB7" w:rsidP="00B25CB7">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00E858BE">
        <w:rPr>
          <w:sz w:val="28"/>
          <w:szCs w:val="28"/>
          <w:u w:val="single"/>
        </w:rPr>
        <w:tab/>
      </w:r>
      <w:r w:rsidRPr="00EE6BB1">
        <w:rPr>
          <w:sz w:val="28"/>
          <w:szCs w:val="28"/>
          <w:u w:val="single"/>
        </w:rPr>
        <w:tab/>
      </w:r>
    </w:p>
    <w:p w:rsidR="006756B7" w:rsidRPr="00EE6BB1" w:rsidRDefault="00C532A0" w:rsidP="00B25CB7">
      <w:pPr>
        <w:spacing w:line="240" w:lineRule="auto"/>
        <w:ind w:left="3600" w:firstLine="720"/>
        <w:rPr>
          <w:sz w:val="28"/>
          <w:szCs w:val="28"/>
        </w:rPr>
      </w:pPr>
      <w:r>
        <w:rPr>
          <w:sz w:val="28"/>
          <w:szCs w:val="28"/>
        </w:rPr>
        <w:t>Mark D. Wilson</w:t>
      </w:r>
      <w:r w:rsidR="00212F43">
        <w:rPr>
          <w:sz w:val="28"/>
          <w:szCs w:val="28"/>
        </w:rPr>
        <w:t xml:space="preserve">, </w:t>
      </w:r>
      <w:r>
        <w:rPr>
          <w:sz w:val="28"/>
          <w:szCs w:val="28"/>
        </w:rPr>
        <w:t>Director</w:t>
      </w:r>
    </w:p>
    <w:p w:rsidR="000A6E16" w:rsidRDefault="00C532A0" w:rsidP="00E858BE">
      <w:pPr>
        <w:spacing w:line="240" w:lineRule="auto"/>
        <w:ind w:left="4320"/>
        <w:rPr>
          <w:sz w:val="28"/>
          <w:szCs w:val="28"/>
        </w:rPr>
      </w:pPr>
      <w:r>
        <w:rPr>
          <w:sz w:val="28"/>
          <w:szCs w:val="28"/>
        </w:rPr>
        <w:t>Certification and Licensing Division</w:t>
      </w:r>
    </w:p>
    <w:p w:rsidR="00C532A0" w:rsidRPr="00C532A0" w:rsidRDefault="00C532A0" w:rsidP="00E858BE">
      <w:pPr>
        <w:spacing w:line="240" w:lineRule="auto"/>
        <w:ind w:left="4320"/>
        <w:rPr>
          <w:bCs/>
          <w:sz w:val="28"/>
          <w:szCs w:val="28"/>
        </w:rPr>
      </w:pPr>
      <w:r w:rsidRPr="00C532A0">
        <w:rPr>
          <w:bCs/>
          <w:sz w:val="28"/>
          <w:szCs w:val="28"/>
        </w:rPr>
        <w:t>Administrative Office of the Courts</w:t>
      </w:r>
    </w:p>
    <w:p w:rsidR="00C532A0" w:rsidRPr="00C532A0" w:rsidRDefault="00C532A0" w:rsidP="00E858BE">
      <w:pPr>
        <w:spacing w:line="240" w:lineRule="auto"/>
        <w:ind w:left="4320"/>
        <w:rPr>
          <w:bCs/>
          <w:sz w:val="28"/>
          <w:szCs w:val="28"/>
        </w:rPr>
      </w:pPr>
      <w:r w:rsidRPr="00C532A0">
        <w:rPr>
          <w:bCs/>
          <w:sz w:val="28"/>
          <w:szCs w:val="28"/>
        </w:rPr>
        <w:t>Arizona Supreme Court</w:t>
      </w:r>
    </w:p>
    <w:sectPr w:rsidR="00C532A0" w:rsidRPr="00C532A0" w:rsidSect="00D0560E">
      <w:headerReference w:type="default" r:id="rId8"/>
      <w:footerReference w:type="default" r:id="rId9"/>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8A2" w:rsidRDefault="00C408A2">
      <w:r>
        <w:separator/>
      </w:r>
    </w:p>
  </w:endnote>
  <w:endnote w:type="continuationSeparator" w:id="0">
    <w:p w:rsidR="00C408A2" w:rsidRDefault="00C4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8A2" w:rsidRDefault="00C408A2">
      <w:r>
        <w:separator/>
      </w:r>
    </w:p>
  </w:footnote>
  <w:footnote w:type="continuationSeparator" w:id="0">
    <w:p w:rsidR="00C408A2" w:rsidRDefault="00C4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Default="00E62059">
    <w:pPr>
      <w:pStyle w:val="Header"/>
    </w:pPr>
    <w:r>
      <w:rPr>
        <w:noProof/>
      </w:rPr>
      <mc:AlternateContent>
        <mc:Choice Requires="wps">
          <w:drawing>
            <wp:anchor distT="0" distB="0" distL="114300" distR="114300" simplePos="0" relativeHeight="251655680" behindDoc="0" locked="0" layoutInCell="1" allowOverlap="1" wp14:anchorId="2830EF84" wp14:editId="78616BA6">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F551"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D3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8752" behindDoc="0" locked="0" layoutInCell="1" allowOverlap="1" wp14:anchorId="4C6BB132" wp14:editId="5A79A899">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E78E8" id="LeftBorder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0845E2D5" wp14:editId="7C1BB268">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845E2D5" id="_x0000_t202" coordsize="21600,21600" o:spt="202" path="m,l,21600r21600,l21600,xe">
              <v:stroke joinstyle="miter"/>
              <v:path gradientshapeok="t" o:connecttype="rect"/>
            </v:shapetype>
            <v:shape id="LineNumbers" o:spid="_x0000_s1026" type="#_x0000_t202" style="position:absolute;margin-left:-30pt;margin-top:0;width:16pt;height:9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" filled="f" stroked="f">
              <v:textbox inset="0,0,0,0">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732E"/>
    <w:rsid w:val="000E4B48"/>
    <w:rsid w:val="000E7041"/>
    <w:rsid w:val="000F0050"/>
    <w:rsid w:val="000F62CC"/>
    <w:rsid w:val="000F7775"/>
    <w:rsid w:val="000F7C38"/>
    <w:rsid w:val="001010D8"/>
    <w:rsid w:val="001069A2"/>
    <w:rsid w:val="0011286D"/>
    <w:rsid w:val="001316D7"/>
    <w:rsid w:val="00151259"/>
    <w:rsid w:val="00151A32"/>
    <w:rsid w:val="001529E4"/>
    <w:rsid w:val="00171306"/>
    <w:rsid w:val="00173466"/>
    <w:rsid w:val="00175141"/>
    <w:rsid w:val="00190370"/>
    <w:rsid w:val="0019142A"/>
    <w:rsid w:val="00192471"/>
    <w:rsid w:val="001948F6"/>
    <w:rsid w:val="001A5D66"/>
    <w:rsid w:val="001C37F6"/>
    <w:rsid w:val="001C5531"/>
    <w:rsid w:val="001E2309"/>
    <w:rsid w:val="001E6C7C"/>
    <w:rsid w:val="001F08A4"/>
    <w:rsid w:val="001F4069"/>
    <w:rsid w:val="00204D5A"/>
    <w:rsid w:val="00212714"/>
    <w:rsid w:val="00212F43"/>
    <w:rsid w:val="002154DC"/>
    <w:rsid w:val="002173F5"/>
    <w:rsid w:val="00221B67"/>
    <w:rsid w:val="00231436"/>
    <w:rsid w:val="00233F8C"/>
    <w:rsid w:val="002402E4"/>
    <w:rsid w:val="00247C66"/>
    <w:rsid w:val="0025219B"/>
    <w:rsid w:val="00253B5D"/>
    <w:rsid w:val="002554E0"/>
    <w:rsid w:val="00257C5E"/>
    <w:rsid w:val="002862AF"/>
    <w:rsid w:val="00287840"/>
    <w:rsid w:val="00290ED2"/>
    <w:rsid w:val="00296073"/>
    <w:rsid w:val="00313351"/>
    <w:rsid w:val="00326F11"/>
    <w:rsid w:val="00333A4F"/>
    <w:rsid w:val="00340352"/>
    <w:rsid w:val="0034182F"/>
    <w:rsid w:val="00342F6D"/>
    <w:rsid w:val="0034554B"/>
    <w:rsid w:val="0035686E"/>
    <w:rsid w:val="00357303"/>
    <w:rsid w:val="003600A2"/>
    <w:rsid w:val="00362F05"/>
    <w:rsid w:val="003745EA"/>
    <w:rsid w:val="00382D20"/>
    <w:rsid w:val="00382D41"/>
    <w:rsid w:val="003968E2"/>
    <w:rsid w:val="003A05DE"/>
    <w:rsid w:val="003A79B6"/>
    <w:rsid w:val="003B1521"/>
    <w:rsid w:val="003C41E6"/>
    <w:rsid w:val="003E184F"/>
    <w:rsid w:val="003E573A"/>
    <w:rsid w:val="003E7F65"/>
    <w:rsid w:val="003F101E"/>
    <w:rsid w:val="003F35BD"/>
    <w:rsid w:val="003F79B9"/>
    <w:rsid w:val="00416E14"/>
    <w:rsid w:val="00421CF5"/>
    <w:rsid w:val="00425AA1"/>
    <w:rsid w:val="00426088"/>
    <w:rsid w:val="004314EE"/>
    <w:rsid w:val="00433CB7"/>
    <w:rsid w:val="00440593"/>
    <w:rsid w:val="00443687"/>
    <w:rsid w:val="00444B12"/>
    <w:rsid w:val="004471DC"/>
    <w:rsid w:val="004510C9"/>
    <w:rsid w:val="004512B1"/>
    <w:rsid w:val="00456C51"/>
    <w:rsid w:val="00461508"/>
    <w:rsid w:val="00484E40"/>
    <w:rsid w:val="00485530"/>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7C7C"/>
    <w:rsid w:val="005474E1"/>
    <w:rsid w:val="00551404"/>
    <w:rsid w:val="0057219A"/>
    <w:rsid w:val="00573B43"/>
    <w:rsid w:val="00577770"/>
    <w:rsid w:val="00580B89"/>
    <w:rsid w:val="00581CB6"/>
    <w:rsid w:val="00581F1F"/>
    <w:rsid w:val="0058257A"/>
    <w:rsid w:val="005860B6"/>
    <w:rsid w:val="0058797B"/>
    <w:rsid w:val="005945BE"/>
    <w:rsid w:val="005A05CF"/>
    <w:rsid w:val="005C055B"/>
    <w:rsid w:val="005C2A94"/>
    <w:rsid w:val="005C2F19"/>
    <w:rsid w:val="005C3EC3"/>
    <w:rsid w:val="005C5DD9"/>
    <w:rsid w:val="005D1B5C"/>
    <w:rsid w:val="005D223B"/>
    <w:rsid w:val="005D7A58"/>
    <w:rsid w:val="005E0706"/>
    <w:rsid w:val="005E2773"/>
    <w:rsid w:val="005F43D7"/>
    <w:rsid w:val="005F742B"/>
    <w:rsid w:val="006127D9"/>
    <w:rsid w:val="00615275"/>
    <w:rsid w:val="006207D6"/>
    <w:rsid w:val="006247F2"/>
    <w:rsid w:val="00625238"/>
    <w:rsid w:val="00634447"/>
    <w:rsid w:val="006351BA"/>
    <w:rsid w:val="0063528E"/>
    <w:rsid w:val="00635384"/>
    <w:rsid w:val="00644ADC"/>
    <w:rsid w:val="00645DF5"/>
    <w:rsid w:val="00652BD5"/>
    <w:rsid w:val="0065382B"/>
    <w:rsid w:val="00657ED1"/>
    <w:rsid w:val="00663F32"/>
    <w:rsid w:val="0066525A"/>
    <w:rsid w:val="006654CE"/>
    <w:rsid w:val="006660C2"/>
    <w:rsid w:val="00672472"/>
    <w:rsid w:val="006756B7"/>
    <w:rsid w:val="00683CF3"/>
    <w:rsid w:val="00684CA8"/>
    <w:rsid w:val="00686D83"/>
    <w:rsid w:val="00692435"/>
    <w:rsid w:val="006950DD"/>
    <w:rsid w:val="006A34C5"/>
    <w:rsid w:val="006A7868"/>
    <w:rsid w:val="006B1078"/>
    <w:rsid w:val="006B194D"/>
    <w:rsid w:val="006C363D"/>
    <w:rsid w:val="006D0B1D"/>
    <w:rsid w:val="006F0071"/>
    <w:rsid w:val="006F4872"/>
    <w:rsid w:val="006F62AD"/>
    <w:rsid w:val="006F748D"/>
    <w:rsid w:val="00706255"/>
    <w:rsid w:val="00713D6A"/>
    <w:rsid w:val="0071464C"/>
    <w:rsid w:val="00720094"/>
    <w:rsid w:val="00720384"/>
    <w:rsid w:val="007244DF"/>
    <w:rsid w:val="00731074"/>
    <w:rsid w:val="007344A1"/>
    <w:rsid w:val="00751F72"/>
    <w:rsid w:val="00762910"/>
    <w:rsid w:val="00763149"/>
    <w:rsid w:val="007670A6"/>
    <w:rsid w:val="007724C3"/>
    <w:rsid w:val="00777A6B"/>
    <w:rsid w:val="00780E6D"/>
    <w:rsid w:val="007903AD"/>
    <w:rsid w:val="00790E98"/>
    <w:rsid w:val="007A0C82"/>
    <w:rsid w:val="007B63A7"/>
    <w:rsid w:val="007B6C4C"/>
    <w:rsid w:val="007D5600"/>
    <w:rsid w:val="007E1EDE"/>
    <w:rsid w:val="007E3F3A"/>
    <w:rsid w:val="007F21B5"/>
    <w:rsid w:val="00811316"/>
    <w:rsid w:val="008176AC"/>
    <w:rsid w:val="00823705"/>
    <w:rsid w:val="008401CD"/>
    <w:rsid w:val="00846287"/>
    <w:rsid w:val="0085186C"/>
    <w:rsid w:val="008567DF"/>
    <w:rsid w:val="0086389D"/>
    <w:rsid w:val="00882AE8"/>
    <w:rsid w:val="00885C4A"/>
    <w:rsid w:val="008A2FE0"/>
    <w:rsid w:val="008A7239"/>
    <w:rsid w:val="008E1ADF"/>
    <w:rsid w:val="008E38A2"/>
    <w:rsid w:val="008E4CAB"/>
    <w:rsid w:val="008E4CD9"/>
    <w:rsid w:val="008E7AE0"/>
    <w:rsid w:val="009017F5"/>
    <w:rsid w:val="00902B7A"/>
    <w:rsid w:val="00903D94"/>
    <w:rsid w:val="009169C8"/>
    <w:rsid w:val="0093113B"/>
    <w:rsid w:val="009324D1"/>
    <w:rsid w:val="0094119E"/>
    <w:rsid w:val="00950E1B"/>
    <w:rsid w:val="009515C2"/>
    <w:rsid w:val="00956C86"/>
    <w:rsid w:val="00966B08"/>
    <w:rsid w:val="00990866"/>
    <w:rsid w:val="009970CC"/>
    <w:rsid w:val="00997C9A"/>
    <w:rsid w:val="009A3D16"/>
    <w:rsid w:val="009B69B9"/>
    <w:rsid w:val="009C7870"/>
    <w:rsid w:val="009E360D"/>
    <w:rsid w:val="009E489D"/>
    <w:rsid w:val="009E5803"/>
    <w:rsid w:val="009F5F69"/>
    <w:rsid w:val="009F761A"/>
    <w:rsid w:val="009F78C4"/>
    <w:rsid w:val="00A1259A"/>
    <w:rsid w:val="00A135C0"/>
    <w:rsid w:val="00A14399"/>
    <w:rsid w:val="00A217A1"/>
    <w:rsid w:val="00A271BC"/>
    <w:rsid w:val="00A31037"/>
    <w:rsid w:val="00A35059"/>
    <w:rsid w:val="00A41AE9"/>
    <w:rsid w:val="00A52DD9"/>
    <w:rsid w:val="00A564E8"/>
    <w:rsid w:val="00A742CF"/>
    <w:rsid w:val="00A75572"/>
    <w:rsid w:val="00A77B29"/>
    <w:rsid w:val="00A928B4"/>
    <w:rsid w:val="00A937C8"/>
    <w:rsid w:val="00A9529E"/>
    <w:rsid w:val="00AA47AB"/>
    <w:rsid w:val="00AB3CA0"/>
    <w:rsid w:val="00AC1283"/>
    <w:rsid w:val="00AD56CE"/>
    <w:rsid w:val="00AD5D59"/>
    <w:rsid w:val="00AE4310"/>
    <w:rsid w:val="00AF2E02"/>
    <w:rsid w:val="00B025CC"/>
    <w:rsid w:val="00B111BF"/>
    <w:rsid w:val="00B143D9"/>
    <w:rsid w:val="00B23A37"/>
    <w:rsid w:val="00B25CB7"/>
    <w:rsid w:val="00B3015E"/>
    <w:rsid w:val="00B31EC0"/>
    <w:rsid w:val="00B47AC5"/>
    <w:rsid w:val="00B55A10"/>
    <w:rsid w:val="00B55B5F"/>
    <w:rsid w:val="00B62679"/>
    <w:rsid w:val="00B673BA"/>
    <w:rsid w:val="00B67583"/>
    <w:rsid w:val="00B81131"/>
    <w:rsid w:val="00B86593"/>
    <w:rsid w:val="00B96CC5"/>
    <w:rsid w:val="00BA38D1"/>
    <w:rsid w:val="00BC492C"/>
    <w:rsid w:val="00BE4321"/>
    <w:rsid w:val="00BE767F"/>
    <w:rsid w:val="00BE781E"/>
    <w:rsid w:val="00BF1A28"/>
    <w:rsid w:val="00BF1DCE"/>
    <w:rsid w:val="00BF5F2B"/>
    <w:rsid w:val="00C0120D"/>
    <w:rsid w:val="00C02619"/>
    <w:rsid w:val="00C1442F"/>
    <w:rsid w:val="00C1788A"/>
    <w:rsid w:val="00C27F44"/>
    <w:rsid w:val="00C32509"/>
    <w:rsid w:val="00C408A2"/>
    <w:rsid w:val="00C41829"/>
    <w:rsid w:val="00C51161"/>
    <w:rsid w:val="00C532A0"/>
    <w:rsid w:val="00C62CBF"/>
    <w:rsid w:val="00C64458"/>
    <w:rsid w:val="00C66F3F"/>
    <w:rsid w:val="00C73D2D"/>
    <w:rsid w:val="00C745BC"/>
    <w:rsid w:val="00C74701"/>
    <w:rsid w:val="00C75B01"/>
    <w:rsid w:val="00C83FD5"/>
    <w:rsid w:val="00C90C92"/>
    <w:rsid w:val="00CA3807"/>
    <w:rsid w:val="00CB4CC2"/>
    <w:rsid w:val="00CC41C1"/>
    <w:rsid w:val="00CD3692"/>
    <w:rsid w:val="00CD3998"/>
    <w:rsid w:val="00CE7D21"/>
    <w:rsid w:val="00CF48FE"/>
    <w:rsid w:val="00CF69C7"/>
    <w:rsid w:val="00D0560E"/>
    <w:rsid w:val="00D20A2C"/>
    <w:rsid w:val="00D372CD"/>
    <w:rsid w:val="00D44DF4"/>
    <w:rsid w:val="00D463E6"/>
    <w:rsid w:val="00D50C38"/>
    <w:rsid w:val="00D6479D"/>
    <w:rsid w:val="00D67275"/>
    <w:rsid w:val="00D747BA"/>
    <w:rsid w:val="00D80841"/>
    <w:rsid w:val="00D81DF8"/>
    <w:rsid w:val="00D85EAC"/>
    <w:rsid w:val="00D865E3"/>
    <w:rsid w:val="00D87E8B"/>
    <w:rsid w:val="00D937D8"/>
    <w:rsid w:val="00D94B4B"/>
    <w:rsid w:val="00D966CC"/>
    <w:rsid w:val="00DB7B0A"/>
    <w:rsid w:val="00DC0004"/>
    <w:rsid w:val="00DC0EED"/>
    <w:rsid w:val="00DD5A6E"/>
    <w:rsid w:val="00DE56AE"/>
    <w:rsid w:val="00DE69B7"/>
    <w:rsid w:val="00DF35C8"/>
    <w:rsid w:val="00DF752C"/>
    <w:rsid w:val="00E02341"/>
    <w:rsid w:val="00E146C5"/>
    <w:rsid w:val="00E170D8"/>
    <w:rsid w:val="00E230CB"/>
    <w:rsid w:val="00E30C41"/>
    <w:rsid w:val="00E35225"/>
    <w:rsid w:val="00E41068"/>
    <w:rsid w:val="00E4496D"/>
    <w:rsid w:val="00E51927"/>
    <w:rsid w:val="00E62059"/>
    <w:rsid w:val="00E7286D"/>
    <w:rsid w:val="00E8543E"/>
    <w:rsid w:val="00E858BE"/>
    <w:rsid w:val="00E95E80"/>
    <w:rsid w:val="00EB200C"/>
    <w:rsid w:val="00EB54F0"/>
    <w:rsid w:val="00EC76E8"/>
    <w:rsid w:val="00EE3FAD"/>
    <w:rsid w:val="00EE7368"/>
    <w:rsid w:val="00EE77DC"/>
    <w:rsid w:val="00EF520D"/>
    <w:rsid w:val="00EF5BE7"/>
    <w:rsid w:val="00F0666C"/>
    <w:rsid w:val="00F231CE"/>
    <w:rsid w:val="00F23302"/>
    <w:rsid w:val="00F25C03"/>
    <w:rsid w:val="00F25FD1"/>
    <w:rsid w:val="00F323FD"/>
    <w:rsid w:val="00F33FB2"/>
    <w:rsid w:val="00F47457"/>
    <w:rsid w:val="00F51190"/>
    <w:rsid w:val="00F63BE9"/>
    <w:rsid w:val="00F80948"/>
    <w:rsid w:val="00F81378"/>
    <w:rsid w:val="00F823DA"/>
    <w:rsid w:val="00F90706"/>
    <w:rsid w:val="00F95F78"/>
    <w:rsid w:val="00FA1690"/>
    <w:rsid w:val="00FA63E8"/>
    <w:rsid w:val="00FB0ECF"/>
    <w:rsid w:val="00FB67BC"/>
    <w:rsid w:val="00FD03CD"/>
    <w:rsid w:val="00FE33A3"/>
    <w:rsid w:val="00FF6ADC"/>
    <w:rsid w:val="0F9C2E44"/>
    <w:rsid w:val="293776E1"/>
    <w:rsid w:val="3AAF3973"/>
    <w:rsid w:val="4868AA8C"/>
    <w:rsid w:val="52FA0E6F"/>
    <w:rsid w:val="66F01852"/>
    <w:rsid w:val="7B79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C6DD-823A-4D24-82AF-FEDC0D20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2019-04-30T17:18:00Z</dcterms:created>
  <dcterms:modified xsi:type="dcterms:W3CDTF">2019-04-30T20:04:00Z</dcterms:modified>
</cp:coreProperties>
</file>