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8E" w:rsidRPr="00ED3904" w:rsidRDefault="00ED3904" w:rsidP="00ED3904">
      <w:pPr>
        <w:pStyle w:val="StyleDBodyFLIndentLeft-013Firstline0"/>
        <w:spacing w:line="240" w:lineRule="auto"/>
        <w:ind w:left="0" w:firstLine="0"/>
        <w:rPr>
          <w:sz w:val="28"/>
          <w:szCs w:val="28"/>
        </w:rPr>
      </w:pPr>
      <w:bookmarkStart w:id="0" w:name="_GoBack"/>
      <w:bookmarkEnd w:id="0"/>
      <w:r>
        <w:rPr>
          <w:sz w:val="28"/>
          <w:szCs w:val="28"/>
        </w:rPr>
        <w:t>Gregory W. Falls</w:t>
      </w:r>
    </w:p>
    <w:p w:rsidR="0011658E" w:rsidRPr="00ED3904" w:rsidRDefault="0011658E" w:rsidP="00ED3904">
      <w:pPr>
        <w:pStyle w:val="StyleDBodyFLIndentLeft-013Firstline0"/>
        <w:spacing w:line="240" w:lineRule="auto"/>
        <w:ind w:left="0" w:firstLine="0"/>
        <w:rPr>
          <w:sz w:val="28"/>
          <w:szCs w:val="28"/>
        </w:rPr>
      </w:pPr>
      <w:r w:rsidRPr="00ED3904">
        <w:rPr>
          <w:sz w:val="28"/>
          <w:szCs w:val="28"/>
        </w:rPr>
        <w:t>Sherman &amp; Howard L.L.C.</w:t>
      </w:r>
    </w:p>
    <w:p w:rsidR="00ED3904" w:rsidRDefault="0011658E" w:rsidP="00ED3904">
      <w:pPr>
        <w:pStyle w:val="StyleDBodyFLIndentLeft-013Firstline0"/>
        <w:spacing w:line="240" w:lineRule="auto"/>
        <w:ind w:left="0" w:firstLine="0"/>
        <w:rPr>
          <w:sz w:val="28"/>
          <w:szCs w:val="28"/>
        </w:rPr>
      </w:pPr>
      <w:bookmarkStart w:id="1" w:name="Address"/>
      <w:r w:rsidRPr="00ED3904">
        <w:rPr>
          <w:sz w:val="28"/>
          <w:szCs w:val="28"/>
        </w:rPr>
        <w:t>201 East Washington Street, Suite 800</w:t>
      </w:r>
    </w:p>
    <w:p w:rsidR="0011658E" w:rsidRPr="00ED3904" w:rsidRDefault="0011658E" w:rsidP="00ED3904">
      <w:pPr>
        <w:pStyle w:val="StyleDBodyFLIndentLeft-013Firstline0"/>
        <w:spacing w:line="240" w:lineRule="auto"/>
        <w:ind w:left="0" w:firstLine="0"/>
        <w:rPr>
          <w:sz w:val="28"/>
          <w:szCs w:val="28"/>
        </w:rPr>
      </w:pPr>
      <w:r w:rsidRPr="00ED3904">
        <w:rPr>
          <w:sz w:val="28"/>
          <w:szCs w:val="28"/>
        </w:rPr>
        <w:t xml:space="preserve">Phoenix, </w:t>
      </w:r>
      <w:smartTag w:uri="urn:schemas-microsoft-com:office:smarttags" w:element="State">
        <w:r w:rsidRPr="00ED3904">
          <w:rPr>
            <w:sz w:val="28"/>
            <w:szCs w:val="28"/>
          </w:rPr>
          <w:t>Arizona</w:t>
        </w:r>
      </w:smartTag>
      <w:r w:rsidRPr="00ED3904">
        <w:rPr>
          <w:sz w:val="28"/>
          <w:szCs w:val="28"/>
        </w:rPr>
        <w:t xml:space="preserve"> </w:t>
      </w:r>
      <w:smartTag w:uri="urn:schemas-microsoft-com:office:smarttags" w:element="PostalCode">
        <w:r w:rsidRPr="00ED3904">
          <w:rPr>
            <w:sz w:val="28"/>
            <w:szCs w:val="28"/>
          </w:rPr>
          <w:t>85004-2327</w:t>
        </w:r>
      </w:smartTag>
      <w:bookmarkEnd w:id="1"/>
    </w:p>
    <w:p w:rsidR="00ED3904" w:rsidRDefault="0011658E" w:rsidP="00ED3904">
      <w:pPr>
        <w:pStyle w:val="StyleDBodyFLIndentLeft-013Firstline0"/>
        <w:spacing w:line="240" w:lineRule="auto"/>
        <w:ind w:left="0" w:firstLine="0"/>
        <w:rPr>
          <w:sz w:val="28"/>
          <w:szCs w:val="28"/>
        </w:rPr>
      </w:pPr>
      <w:bookmarkStart w:id="2" w:name="Phone"/>
      <w:r w:rsidRPr="00ED3904">
        <w:rPr>
          <w:sz w:val="28"/>
          <w:szCs w:val="28"/>
        </w:rPr>
        <w:t xml:space="preserve">Telephone: </w:t>
      </w:r>
      <w:r w:rsidR="00ED3904">
        <w:rPr>
          <w:sz w:val="28"/>
          <w:szCs w:val="28"/>
        </w:rPr>
        <w:t xml:space="preserve"> </w:t>
      </w:r>
      <w:r w:rsidRPr="00ED3904">
        <w:rPr>
          <w:sz w:val="28"/>
          <w:szCs w:val="28"/>
        </w:rPr>
        <w:t>(602) 240-3000</w:t>
      </w:r>
    </w:p>
    <w:p w:rsidR="0011658E" w:rsidRPr="00ED3904" w:rsidRDefault="0011658E" w:rsidP="00ED3904">
      <w:pPr>
        <w:pStyle w:val="StyleDBodyFLIndentLeft-013Firstline0"/>
        <w:spacing w:line="240" w:lineRule="auto"/>
        <w:ind w:left="0" w:firstLine="0"/>
        <w:rPr>
          <w:sz w:val="28"/>
          <w:szCs w:val="28"/>
        </w:rPr>
      </w:pPr>
      <w:r w:rsidRPr="00ED3904">
        <w:rPr>
          <w:sz w:val="28"/>
          <w:szCs w:val="28"/>
        </w:rPr>
        <w:t>Fax:</w:t>
      </w:r>
      <w:r w:rsidR="00ED3904">
        <w:rPr>
          <w:sz w:val="28"/>
          <w:szCs w:val="28"/>
        </w:rPr>
        <w:t xml:space="preserve"> </w:t>
      </w:r>
      <w:r w:rsidRPr="00ED3904">
        <w:rPr>
          <w:sz w:val="28"/>
          <w:szCs w:val="28"/>
        </w:rPr>
        <w:t xml:space="preserve"> (602) 240-6600</w:t>
      </w:r>
      <w:bookmarkEnd w:id="2"/>
    </w:p>
    <w:p w:rsidR="0011658E" w:rsidRPr="00ED3904" w:rsidRDefault="00ED3904" w:rsidP="00ED3904">
      <w:pPr>
        <w:pStyle w:val="StyleDBodyFLIndentLeft-013Firstline0"/>
        <w:spacing w:line="240" w:lineRule="auto"/>
        <w:ind w:left="0" w:firstLine="0"/>
        <w:rPr>
          <w:sz w:val="28"/>
          <w:szCs w:val="28"/>
        </w:rPr>
      </w:pPr>
      <w:bookmarkStart w:id="3" w:name="Atty1"/>
      <w:r>
        <w:rPr>
          <w:sz w:val="28"/>
          <w:szCs w:val="28"/>
        </w:rPr>
        <w:t>Arizona Bar No. 011206</w:t>
      </w:r>
    </w:p>
    <w:p w:rsidR="0011658E" w:rsidRPr="00ED3904" w:rsidRDefault="0011658E" w:rsidP="00ED3904">
      <w:pPr>
        <w:pStyle w:val="StyleDBodyFLIndentLeft-013Firstline0"/>
        <w:spacing w:line="240" w:lineRule="auto"/>
        <w:ind w:left="0" w:firstLine="0"/>
        <w:rPr>
          <w:sz w:val="28"/>
          <w:szCs w:val="28"/>
        </w:rPr>
      </w:pPr>
      <w:r w:rsidRPr="00ED3904">
        <w:rPr>
          <w:sz w:val="28"/>
          <w:szCs w:val="28"/>
        </w:rPr>
        <w:t>GFalls@ShermanHoward.com</w:t>
      </w:r>
    </w:p>
    <w:bookmarkEnd w:id="3"/>
    <w:p w:rsidR="0011658E" w:rsidRPr="00ED3904" w:rsidRDefault="0011658E" w:rsidP="00ED3904">
      <w:pPr>
        <w:pStyle w:val="StyleDBodyFLIndentLeft-013Firstline0"/>
        <w:spacing w:before="40"/>
        <w:ind w:right="576" w:firstLine="720"/>
        <w:rPr>
          <w:sz w:val="28"/>
          <w:szCs w:val="28"/>
        </w:rPr>
      </w:pPr>
    </w:p>
    <w:p w:rsidR="00277A39" w:rsidRPr="00F430EE" w:rsidRDefault="000067FF" w:rsidP="00ED3904">
      <w:pPr>
        <w:pStyle w:val="CourtTitle"/>
        <w:widowControl w:val="0"/>
        <w:spacing w:line="240" w:lineRule="auto"/>
        <w:rPr>
          <w:sz w:val="28"/>
          <w:szCs w:val="28"/>
        </w:rPr>
      </w:pPr>
      <w:bookmarkStart w:id="4" w:name="Court"/>
      <w:r w:rsidRPr="00F430EE">
        <w:rPr>
          <w:sz w:val="28"/>
          <w:szCs w:val="28"/>
        </w:rPr>
        <w:t>IN THE SUPREME COURT</w:t>
      </w:r>
    </w:p>
    <w:p w:rsidR="000067FF" w:rsidRPr="00F430EE" w:rsidRDefault="000067FF" w:rsidP="00ED3904">
      <w:pPr>
        <w:pStyle w:val="CourtTitle"/>
        <w:widowControl w:val="0"/>
        <w:spacing w:line="240" w:lineRule="auto"/>
        <w:rPr>
          <w:sz w:val="28"/>
          <w:szCs w:val="28"/>
        </w:rPr>
      </w:pPr>
      <w:r w:rsidRPr="00F430EE">
        <w:rPr>
          <w:sz w:val="28"/>
          <w:szCs w:val="28"/>
        </w:rPr>
        <w:t>STATE OF ARIZONA</w:t>
      </w:r>
    </w:p>
    <w:p w:rsidR="00277A39" w:rsidRPr="00F430EE" w:rsidRDefault="00277A39" w:rsidP="00277A39">
      <w:pPr>
        <w:pStyle w:val="CourtTitle"/>
        <w:spacing w:line="240" w:lineRule="auto"/>
        <w:rPr>
          <w:sz w:val="28"/>
          <w:szCs w:val="28"/>
        </w:rPr>
      </w:pPr>
    </w:p>
    <w:tbl>
      <w:tblPr>
        <w:tblW w:w="9450" w:type="dxa"/>
        <w:tblInd w:w="-65" w:type="dxa"/>
        <w:tblLayout w:type="fixed"/>
        <w:tblCellMar>
          <w:left w:w="115" w:type="dxa"/>
          <w:right w:w="115" w:type="dxa"/>
        </w:tblCellMar>
        <w:tblLook w:val="0000" w:firstRow="0" w:lastRow="0" w:firstColumn="0" w:lastColumn="0" w:noHBand="0" w:noVBand="0"/>
      </w:tblPr>
      <w:tblGrid>
        <w:gridCol w:w="4705"/>
        <w:gridCol w:w="4745"/>
      </w:tblGrid>
      <w:tr w:rsidR="0011658E" w:rsidRPr="00F430EE" w:rsidTr="00495F13">
        <w:trPr>
          <w:trHeight w:val="1890"/>
        </w:trPr>
        <w:tc>
          <w:tcPr>
            <w:tcW w:w="4705" w:type="dxa"/>
            <w:tcBorders>
              <w:bottom w:val="single" w:sz="4" w:space="0" w:color="auto"/>
              <w:right w:val="single" w:sz="4" w:space="0" w:color="auto"/>
            </w:tcBorders>
          </w:tcPr>
          <w:p w:rsidR="0011658E" w:rsidRPr="00F430EE" w:rsidRDefault="0011658E" w:rsidP="00ED3904">
            <w:pPr>
              <w:spacing w:line="240" w:lineRule="auto"/>
              <w:rPr>
                <w:sz w:val="28"/>
                <w:szCs w:val="28"/>
              </w:rPr>
            </w:pPr>
            <w:bookmarkStart w:id="5" w:name="Caption1"/>
            <w:bookmarkEnd w:id="4"/>
            <w:r w:rsidRPr="00F430EE">
              <w:rPr>
                <w:sz w:val="28"/>
                <w:szCs w:val="28"/>
              </w:rPr>
              <w:t>In the Matter of</w:t>
            </w:r>
            <w:r w:rsidR="000067FF" w:rsidRPr="00F430EE">
              <w:rPr>
                <w:sz w:val="28"/>
                <w:szCs w:val="28"/>
              </w:rPr>
              <w:t>:</w:t>
            </w:r>
          </w:p>
          <w:p w:rsidR="0011658E" w:rsidRPr="00F430EE" w:rsidRDefault="0011658E" w:rsidP="00ED3904">
            <w:pPr>
              <w:spacing w:line="240" w:lineRule="auto"/>
              <w:rPr>
                <w:sz w:val="28"/>
                <w:szCs w:val="28"/>
              </w:rPr>
            </w:pPr>
          </w:p>
          <w:bookmarkEnd w:id="5"/>
          <w:p w:rsidR="0011658E" w:rsidRPr="00F430EE" w:rsidRDefault="00153666" w:rsidP="00ED3904">
            <w:pPr>
              <w:pStyle w:val="pldCapt"/>
              <w:spacing w:line="240" w:lineRule="auto"/>
              <w:ind w:left="0"/>
              <w:rPr>
                <w:sz w:val="28"/>
                <w:szCs w:val="28"/>
              </w:rPr>
            </w:pPr>
            <w:r>
              <w:rPr>
                <w:sz w:val="28"/>
                <w:szCs w:val="28"/>
              </w:rPr>
              <w:t>PETITION TO AMEND RULES 32(c) AND (d), RULES OF THE SUPREME COURT</w:t>
            </w:r>
          </w:p>
        </w:tc>
        <w:tc>
          <w:tcPr>
            <w:tcW w:w="4745" w:type="dxa"/>
            <w:tcBorders>
              <w:left w:val="single" w:sz="4" w:space="0" w:color="auto"/>
            </w:tcBorders>
          </w:tcPr>
          <w:p w:rsidR="0011658E" w:rsidRPr="00F430EE" w:rsidRDefault="0011658E" w:rsidP="00ED3904">
            <w:pPr>
              <w:spacing w:line="240" w:lineRule="auto"/>
              <w:ind w:left="158"/>
              <w:rPr>
                <w:sz w:val="28"/>
                <w:szCs w:val="28"/>
              </w:rPr>
            </w:pPr>
          </w:p>
          <w:p w:rsidR="0011658E" w:rsidRPr="00F430EE" w:rsidRDefault="00692335" w:rsidP="00ED3904">
            <w:pPr>
              <w:spacing w:line="240" w:lineRule="auto"/>
              <w:ind w:left="158"/>
              <w:rPr>
                <w:sz w:val="28"/>
                <w:szCs w:val="28"/>
                <w:u w:val="single"/>
              </w:rPr>
            </w:pPr>
            <w:r>
              <w:rPr>
                <w:sz w:val="28"/>
                <w:szCs w:val="28"/>
              </w:rPr>
              <w:t>Supreme Court No. R-</w:t>
            </w:r>
            <w:r w:rsidRPr="00692335">
              <w:rPr>
                <w:sz w:val="28"/>
                <w:szCs w:val="28"/>
              </w:rPr>
              <w:t>19</w:t>
            </w:r>
            <w:r w:rsidR="000067FF" w:rsidRPr="00692335">
              <w:rPr>
                <w:sz w:val="28"/>
                <w:szCs w:val="28"/>
              </w:rPr>
              <w:t>-</w:t>
            </w:r>
            <w:r w:rsidRPr="00692335">
              <w:rPr>
                <w:sz w:val="28"/>
                <w:szCs w:val="28"/>
              </w:rPr>
              <w:t>0005</w:t>
            </w:r>
          </w:p>
          <w:p w:rsidR="000067FF" w:rsidRPr="00F430EE" w:rsidRDefault="000067FF" w:rsidP="00ED3904">
            <w:pPr>
              <w:spacing w:line="240" w:lineRule="auto"/>
              <w:ind w:left="158"/>
              <w:rPr>
                <w:sz w:val="28"/>
                <w:szCs w:val="28"/>
              </w:rPr>
            </w:pPr>
          </w:p>
          <w:p w:rsidR="004A6B0A" w:rsidRDefault="004A6B0A" w:rsidP="00ED3904">
            <w:pPr>
              <w:spacing w:line="240" w:lineRule="auto"/>
              <w:ind w:left="158"/>
              <w:rPr>
                <w:b/>
                <w:sz w:val="28"/>
                <w:szCs w:val="28"/>
              </w:rPr>
            </w:pPr>
            <w:r w:rsidRPr="004A6B0A">
              <w:rPr>
                <w:b/>
                <w:sz w:val="28"/>
                <w:szCs w:val="28"/>
              </w:rPr>
              <w:t>Comments in Support of</w:t>
            </w:r>
            <w:r>
              <w:rPr>
                <w:sz w:val="28"/>
                <w:szCs w:val="28"/>
              </w:rPr>
              <w:t xml:space="preserve"> </w:t>
            </w:r>
            <w:r w:rsidR="003F5D6D" w:rsidRPr="00ED3904">
              <w:rPr>
                <w:b/>
                <w:sz w:val="28"/>
                <w:szCs w:val="28"/>
              </w:rPr>
              <w:t xml:space="preserve">Petition to Amend </w:t>
            </w:r>
            <w:r w:rsidR="00ED3904" w:rsidRPr="00ED3904">
              <w:rPr>
                <w:b/>
                <w:sz w:val="28"/>
                <w:szCs w:val="28"/>
              </w:rPr>
              <w:t>Rule</w:t>
            </w:r>
            <w:r>
              <w:rPr>
                <w:b/>
                <w:sz w:val="28"/>
                <w:szCs w:val="28"/>
              </w:rPr>
              <w:t>s</w:t>
            </w:r>
            <w:r w:rsidR="00ED3904" w:rsidRPr="00ED3904">
              <w:rPr>
                <w:b/>
                <w:sz w:val="28"/>
                <w:szCs w:val="28"/>
              </w:rPr>
              <w:t xml:space="preserve"> 32</w:t>
            </w:r>
            <w:r>
              <w:rPr>
                <w:b/>
                <w:sz w:val="28"/>
                <w:szCs w:val="28"/>
              </w:rPr>
              <w:t>(c) and (d)</w:t>
            </w:r>
            <w:r w:rsidR="00ED3904" w:rsidRPr="00ED3904">
              <w:rPr>
                <w:b/>
                <w:sz w:val="28"/>
                <w:szCs w:val="28"/>
              </w:rPr>
              <w:t xml:space="preserve">, </w:t>
            </w:r>
          </w:p>
          <w:p w:rsidR="00D2530C" w:rsidRPr="00ED3904" w:rsidRDefault="00ED3904" w:rsidP="00ED3904">
            <w:pPr>
              <w:spacing w:line="240" w:lineRule="auto"/>
              <w:ind w:left="158"/>
              <w:rPr>
                <w:b/>
                <w:sz w:val="28"/>
                <w:szCs w:val="28"/>
              </w:rPr>
            </w:pPr>
            <w:r w:rsidRPr="00ED3904">
              <w:rPr>
                <w:b/>
                <w:sz w:val="28"/>
                <w:szCs w:val="28"/>
              </w:rPr>
              <w:t>Rules of the Supreme Court</w:t>
            </w:r>
          </w:p>
          <w:p w:rsidR="0093285D" w:rsidRPr="00F430EE" w:rsidRDefault="0093285D" w:rsidP="00ED3904">
            <w:pPr>
              <w:spacing w:line="240" w:lineRule="auto"/>
              <w:ind w:left="155"/>
              <w:rPr>
                <w:sz w:val="28"/>
                <w:szCs w:val="28"/>
              </w:rPr>
            </w:pPr>
          </w:p>
        </w:tc>
      </w:tr>
    </w:tbl>
    <w:p w:rsidR="00867635" w:rsidRDefault="00867635" w:rsidP="00D91C83">
      <w:pPr>
        <w:pStyle w:val="StyleDBodyFLIndentLeft-013Firstline0"/>
        <w:spacing w:line="480" w:lineRule="auto"/>
        <w:ind w:left="0" w:right="576" w:firstLine="720"/>
        <w:jc w:val="left"/>
        <w:rPr>
          <w:sz w:val="28"/>
          <w:szCs w:val="28"/>
        </w:rPr>
      </w:pPr>
      <w:bookmarkStart w:id="6" w:name="Start"/>
      <w:bookmarkEnd w:id="6"/>
    </w:p>
    <w:p w:rsidR="0068764E" w:rsidRDefault="00120DAC" w:rsidP="007A23E9">
      <w:pPr>
        <w:pStyle w:val="StyleDBodyFLIndentLeft-013Firstline0"/>
        <w:spacing w:line="480" w:lineRule="auto"/>
        <w:ind w:left="0" w:firstLine="720"/>
        <w:jc w:val="left"/>
        <w:rPr>
          <w:sz w:val="28"/>
          <w:szCs w:val="28"/>
        </w:rPr>
      </w:pPr>
      <w:r w:rsidRPr="00867635">
        <w:rPr>
          <w:sz w:val="28"/>
          <w:szCs w:val="28"/>
        </w:rPr>
        <w:t>Pursuant to Rule 28</w:t>
      </w:r>
      <w:r w:rsidR="003624C4">
        <w:rPr>
          <w:sz w:val="28"/>
          <w:szCs w:val="28"/>
        </w:rPr>
        <w:t>(e)</w:t>
      </w:r>
      <w:r w:rsidRPr="00867635">
        <w:rPr>
          <w:sz w:val="28"/>
          <w:szCs w:val="28"/>
        </w:rPr>
        <w:t xml:space="preserve">, Rules of the Supreme Court, Gregory W. Falls, </w:t>
      </w:r>
      <w:r w:rsidR="007A23E9">
        <w:rPr>
          <w:sz w:val="28"/>
          <w:szCs w:val="28"/>
        </w:rPr>
        <w:t xml:space="preserve">a member of the </w:t>
      </w:r>
      <w:r w:rsidR="007A23E9" w:rsidRPr="00867635">
        <w:rPr>
          <w:sz w:val="28"/>
          <w:szCs w:val="28"/>
        </w:rPr>
        <w:t xml:space="preserve">State Bar of Arizona (“State Bar” or </w:t>
      </w:r>
      <w:r w:rsidR="007A23E9">
        <w:rPr>
          <w:sz w:val="28"/>
          <w:szCs w:val="28"/>
        </w:rPr>
        <w:t>“</w:t>
      </w:r>
      <w:r w:rsidR="007A23E9" w:rsidRPr="00867635">
        <w:rPr>
          <w:sz w:val="28"/>
          <w:szCs w:val="28"/>
        </w:rPr>
        <w:t>Bar”)</w:t>
      </w:r>
      <w:r w:rsidR="007A23E9">
        <w:rPr>
          <w:sz w:val="28"/>
          <w:szCs w:val="28"/>
        </w:rPr>
        <w:t xml:space="preserve">, hereby submits the following comments in support of the above-captioned </w:t>
      </w:r>
      <w:r w:rsidR="007A23E9" w:rsidRPr="007A23E9">
        <w:rPr>
          <w:sz w:val="28"/>
          <w:szCs w:val="28"/>
        </w:rPr>
        <w:t>Petition to Amend Rules 32(c) and (d), Rules of the Supreme Court</w:t>
      </w:r>
      <w:r w:rsidR="00526E51">
        <w:rPr>
          <w:sz w:val="28"/>
          <w:szCs w:val="28"/>
        </w:rPr>
        <w:t xml:space="preserve"> (“Petition”)</w:t>
      </w:r>
      <w:r w:rsidR="007A23E9">
        <w:rPr>
          <w:sz w:val="28"/>
          <w:szCs w:val="28"/>
        </w:rPr>
        <w:t xml:space="preserve">, filed by </w:t>
      </w:r>
      <w:r w:rsidR="007A23E9">
        <w:rPr>
          <w:rFonts w:eastAsia="Calibri"/>
          <w:sz w:val="28"/>
          <w:szCs w:val="28"/>
        </w:rPr>
        <w:t>Timothy Sandefur, individually and on behalf of the Goldwater Institute</w:t>
      </w:r>
      <w:r w:rsidR="00526E51">
        <w:rPr>
          <w:rFonts w:eastAsia="Calibri"/>
          <w:sz w:val="28"/>
          <w:szCs w:val="28"/>
        </w:rPr>
        <w:t xml:space="preserve"> (collectively “Petitioner</w:t>
      </w:r>
      <w:r w:rsidR="0084163E">
        <w:rPr>
          <w:rFonts w:eastAsia="Calibri"/>
          <w:sz w:val="28"/>
          <w:szCs w:val="28"/>
        </w:rPr>
        <w:t>s</w:t>
      </w:r>
      <w:r w:rsidR="00526E51">
        <w:rPr>
          <w:rFonts w:eastAsia="Calibri"/>
          <w:sz w:val="28"/>
          <w:szCs w:val="28"/>
        </w:rPr>
        <w:t>”)</w:t>
      </w:r>
      <w:r w:rsidR="007A23E9">
        <w:rPr>
          <w:rFonts w:eastAsia="Calibri"/>
          <w:sz w:val="28"/>
          <w:szCs w:val="28"/>
        </w:rPr>
        <w:t>.</w:t>
      </w:r>
      <w:r w:rsidR="007A23E9" w:rsidRPr="00867635">
        <w:rPr>
          <w:sz w:val="28"/>
          <w:szCs w:val="28"/>
        </w:rPr>
        <w:t xml:space="preserve"> </w:t>
      </w:r>
    </w:p>
    <w:p w:rsidR="00F430EE" w:rsidRPr="004A54C5" w:rsidRDefault="004A54C5" w:rsidP="008B5697">
      <w:pPr>
        <w:pStyle w:val="StyleDBodyFLIndentLeft-013Firstline0"/>
        <w:numPr>
          <w:ilvl w:val="0"/>
          <w:numId w:val="22"/>
        </w:numPr>
        <w:spacing w:line="480" w:lineRule="auto"/>
        <w:ind w:left="216" w:firstLine="0"/>
        <w:jc w:val="left"/>
        <w:rPr>
          <w:b/>
          <w:sz w:val="28"/>
          <w:szCs w:val="28"/>
        </w:rPr>
      </w:pPr>
      <w:r w:rsidRPr="004A54C5">
        <w:rPr>
          <w:b/>
          <w:sz w:val="28"/>
          <w:szCs w:val="28"/>
        </w:rPr>
        <w:t>Background</w:t>
      </w:r>
      <w:r w:rsidR="0068764E">
        <w:rPr>
          <w:b/>
          <w:sz w:val="28"/>
          <w:szCs w:val="28"/>
        </w:rPr>
        <w:t xml:space="preserve">.  </w:t>
      </w:r>
    </w:p>
    <w:p w:rsidR="0047123C" w:rsidRDefault="0068764E" w:rsidP="00D91C83">
      <w:pPr>
        <w:pStyle w:val="StyleDBodyFLIndentLeft-013Firstline0"/>
        <w:spacing w:line="480" w:lineRule="auto"/>
        <w:ind w:left="0" w:firstLine="720"/>
        <w:jc w:val="left"/>
        <w:rPr>
          <w:sz w:val="28"/>
          <w:szCs w:val="28"/>
        </w:rPr>
      </w:pPr>
      <w:r>
        <w:rPr>
          <w:sz w:val="28"/>
          <w:szCs w:val="28"/>
        </w:rPr>
        <w:t xml:space="preserve">I filed a similar petition on January </w:t>
      </w:r>
      <w:r w:rsidR="00F9785E">
        <w:rPr>
          <w:sz w:val="28"/>
          <w:szCs w:val="28"/>
        </w:rPr>
        <w:t xml:space="preserve">10, 2017 </w:t>
      </w:r>
      <w:r w:rsidR="005137C1" w:rsidRPr="005137C1">
        <w:rPr>
          <w:sz w:val="28"/>
          <w:szCs w:val="28"/>
        </w:rPr>
        <w:t xml:space="preserve">for the purpose of splitting the functions of the State Bar into two </w:t>
      </w:r>
      <w:r w:rsidR="005137C1">
        <w:rPr>
          <w:sz w:val="28"/>
          <w:szCs w:val="28"/>
        </w:rPr>
        <w:t xml:space="preserve">distinct </w:t>
      </w:r>
      <w:r w:rsidR="005137C1" w:rsidRPr="005137C1">
        <w:rPr>
          <w:sz w:val="28"/>
          <w:szCs w:val="28"/>
        </w:rPr>
        <w:t xml:space="preserve">subsets.  </w:t>
      </w:r>
      <w:r w:rsidR="00281664" w:rsidRPr="00281664">
        <w:rPr>
          <w:i/>
          <w:sz w:val="28"/>
          <w:szCs w:val="28"/>
        </w:rPr>
        <w:t>See</w:t>
      </w:r>
      <w:r w:rsidR="00281664">
        <w:rPr>
          <w:sz w:val="28"/>
          <w:szCs w:val="28"/>
        </w:rPr>
        <w:t xml:space="preserve"> R-17</w:t>
      </w:r>
      <w:r w:rsidR="00281664" w:rsidRPr="00F430EE">
        <w:rPr>
          <w:sz w:val="28"/>
          <w:szCs w:val="28"/>
        </w:rPr>
        <w:t>-</w:t>
      </w:r>
      <w:r w:rsidR="00281664">
        <w:rPr>
          <w:sz w:val="28"/>
          <w:szCs w:val="28"/>
        </w:rPr>
        <w:t xml:space="preserve">0022.  </w:t>
      </w:r>
      <w:r w:rsidR="005137C1" w:rsidRPr="005137C1">
        <w:rPr>
          <w:sz w:val="28"/>
          <w:szCs w:val="28"/>
        </w:rPr>
        <w:t xml:space="preserve">The first would </w:t>
      </w:r>
      <w:r>
        <w:rPr>
          <w:sz w:val="28"/>
          <w:szCs w:val="28"/>
        </w:rPr>
        <w:t xml:space="preserve">have been </w:t>
      </w:r>
      <w:r w:rsidR="005137C1" w:rsidRPr="005137C1">
        <w:rPr>
          <w:sz w:val="28"/>
          <w:szCs w:val="28"/>
        </w:rPr>
        <w:t>be a mandatory membership organization (“Mandatory Bar”)</w:t>
      </w:r>
      <w:r>
        <w:rPr>
          <w:sz w:val="28"/>
          <w:szCs w:val="28"/>
        </w:rPr>
        <w:t xml:space="preserve"> to </w:t>
      </w:r>
      <w:r>
        <w:rPr>
          <w:sz w:val="28"/>
          <w:szCs w:val="28"/>
        </w:rPr>
        <w:lastRenderedPageBreak/>
        <w:t>maintain control over lawyer licensing to practice law with no substantive changes in that process</w:t>
      </w:r>
      <w:r w:rsidR="005137C1">
        <w:rPr>
          <w:sz w:val="28"/>
          <w:szCs w:val="28"/>
        </w:rPr>
        <w:t xml:space="preserve">. </w:t>
      </w:r>
      <w:r w:rsidR="005137C1" w:rsidRPr="005137C1">
        <w:rPr>
          <w:sz w:val="28"/>
          <w:szCs w:val="28"/>
        </w:rPr>
        <w:t xml:space="preserve"> </w:t>
      </w:r>
      <w:r>
        <w:rPr>
          <w:sz w:val="28"/>
          <w:szCs w:val="28"/>
        </w:rPr>
        <w:t xml:space="preserve">If </w:t>
      </w:r>
      <w:r w:rsidR="0047123C">
        <w:rPr>
          <w:sz w:val="28"/>
          <w:szCs w:val="28"/>
        </w:rPr>
        <w:t xml:space="preserve">we all agree that </w:t>
      </w:r>
      <w:r>
        <w:rPr>
          <w:sz w:val="28"/>
          <w:szCs w:val="28"/>
        </w:rPr>
        <w:t xml:space="preserve">lawyer licensing is a good thing for protection of the public, that protection would have remained </w:t>
      </w:r>
      <w:r w:rsidR="0047123C">
        <w:rPr>
          <w:sz w:val="28"/>
          <w:szCs w:val="28"/>
        </w:rPr>
        <w:t>unchanged</w:t>
      </w:r>
      <w:r>
        <w:rPr>
          <w:sz w:val="28"/>
          <w:szCs w:val="28"/>
        </w:rPr>
        <w:t xml:space="preserve">.  </w:t>
      </w:r>
    </w:p>
    <w:p w:rsidR="005137C1" w:rsidRDefault="005137C1" w:rsidP="00D91C83">
      <w:pPr>
        <w:pStyle w:val="StyleDBodyFLIndentLeft-013Firstline0"/>
        <w:spacing w:line="480" w:lineRule="auto"/>
        <w:ind w:left="0" w:firstLine="720"/>
        <w:jc w:val="left"/>
        <w:rPr>
          <w:sz w:val="28"/>
          <w:szCs w:val="28"/>
        </w:rPr>
      </w:pPr>
      <w:r>
        <w:rPr>
          <w:sz w:val="28"/>
          <w:szCs w:val="28"/>
        </w:rPr>
        <w:t>T</w:t>
      </w:r>
      <w:r w:rsidRPr="005137C1">
        <w:rPr>
          <w:sz w:val="28"/>
          <w:szCs w:val="28"/>
        </w:rPr>
        <w:t xml:space="preserve">he second </w:t>
      </w:r>
      <w:r w:rsidR="0068764E">
        <w:rPr>
          <w:sz w:val="28"/>
          <w:szCs w:val="28"/>
        </w:rPr>
        <w:t xml:space="preserve">subset </w:t>
      </w:r>
      <w:r>
        <w:rPr>
          <w:sz w:val="28"/>
          <w:szCs w:val="28"/>
        </w:rPr>
        <w:t xml:space="preserve">would </w:t>
      </w:r>
      <w:r w:rsidR="0068764E">
        <w:rPr>
          <w:sz w:val="28"/>
          <w:szCs w:val="28"/>
        </w:rPr>
        <w:t xml:space="preserve">have </w:t>
      </w:r>
      <w:r>
        <w:rPr>
          <w:sz w:val="28"/>
          <w:szCs w:val="28"/>
        </w:rPr>
        <w:t>be</w:t>
      </w:r>
      <w:r w:rsidR="0068764E">
        <w:rPr>
          <w:sz w:val="28"/>
          <w:szCs w:val="28"/>
        </w:rPr>
        <w:t>en</w:t>
      </w:r>
      <w:r>
        <w:rPr>
          <w:sz w:val="28"/>
          <w:szCs w:val="28"/>
        </w:rPr>
        <w:t xml:space="preserve"> </w:t>
      </w:r>
      <w:r w:rsidRPr="005137C1">
        <w:rPr>
          <w:sz w:val="28"/>
          <w:szCs w:val="28"/>
        </w:rPr>
        <w:t xml:space="preserve">a purely voluntary membership organization (“Voluntary Bar”).  </w:t>
      </w:r>
      <w:r w:rsidR="0068764E">
        <w:rPr>
          <w:sz w:val="28"/>
          <w:szCs w:val="28"/>
        </w:rPr>
        <w:t xml:space="preserve">Some lawyers, such as those speaking for the State Bar, claim substantial professional benefits from their membership in the Bar.  </w:t>
      </w:r>
      <w:r w:rsidR="0047123C">
        <w:rPr>
          <w:sz w:val="28"/>
          <w:szCs w:val="28"/>
        </w:rPr>
        <w:t xml:space="preserve">Others may receive limited benefits.  Yet others receive no known benefits, but everyone is compelled to pay the same price.  Without knowing it, they also support the State Bar’s lobbying positions, whether they agree with them or not.  </w:t>
      </w:r>
      <w:r w:rsidR="0068764E">
        <w:rPr>
          <w:sz w:val="28"/>
          <w:szCs w:val="28"/>
        </w:rPr>
        <w:t xml:space="preserve">My petition would </w:t>
      </w:r>
      <w:r w:rsidR="0047123C">
        <w:rPr>
          <w:sz w:val="28"/>
          <w:szCs w:val="28"/>
        </w:rPr>
        <w:t>have allowed</w:t>
      </w:r>
      <w:r w:rsidR="0068764E">
        <w:rPr>
          <w:sz w:val="28"/>
          <w:szCs w:val="28"/>
        </w:rPr>
        <w:t xml:space="preserve"> </w:t>
      </w:r>
      <w:r w:rsidR="0047123C">
        <w:rPr>
          <w:sz w:val="28"/>
          <w:szCs w:val="28"/>
        </w:rPr>
        <w:t>the State Bar to operate much as it does now, but as a voluntary membership organization serving its members</w:t>
      </w:r>
      <w:r w:rsidR="0068764E">
        <w:rPr>
          <w:sz w:val="28"/>
          <w:szCs w:val="28"/>
        </w:rPr>
        <w:t xml:space="preserve">.  </w:t>
      </w:r>
    </w:p>
    <w:p w:rsidR="0047123C" w:rsidRPr="005137C1" w:rsidRDefault="0047123C" w:rsidP="00D91C83">
      <w:pPr>
        <w:pStyle w:val="StyleDBodyFLIndentLeft-013Firstline0"/>
        <w:spacing w:line="480" w:lineRule="auto"/>
        <w:ind w:left="0" w:firstLine="720"/>
        <w:jc w:val="left"/>
        <w:rPr>
          <w:sz w:val="28"/>
          <w:szCs w:val="28"/>
        </w:rPr>
      </w:pPr>
      <w:r>
        <w:rPr>
          <w:sz w:val="28"/>
          <w:szCs w:val="28"/>
        </w:rPr>
        <w:t xml:space="preserve">The Court accepted comments on my petition and heard informally from parties on both sides.  My petition was denied without comment </w:t>
      </w:r>
      <w:r w:rsidR="001B0A52">
        <w:rPr>
          <w:sz w:val="28"/>
          <w:szCs w:val="28"/>
        </w:rPr>
        <w:t xml:space="preserve">from the Court </w:t>
      </w:r>
      <w:r>
        <w:rPr>
          <w:sz w:val="28"/>
          <w:szCs w:val="28"/>
        </w:rPr>
        <w:t xml:space="preserve">on </w:t>
      </w:r>
      <w:r w:rsidR="00680DD7">
        <w:rPr>
          <w:sz w:val="28"/>
          <w:szCs w:val="28"/>
        </w:rPr>
        <w:t>August 29, 2017</w:t>
      </w:r>
      <w:r>
        <w:rPr>
          <w:sz w:val="28"/>
          <w:szCs w:val="28"/>
        </w:rPr>
        <w:t xml:space="preserve">.  </w:t>
      </w:r>
      <w:r w:rsidR="00680DD7" w:rsidRPr="00680DD7">
        <w:rPr>
          <w:i/>
          <w:sz w:val="28"/>
          <w:szCs w:val="28"/>
        </w:rPr>
        <w:t>See</w:t>
      </w:r>
      <w:r w:rsidR="00680DD7">
        <w:rPr>
          <w:sz w:val="28"/>
          <w:szCs w:val="28"/>
        </w:rPr>
        <w:t xml:space="preserve"> Minutes, Arizona Supreme Court No. 5900 at 12 (filed August 31, 2017)</w:t>
      </w:r>
      <w:r>
        <w:rPr>
          <w:sz w:val="28"/>
          <w:szCs w:val="28"/>
        </w:rPr>
        <w:t>.</w:t>
      </w:r>
    </w:p>
    <w:p w:rsidR="008B5697" w:rsidRPr="004A54C5" w:rsidRDefault="008B5697" w:rsidP="008B5697">
      <w:pPr>
        <w:pStyle w:val="StyleDBodyFLIndentLeft-013Firstline0"/>
        <w:numPr>
          <w:ilvl w:val="0"/>
          <w:numId w:val="22"/>
        </w:numPr>
        <w:spacing w:line="480" w:lineRule="auto"/>
        <w:ind w:left="288" w:firstLine="0"/>
        <w:jc w:val="left"/>
        <w:rPr>
          <w:b/>
          <w:sz w:val="28"/>
          <w:szCs w:val="28"/>
        </w:rPr>
      </w:pPr>
      <w:r w:rsidRPr="008B5697">
        <w:rPr>
          <w:b/>
          <w:sz w:val="28"/>
          <w:szCs w:val="28"/>
        </w:rPr>
        <w:t>Comments in Support of the Petition.</w:t>
      </w:r>
      <w:r>
        <w:rPr>
          <w:b/>
          <w:sz w:val="28"/>
          <w:szCs w:val="28"/>
        </w:rPr>
        <w:t xml:space="preserve">  </w:t>
      </w:r>
    </w:p>
    <w:p w:rsidR="0084163E" w:rsidRDefault="00C74483" w:rsidP="00D91C83">
      <w:pPr>
        <w:pStyle w:val="StyleDBodyFLIndentLeft-013Firstline0"/>
        <w:spacing w:line="480" w:lineRule="auto"/>
        <w:ind w:left="0" w:firstLine="720"/>
        <w:jc w:val="left"/>
        <w:rPr>
          <w:sz w:val="28"/>
          <w:szCs w:val="28"/>
        </w:rPr>
      </w:pPr>
      <w:r>
        <w:rPr>
          <w:sz w:val="28"/>
          <w:szCs w:val="28"/>
        </w:rPr>
        <w:t xml:space="preserve">The Petition calls for a bifurcation of the State Bar in much the same manner as I proposed in 2017.  A Mandatory Bar, with mandatory dues, would cover licensing, discipline, and other necessary lawyer regulatory activities, and fund the client protection fund.  </w:t>
      </w:r>
      <w:r w:rsidR="0084163E">
        <w:rPr>
          <w:sz w:val="28"/>
          <w:szCs w:val="28"/>
        </w:rPr>
        <w:t xml:space="preserve">It appears from the Petition that those functions would </w:t>
      </w:r>
      <w:r w:rsidR="0084163E">
        <w:rPr>
          <w:sz w:val="28"/>
          <w:szCs w:val="28"/>
        </w:rPr>
        <w:lastRenderedPageBreak/>
        <w:t xml:space="preserve">remain entirely unchanged, under the State Bar with supervision </w:t>
      </w:r>
      <w:r w:rsidR="001B0A52">
        <w:rPr>
          <w:sz w:val="28"/>
          <w:szCs w:val="28"/>
        </w:rPr>
        <w:t>by</w:t>
      </w:r>
      <w:r w:rsidR="0084163E">
        <w:rPr>
          <w:sz w:val="28"/>
          <w:szCs w:val="28"/>
        </w:rPr>
        <w:t xml:space="preserve"> the Court.  </w:t>
      </w:r>
      <w:r w:rsidR="001B0A52">
        <w:rPr>
          <w:sz w:val="28"/>
          <w:szCs w:val="28"/>
        </w:rPr>
        <w:t>I am aware t</w:t>
      </w:r>
      <w:r w:rsidR="002B449E">
        <w:rPr>
          <w:sz w:val="28"/>
          <w:szCs w:val="28"/>
        </w:rPr>
        <w:t xml:space="preserve">here are forces seeking to change what it means to practice law and what are </w:t>
      </w:r>
      <w:r w:rsidR="000A6F2C">
        <w:rPr>
          <w:sz w:val="28"/>
          <w:szCs w:val="28"/>
        </w:rPr>
        <w:t xml:space="preserve">the </w:t>
      </w:r>
      <w:r w:rsidR="002B449E">
        <w:rPr>
          <w:sz w:val="28"/>
          <w:szCs w:val="28"/>
        </w:rPr>
        <w:t xml:space="preserve">educational and licensing requirements necessary to do so.  Saving those issues for another time, I support the Mandatory Bar provisions of the Petition.  </w:t>
      </w:r>
    </w:p>
    <w:p w:rsidR="0079141D" w:rsidRDefault="002B449E" w:rsidP="00D91C83">
      <w:pPr>
        <w:pStyle w:val="StyleDBodyFLIndentLeft-013Firstline0"/>
        <w:spacing w:line="480" w:lineRule="auto"/>
        <w:ind w:left="0" w:firstLine="720"/>
        <w:jc w:val="left"/>
        <w:rPr>
          <w:sz w:val="28"/>
          <w:szCs w:val="28"/>
        </w:rPr>
      </w:pPr>
      <w:r>
        <w:rPr>
          <w:sz w:val="28"/>
          <w:szCs w:val="28"/>
        </w:rPr>
        <w:t>It appears the second of the bifurcated Bars proposed in the Petition would be a</w:t>
      </w:r>
      <w:r w:rsidR="00C74483">
        <w:rPr>
          <w:sz w:val="28"/>
          <w:szCs w:val="28"/>
        </w:rPr>
        <w:t xml:space="preserve"> Voluntary Bar, if the State Bar chooses to have one, and in</w:t>
      </w:r>
      <w:r>
        <w:rPr>
          <w:sz w:val="28"/>
          <w:szCs w:val="28"/>
        </w:rPr>
        <w:t xml:space="preserve"> whatever form it may so choose. </w:t>
      </w:r>
      <w:r w:rsidR="00C74483">
        <w:rPr>
          <w:sz w:val="28"/>
          <w:szCs w:val="28"/>
        </w:rPr>
        <w:t xml:space="preserve"> </w:t>
      </w:r>
      <w:r>
        <w:rPr>
          <w:sz w:val="28"/>
          <w:szCs w:val="28"/>
        </w:rPr>
        <w:t xml:space="preserve">The Voluntary Bar </w:t>
      </w:r>
      <w:r w:rsidR="00C74483">
        <w:rPr>
          <w:sz w:val="28"/>
          <w:szCs w:val="28"/>
        </w:rPr>
        <w:t>would be authorized to offer services to anyone at any price, as a whole package</w:t>
      </w:r>
      <w:r>
        <w:rPr>
          <w:sz w:val="28"/>
          <w:szCs w:val="28"/>
        </w:rPr>
        <w:t xml:space="preserve"> or</w:t>
      </w:r>
      <w:r w:rsidR="00C74483">
        <w:rPr>
          <w:sz w:val="28"/>
          <w:szCs w:val="28"/>
        </w:rPr>
        <w:t xml:space="preserve"> in individual pieces, and at terms </w:t>
      </w:r>
      <w:r>
        <w:rPr>
          <w:sz w:val="28"/>
          <w:szCs w:val="28"/>
        </w:rPr>
        <w:t xml:space="preserve">favorable </w:t>
      </w:r>
      <w:r w:rsidR="00C74483">
        <w:rPr>
          <w:sz w:val="28"/>
          <w:szCs w:val="28"/>
        </w:rPr>
        <w:t xml:space="preserve">to “members” who had paid voluntary dues.  In other words, the Voluntary Bar would look and feel much like </w:t>
      </w:r>
      <w:r>
        <w:rPr>
          <w:sz w:val="28"/>
          <w:szCs w:val="28"/>
        </w:rPr>
        <w:t xml:space="preserve">many other </w:t>
      </w:r>
      <w:r w:rsidR="0084163E">
        <w:rPr>
          <w:sz w:val="28"/>
          <w:szCs w:val="28"/>
        </w:rPr>
        <w:t xml:space="preserve">voluntary professional membership organizations, in Arizona and around the country, to which lawyers and people of almost all other professions belong.  Such organizations can be highly successful and </w:t>
      </w:r>
      <w:r w:rsidR="000A6F2C">
        <w:rPr>
          <w:sz w:val="28"/>
          <w:szCs w:val="28"/>
        </w:rPr>
        <w:t xml:space="preserve">often are very </w:t>
      </w:r>
      <w:r w:rsidR="0084163E">
        <w:rPr>
          <w:sz w:val="28"/>
          <w:szCs w:val="28"/>
        </w:rPr>
        <w:t>well known, even outside the profession</w:t>
      </w:r>
      <w:r>
        <w:rPr>
          <w:sz w:val="28"/>
          <w:szCs w:val="28"/>
        </w:rPr>
        <w:t>,</w:t>
      </w:r>
      <w:r w:rsidR="0084163E">
        <w:rPr>
          <w:sz w:val="28"/>
          <w:szCs w:val="28"/>
        </w:rPr>
        <w:t xml:space="preserve"> if they serve their members (and often the general public) well.  </w:t>
      </w:r>
      <w:r w:rsidR="0084163E" w:rsidRPr="0084163E">
        <w:rPr>
          <w:i/>
          <w:sz w:val="28"/>
          <w:szCs w:val="28"/>
        </w:rPr>
        <w:t>See, e.g.</w:t>
      </w:r>
      <w:r w:rsidR="0084163E">
        <w:rPr>
          <w:sz w:val="28"/>
          <w:szCs w:val="28"/>
        </w:rPr>
        <w:t xml:space="preserve">, The American Bar Association; Petition at 8.  </w:t>
      </w:r>
      <w:r>
        <w:rPr>
          <w:sz w:val="28"/>
          <w:szCs w:val="28"/>
        </w:rPr>
        <w:t xml:space="preserve">I pay to belong to other voluntary membership organizations.  I support the Voluntary Bar provisions of the Petition.  </w:t>
      </w:r>
    </w:p>
    <w:p w:rsidR="00342C1B" w:rsidRDefault="00B66DC9" w:rsidP="00D91C83">
      <w:pPr>
        <w:pStyle w:val="StyleDBodyFLIndentLeft-013Firstline0"/>
        <w:spacing w:line="480" w:lineRule="auto"/>
        <w:ind w:left="0" w:firstLine="720"/>
        <w:jc w:val="left"/>
        <w:rPr>
          <w:sz w:val="28"/>
          <w:szCs w:val="28"/>
        </w:rPr>
      </w:pPr>
      <w:r>
        <w:rPr>
          <w:sz w:val="28"/>
          <w:szCs w:val="28"/>
        </w:rPr>
        <w:t>Finally, as I understand the Petition, it suggests a far more comprehensive financial reporting scheme by the Bar</w:t>
      </w:r>
      <w:r w:rsidR="003645B7">
        <w:rPr>
          <w:sz w:val="28"/>
          <w:szCs w:val="28"/>
        </w:rPr>
        <w:t xml:space="preserve"> than I pro</w:t>
      </w:r>
      <w:r>
        <w:rPr>
          <w:sz w:val="28"/>
          <w:szCs w:val="28"/>
        </w:rPr>
        <w:t>posed</w:t>
      </w:r>
      <w:r w:rsidR="003645B7">
        <w:rPr>
          <w:sz w:val="28"/>
          <w:szCs w:val="28"/>
        </w:rPr>
        <w:t xml:space="preserve"> back</w:t>
      </w:r>
      <w:r>
        <w:rPr>
          <w:sz w:val="28"/>
          <w:szCs w:val="28"/>
        </w:rPr>
        <w:t xml:space="preserve"> in 2017, on both the Mandatory and Voluntary sides, </w:t>
      </w:r>
      <w:r w:rsidR="003645B7">
        <w:rPr>
          <w:sz w:val="28"/>
          <w:szCs w:val="28"/>
        </w:rPr>
        <w:t xml:space="preserve">including auditing of expenditures to ensure the </w:t>
      </w:r>
      <w:r w:rsidR="003645B7">
        <w:rPr>
          <w:sz w:val="28"/>
          <w:szCs w:val="28"/>
        </w:rPr>
        <w:lastRenderedPageBreak/>
        <w:t>members know how their dues are being spent</w:t>
      </w:r>
      <w:r w:rsidR="00B606A5">
        <w:rPr>
          <w:sz w:val="28"/>
          <w:szCs w:val="28"/>
        </w:rPr>
        <w:t>.</w:t>
      </w:r>
      <w:r w:rsidR="00B47FCC">
        <w:rPr>
          <w:sz w:val="28"/>
          <w:szCs w:val="28"/>
        </w:rPr>
        <w:t xml:space="preserve">  I am not sure whether a voluntary organization should be forced by Court rule to account for its expenditures</w:t>
      </w:r>
      <w:r w:rsidR="00850CAD">
        <w:rPr>
          <w:sz w:val="28"/>
          <w:szCs w:val="28"/>
        </w:rPr>
        <w:t xml:space="preserve">.  If the members want that, they should have the right to demand it, or a right to leave the organization.  </w:t>
      </w:r>
    </w:p>
    <w:p w:rsidR="0079141D" w:rsidRDefault="00850CAD" w:rsidP="00D91C83">
      <w:pPr>
        <w:pStyle w:val="StyleDBodyFLIndentLeft-013Firstline0"/>
        <w:spacing w:line="480" w:lineRule="auto"/>
        <w:ind w:left="0" w:firstLine="720"/>
        <w:jc w:val="left"/>
        <w:rPr>
          <w:sz w:val="28"/>
          <w:szCs w:val="28"/>
        </w:rPr>
      </w:pPr>
      <w:r>
        <w:rPr>
          <w:sz w:val="28"/>
          <w:szCs w:val="28"/>
        </w:rPr>
        <w:t xml:space="preserve">The </w:t>
      </w:r>
      <w:r w:rsidR="008014EB">
        <w:rPr>
          <w:sz w:val="28"/>
          <w:szCs w:val="28"/>
        </w:rPr>
        <w:t>Mandatory Bar, however, must disclose to its members how their dues are spent.  We have no choice.  If we want to practice law, we must join the Mandatory Bar.</w:t>
      </w:r>
      <w:r w:rsidR="00F835E9">
        <w:rPr>
          <w:sz w:val="28"/>
          <w:szCs w:val="28"/>
        </w:rPr>
        <w:t xml:space="preserve">  Accountability to members and the public demands </w:t>
      </w:r>
      <w:r w:rsidR="00C93C69">
        <w:rPr>
          <w:sz w:val="28"/>
          <w:szCs w:val="28"/>
        </w:rPr>
        <w:t>full and complete disclosure</w:t>
      </w:r>
      <w:r w:rsidR="00F835E9">
        <w:rPr>
          <w:sz w:val="28"/>
          <w:szCs w:val="28"/>
        </w:rPr>
        <w:t xml:space="preserve"> of how member dues are used.  I support the audit the Mandatory Bar provisions of the Petition.</w:t>
      </w:r>
    </w:p>
    <w:p w:rsidR="0079141D" w:rsidRDefault="0079141D" w:rsidP="00D91C83">
      <w:pPr>
        <w:pStyle w:val="StyleDBodyFLIndentLeft-013Firstline0"/>
        <w:spacing w:line="480" w:lineRule="auto"/>
        <w:ind w:left="0" w:firstLine="720"/>
        <w:jc w:val="left"/>
        <w:rPr>
          <w:sz w:val="28"/>
          <w:szCs w:val="28"/>
        </w:rPr>
      </w:pPr>
      <w:r w:rsidRPr="0079141D">
        <w:rPr>
          <w:sz w:val="28"/>
          <w:szCs w:val="28"/>
        </w:rPr>
        <w:t xml:space="preserve">Much like the rest of the population, lawyers are people.  We have diverse beliefs and interests.  We are members of all political parties, and many of us are members of no party.  We are conservatives, liberals, and libertarians, among other things.  Some of us believe in small government, others would prefer that government take a larger role.  We have very diverse practices that rapidly are changing with the times.  What some lawyers do defined as the practice of law looks nothing like the practice of law done by someone else.  </w:t>
      </w:r>
      <w:r w:rsidR="007652B0">
        <w:rPr>
          <w:sz w:val="28"/>
          <w:szCs w:val="28"/>
        </w:rPr>
        <w:t>One size does not fit all.  Nevertheless, t</w:t>
      </w:r>
      <w:r>
        <w:rPr>
          <w:sz w:val="28"/>
          <w:szCs w:val="28"/>
        </w:rPr>
        <w:t>he State Bar c</w:t>
      </w:r>
      <w:r w:rsidR="007652B0">
        <w:rPr>
          <w:sz w:val="28"/>
          <w:szCs w:val="28"/>
        </w:rPr>
        <w:t>ould</w:t>
      </w:r>
      <w:r>
        <w:rPr>
          <w:sz w:val="28"/>
          <w:szCs w:val="28"/>
        </w:rPr>
        <w:t xml:space="preserve"> offer </w:t>
      </w:r>
      <w:r w:rsidR="007652B0">
        <w:rPr>
          <w:sz w:val="28"/>
          <w:szCs w:val="28"/>
        </w:rPr>
        <w:t>most</w:t>
      </w:r>
      <w:r>
        <w:rPr>
          <w:sz w:val="28"/>
          <w:szCs w:val="28"/>
        </w:rPr>
        <w:t xml:space="preserve"> of us something for which </w:t>
      </w:r>
      <w:r w:rsidR="007652B0">
        <w:rPr>
          <w:sz w:val="28"/>
          <w:szCs w:val="28"/>
        </w:rPr>
        <w:t>many</w:t>
      </w:r>
      <w:r>
        <w:rPr>
          <w:sz w:val="28"/>
          <w:szCs w:val="28"/>
        </w:rPr>
        <w:t xml:space="preserve"> would pay a fee, voluntarily, to receive services.  What it cannot do is compel every Arizona lawyer to fund every State Bar activity whether that lawyer agrees with them or not.  </w:t>
      </w:r>
      <w:r w:rsidRPr="0079141D">
        <w:rPr>
          <w:i/>
          <w:sz w:val="28"/>
          <w:szCs w:val="28"/>
        </w:rPr>
        <w:t>See</w:t>
      </w:r>
      <w:r>
        <w:rPr>
          <w:sz w:val="28"/>
          <w:szCs w:val="28"/>
        </w:rPr>
        <w:t xml:space="preserve"> Petition at 9.</w:t>
      </w:r>
    </w:p>
    <w:p w:rsidR="00C74483" w:rsidRDefault="0079141D" w:rsidP="007652B0">
      <w:pPr>
        <w:pStyle w:val="StyleDBodyFLIndentLeft-013Firstline0"/>
        <w:spacing w:line="480" w:lineRule="auto"/>
        <w:ind w:left="0" w:firstLine="720"/>
        <w:jc w:val="left"/>
        <w:rPr>
          <w:sz w:val="28"/>
          <w:szCs w:val="28"/>
        </w:rPr>
      </w:pPr>
      <w:r>
        <w:rPr>
          <w:sz w:val="28"/>
          <w:szCs w:val="28"/>
        </w:rPr>
        <w:lastRenderedPageBreak/>
        <w:t xml:space="preserve">Any suggestion that Arizona lawyers who are dissatisfied with State Bar </w:t>
      </w:r>
      <w:r w:rsidR="007652B0">
        <w:rPr>
          <w:sz w:val="28"/>
          <w:szCs w:val="28"/>
        </w:rPr>
        <w:t xml:space="preserve">lobbying </w:t>
      </w:r>
      <w:r>
        <w:rPr>
          <w:sz w:val="28"/>
          <w:szCs w:val="28"/>
        </w:rPr>
        <w:t xml:space="preserve">expenditures may take advantage of the so called “opt out rule” under </w:t>
      </w:r>
      <w:r w:rsidR="007652B0">
        <w:rPr>
          <w:sz w:val="28"/>
          <w:szCs w:val="28"/>
        </w:rPr>
        <w:t>Rule 32(c)(8), Rules of the Supreme Court, is absurd.  We are people living busy lives, representing clients, and doing everything else required in this modern 24/7 world.  Are the thousands of us admitted to the State Bar really expected to individually monitor the Bar and submit objections to expenditures with which we disagree?  Is there a more cumbersome rule</w:t>
      </w:r>
      <w:r w:rsidR="00C74483">
        <w:rPr>
          <w:sz w:val="28"/>
          <w:szCs w:val="28"/>
        </w:rPr>
        <w:t xml:space="preserve"> – calling for several thousand individual lawyer auditors</w:t>
      </w:r>
      <w:r w:rsidR="007652B0">
        <w:rPr>
          <w:sz w:val="28"/>
          <w:szCs w:val="28"/>
        </w:rPr>
        <w:t xml:space="preserve">?  </w:t>
      </w:r>
    </w:p>
    <w:p w:rsidR="0014348C" w:rsidRDefault="00B42EE0" w:rsidP="007652B0">
      <w:pPr>
        <w:pStyle w:val="StyleDBodyFLIndentLeft-013Firstline0"/>
        <w:spacing w:line="480" w:lineRule="auto"/>
        <w:ind w:left="0" w:firstLine="720"/>
        <w:jc w:val="left"/>
        <w:rPr>
          <w:sz w:val="28"/>
          <w:szCs w:val="28"/>
        </w:rPr>
      </w:pPr>
      <w:r>
        <w:rPr>
          <w:sz w:val="28"/>
          <w:szCs w:val="28"/>
        </w:rPr>
        <w:t>I believe, as I did in 2017, that t</w:t>
      </w:r>
      <w:r w:rsidR="007652B0">
        <w:rPr>
          <w:sz w:val="28"/>
          <w:szCs w:val="28"/>
        </w:rPr>
        <w:t xml:space="preserve">he long term viability of the </w:t>
      </w:r>
      <w:r>
        <w:rPr>
          <w:sz w:val="28"/>
          <w:szCs w:val="28"/>
        </w:rPr>
        <w:t xml:space="preserve">opt out </w:t>
      </w:r>
      <w:r w:rsidR="007652B0">
        <w:rPr>
          <w:sz w:val="28"/>
          <w:szCs w:val="28"/>
        </w:rPr>
        <w:t xml:space="preserve">rule is </w:t>
      </w:r>
      <w:r w:rsidR="00C74483">
        <w:rPr>
          <w:sz w:val="28"/>
          <w:szCs w:val="28"/>
        </w:rPr>
        <w:t>highly questionable, and the Court should recognize this</w:t>
      </w:r>
      <w:r w:rsidR="007652B0">
        <w:rPr>
          <w:sz w:val="28"/>
          <w:szCs w:val="28"/>
        </w:rPr>
        <w:t xml:space="preserve">.  </w:t>
      </w:r>
      <w:r w:rsidR="005B7ED6" w:rsidRPr="005B7ED6">
        <w:rPr>
          <w:i/>
          <w:sz w:val="28"/>
          <w:szCs w:val="28"/>
        </w:rPr>
        <w:t>Cf</w:t>
      </w:r>
      <w:r w:rsidR="00151E1F">
        <w:rPr>
          <w:sz w:val="28"/>
          <w:szCs w:val="28"/>
        </w:rPr>
        <w:t>.</w:t>
      </w:r>
      <w:r w:rsidR="005B7ED6">
        <w:rPr>
          <w:sz w:val="28"/>
          <w:szCs w:val="28"/>
        </w:rPr>
        <w:t xml:space="preserve"> </w:t>
      </w:r>
      <w:r w:rsidR="005B7ED6">
        <w:rPr>
          <w:i/>
          <w:sz w:val="28"/>
          <w:szCs w:val="28"/>
        </w:rPr>
        <w:t>Knox v. Serv. Employees Int'l. Union, Local 1000,</w:t>
      </w:r>
      <w:r w:rsidR="005B7ED6">
        <w:rPr>
          <w:sz w:val="28"/>
          <w:szCs w:val="28"/>
        </w:rPr>
        <w:t xml:space="preserve"> 132 S. Ct. 2277, 2292-93 (2012) (</w:t>
      </w:r>
      <w:r w:rsidR="007652B0">
        <w:rPr>
          <w:sz w:val="28"/>
          <w:szCs w:val="28"/>
        </w:rPr>
        <w:t>“As we have recognized, the First Amendment does not permit a union to extract a loan from unwilling nonmembers even if the money is later paid back in full.”</w:t>
      </w:r>
      <w:r w:rsidR="00DC65E2">
        <w:rPr>
          <w:sz w:val="28"/>
          <w:szCs w:val="28"/>
        </w:rPr>
        <w:t>)</w:t>
      </w:r>
      <w:r w:rsidR="00151E1F">
        <w:rPr>
          <w:sz w:val="28"/>
          <w:szCs w:val="28"/>
        </w:rPr>
        <w:t xml:space="preserve">.  </w:t>
      </w:r>
    </w:p>
    <w:p w:rsidR="005B7ED6" w:rsidRPr="005B7ED6" w:rsidRDefault="00151E1F" w:rsidP="006632D7">
      <w:pPr>
        <w:pStyle w:val="StyleDBodyFLIndentLeft-013Firstline0"/>
        <w:spacing w:line="480" w:lineRule="auto"/>
        <w:ind w:left="0" w:firstLine="720"/>
        <w:rPr>
          <w:sz w:val="28"/>
          <w:szCs w:val="28"/>
        </w:rPr>
      </w:pPr>
      <w:r>
        <w:rPr>
          <w:sz w:val="28"/>
          <w:szCs w:val="28"/>
        </w:rPr>
        <w:t>The fact that State Bar members are “member</w:t>
      </w:r>
      <w:r w:rsidR="0014348C">
        <w:rPr>
          <w:sz w:val="28"/>
          <w:szCs w:val="28"/>
        </w:rPr>
        <w:t>s,”</w:t>
      </w:r>
      <w:r>
        <w:rPr>
          <w:sz w:val="28"/>
          <w:szCs w:val="28"/>
        </w:rPr>
        <w:t xml:space="preserve"> no</w:t>
      </w:r>
      <w:r w:rsidR="0014348C">
        <w:rPr>
          <w:sz w:val="28"/>
          <w:szCs w:val="28"/>
        </w:rPr>
        <w:t>t</w:t>
      </w:r>
      <w:r>
        <w:rPr>
          <w:sz w:val="28"/>
          <w:szCs w:val="28"/>
        </w:rPr>
        <w:t xml:space="preserve"> </w:t>
      </w:r>
      <w:r w:rsidR="0014348C">
        <w:rPr>
          <w:sz w:val="28"/>
          <w:szCs w:val="28"/>
        </w:rPr>
        <w:t xml:space="preserve">the </w:t>
      </w:r>
      <w:r>
        <w:rPr>
          <w:sz w:val="28"/>
          <w:szCs w:val="28"/>
        </w:rPr>
        <w:t>“no</w:t>
      </w:r>
      <w:r w:rsidR="0014348C">
        <w:rPr>
          <w:sz w:val="28"/>
          <w:szCs w:val="28"/>
        </w:rPr>
        <w:t>n</w:t>
      </w:r>
      <w:r>
        <w:rPr>
          <w:sz w:val="28"/>
          <w:szCs w:val="28"/>
        </w:rPr>
        <w:t>members</w:t>
      </w:r>
      <w:r w:rsidR="0014348C">
        <w:rPr>
          <w:sz w:val="28"/>
          <w:szCs w:val="28"/>
        </w:rPr>
        <w:t xml:space="preserve">” protected under </w:t>
      </w:r>
      <w:r w:rsidR="0014348C" w:rsidRPr="0014348C">
        <w:rPr>
          <w:i/>
          <w:sz w:val="28"/>
          <w:szCs w:val="28"/>
        </w:rPr>
        <w:t>Knox</w:t>
      </w:r>
      <w:r w:rsidR="0014348C">
        <w:rPr>
          <w:sz w:val="28"/>
          <w:szCs w:val="28"/>
        </w:rPr>
        <w:t>,</w:t>
      </w:r>
      <w:r w:rsidR="007652B0">
        <w:rPr>
          <w:sz w:val="28"/>
          <w:szCs w:val="28"/>
        </w:rPr>
        <w:t xml:space="preserve"> </w:t>
      </w:r>
      <w:r w:rsidR="00967955">
        <w:rPr>
          <w:sz w:val="28"/>
          <w:szCs w:val="28"/>
        </w:rPr>
        <w:t>is a distinction of questionable significance.  “</w:t>
      </w:r>
      <w:r w:rsidR="00967955" w:rsidRPr="00967955">
        <w:rPr>
          <w:sz w:val="28"/>
          <w:szCs w:val="28"/>
        </w:rPr>
        <w:t>The right to eschew association for expressive purposes is likewise protected.</w:t>
      </w:r>
      <w:r w:rsidR="00967955">
        <w:rPr>
          <w:sz w:val="28"/>
          <w:szCs w:val="28"/>
        </w:rPr>
        <w:t xml:space="preserve">”  </w:t>
      </w:r>
      <w:r w:rsidR="00967955" w:rsidRPr="00967955">
        <w:rPr>
          <w:i/>
          <w:sz w:val="28"/>
          <w:szCs w:val="28"/>
        </w:rPr>
        <w:t xml:space="preserve">Janus v. Am. </w:t>
      </w:r>
      <w:proofErr w:type="spellStart"/>
      <w:r w:rsidR="00967955" w:rsidRPr="00967955">
        <w:rPr>
          <w:i/>
          <w:sz w:val="28"/>
          <w:szCs w:val="28"/>
        </w:rPr>
        <w:t>Fed'n</w:t>
      </w:r>
      <w:proofErr w:type="spellEnd"/>
      <w:r w:rsidR="00967955" w:rsidRPr="00967955">
        <w:rPr>
          <w:i/>
          <w:sz w:val="28"/>
          <w:szCs w:val="28"/>
        </w:rPr>
        <w:t xml:space="preserve"> of State, County, &amp; </w:t>
      </w:r>
      <w:proofErr w:type="spellStart"/>
      <w:r w:rsidR="00967955" w:rsidRPr="00967955">
        <w:rPr>
          <w:i/>
          <w:sz w:val="28"/>
          <w:szCs w:val="28"/>
        </w:rPr>
        <w:t>Mun</w:t>
      </w:r>
      <w:proofErr w:type="spellEnd"/>
      <w:r w:rsidR="00967955" w:rsidRPr="00967955">
        <w:rPr>
          <w:i/>
          <w:sz w:val="28"/>
          <w:szCs w:val="28"/>
        </w:rPr>
        <w:t>. Employees, Council 31</w:t>
      </w:r>
      <w:r w:rsidR="00967955" w:rsidRPr="00967955">
        <w:rPr>
          <w:sz w:val="28"/>
          <w:szCs w:val="28"/>
        </w:rPr>
        <w:t>, 138 S. Ct. 2448, 2463 (2018)</w:t>
      </w:r>
      <w:r w:rsidR="006D0D74">
        <w:rPr>
          <w:sz w:val="28"/>
          <w:szCs w:val="28"/>
        </w:rPr>
        <w:t>.  “</w:t>
      </w:r>
      <w:r w:rsidR="005B7ED6" w:rsidRPr="005B7ED6">
        <w:rPr>
          <w:sz w:val="28"/>
          <w:szCs w:val="28"/>
        </w:rPr>
        <w:t>Compelling individuals to mouth support for views they find objectionable violates that cardinal constitutional command</w:t>
      </w:r>
      <w:r w:rsidR="00C70281">
        <w:rPr>
          <w:sz w:val="28"/>
          <w:szCs w:val="28"/>
        </w:rPr>
        <w:t xml:space="preserve"> . . . .”  </w:t>
      </w:r>
      <w:r w:rsidR="00C70281" w:rsidRPr="00C70281">
        <w:rPr>
          <w:i/>
          <w:sz w:val="28"/>
          <w:szCs w:val="28"/>
        </w:rPr>
        <w:t>Id</w:t>
      </w:r>
      <w:r w:rsidR="00C70281">
        <w:rPr>
          <w:sz w:val="28"/>
          <w:szCs w:val="28"/>
        </w:rPr>
        <w:t xml:space="preserve">.  The simple answer is not a rule, as we have now, compelling everyone to join the Bar for all purposes.  The </w:t>
      </w:r>
      <w:r w:rsidR="00C70281">
        <w:rPr>
          <w:sz w:val="28"/>
          <w:szCs w:val="28"/>
        </w:rPr>
        <w:lastRenderedPageBreak/>
        <w:t>constitutionally correct answer is a Voluntary Bar.</w:t>
      </w:r>
    </w:p>
    <w:p w:rsidR="0048144F" w:rsidRDefault="00206F89" w:rsidP="00C16361">
      <w:pPr>
        <w:pStyle w:val="StyleDBodyFLIndentLeft-013Firstline0"/>
        <w:spacing w:line="480" w:lineRule="auto"/>
        <w:ind w:left="0" w:firstLine="720"/>
        <w:rPr>
          <w:sz w:val="28"/>
          <w:szCs w:val="28"/>
        </w:rPr>
      </w:pPr>
      <w:r>
        <w:rPr>
          <w:sz w:val="28"/>
          <w:szCs w:val="28"/>
        </w:rPr>
        <w:t>Whatever it may cost to maintain a Mandatory Bar</w:t>
      </w:r>
      <w:r w:rsidR="00356EAE">
        <w:rPr>
          <w:sz w:val="28"/>
          <w:szCs w:val="28"/>
        </w:rPr>
        <w:t>,</w:t>
      </w:r>
      <w:r>
        <w:rPr>
          <w:sz w:val="28"/>
          <w:szCs w:val="28"/>
        </w:rPr>
        <w:t xml:space="preserve"> as proposed in the Petition, appears to be something the members will have to bear.  </w:t>
      </w:r>
      <w:r w:rsidR="00D12229">
        <w:rPr>
          <w:sz w:val="28"/>
          <w:szCs w:val="28"/>
        </w:rPr>
        <w:t xml:space="preserve">But there must be a full and complete accounting of that cost.  </w:t>
      </w:r>
      <w:r w:rsidR="0048144F">
        <w:rPr>
          <w:sz w:val="28"/>
          <w:szCs w:val="28"/>
        </w:rPr>
        <w:t>The current system does not accomplish this.</w:t>
      </w:r>
    </w:p>
    <w:p w:rsidR="00A26D67" w:rsidRPr="00A26D67" w:rsidRDefault="0048144F" w:rsidP="00C16361">
      <w:pPr>
        <w:pStyle w:val="StyleDBodyFLIndentLeft-013Firstline0"/>
        <w:spacing w:line="480" w:lineRule="auto"/>
        <w:ind w:left="0" w:firstLine="720"/>
        <w:rPr>
          <w:sz w:val="28"/>
          <w:szCs w:val="28"/>
        </w:rPr>
      </w:pPr>
      <w:r>
        <w:rPr>
          <w:sz w:val="28"/>
          <w:szCs w:val="28"/>
        </w:rPr>
        <w:t>For example, t</w:t>
      </w:r>
      <w:r w:rsidR="00A26D67">
        <w:rPr>
          <w:sz w:val="28"/>
          <w:szCs w:val="28"/>
        </w:rPr>
        <w:t xml:space="preserve">he Petition lists the </w:t>
      </w:r>
      <w:r w:rsidR="00725686">
        <w:rPr>
          <w:sz w:val="28"/>
          <w:szCs w:val="28"/>
        </w:rPr>
        <w:t>current annual fees paid by State Bar members</w:t>
      </w:r>
      <w:r w:rsidR="00D215A8">
        <w:rPr>
          <w:sz w:val="28"/>
          <w:szCs w:val="28"/>
        </w:rPr>
        <w:t>,</w:t>
      </w:r>
      <w:r w:rsidR="00725686">
        <w:rPr>
          <w:sz w:val="28"/>
          <w:szCs w:val="28"/>
        </w:rPr>
        <w:t xml:space="preserve"> based on </w:t>
      </w:r>
      <w:r w:rsidR="00A26D67" w:rsidRPr="00A26D67">
        <w:rPr>
          <w:sz w:val="28"/>
          <w:szCs w:val="28"/>
        </w:rPr>
        <w:t xml:space="preserve">the special category </w:t>
      </w:r>
      <w:r w:rsidR="00725686">
        <w:rPr>
          <w:sz w:val="28"/>
          <w:szCs w:val="28"/>
        </w:rPr>
        <w:t>to</w:t>
      </w:r>
      <w:r w:rsidR="00A26D67" w:rsidRPr="00A26D67">
        <w:rPr>
          <w:sz w:val="28"/>
          <w:szCs w:val="28"/>
        </w:rPr>
        <w:t xml:space="preserve"> which </w:t>
      </w:r>
      <w:r w:rsidR="00725686">
        <w:rPr>
          <w:sz w:val="28"/>
          <w:szCs w:val="28"/>
        </w:rPr>
        <w:t>each</w:t>
      </w:r>
      <w:r w:rsidR="00A26D67" w:rsidRPr="00A26D67">
        <w:rPr>
          <w:sz w:val="28"/>
          <w:szCs w:val="28"/>
        </w:rPr>
        <w:t xml:space="preserve"> member belongs</w:t>
      </w:r>
      <w:r w:rsidR="00D215A8">
        <w:rPr>
          <w:sz w:val="28"/>
          <w:szCs w:val="28"/>
        </w:rPr>
        <w:t>,</w:t>
      </w:r>
      <w:r w:rsidR="00725686">
        <w:rPr>
          <w:sz w:val="28"/>
          <w:szCs w:val="28"/>
        </w:rPr>
        <w:t xml:space="preserve"> as follows</w:t>
      </w:r>
      <w:r w:rsidR="00A26D67" w:rsidRPr="00A26D67">
        <w:rPr>
          <w:sz w:val="28"/>
          <w:szCs w:val="28"/>
        </w:rPr>
        <w:t>:</w:t>
      </w:r>
    </w:p>
    <w:p w:rsidR="00A26D67" w:rsidRPr="00A26D67" w:rsidRDefault="00A26D67" w:rsidP="00D215A8">
      <w:pPr>
        <w:pStyle w:val="StyleDBodyFLIndentLeft-013Firstline0"/>
        <w:numPr>
          <w:ilvl w:val="0"/>
          <w:numId w:val="24"/>
        </w:numPr>
        <w:spacing w:line="480" w:lineRule="auto"/>
        <w:rPr>
          <w:sz w:val="28"/>
          <w:szCs w:val="28"/>
        </w:rPr>
      </w:pPr>
      <w:r w:rsidRPr="00A26D67">
        <w:rPr>
          <w:sz w:val="28"/>
          <w:szCs w:val="28"/>
        </w:rPr>
        <w:t>Active members: $505</w:t>
      </w:r>
    </w:p>
    <w:p w:rsidR="00A26D67" w:rsidRPr="00A26D67" w:rsidRDefault="00A26D67" w:rsidP="00D215A8">
      <w:pPr>
        <w:pStyle w:val="StyleDBodyFLIndentLeft-013Firstline0"/>
        <w:numPr>
          <w:ilvl w:val="0"/>
          <w:numId w:val="24"/>
        </w:numPr>
        <w:spacing w:line="480" w:lineRule="auto"/>
        <w:rPr>
          <w:sz w:val="28"/>
          <w:szCs w:val="28"/>
        </w:rPr>
      </w:pPr>
      <w:r w:rsidRPr="00A26D67">
        <w:rPr>
          <w:sz w:val="28"/>
          <w:szCs w:val="28"/>
        </w:rPr>
        <w:t>Active members admitted fewer than three years: $345</w:t>
      </w:r>
    </w:p>
    <w:p w:rsidR="00A26D67" w:rsidRPr="00A26D67" w:rsidRDefault="00A26D67" w:rsidP="00D215A8">
      <w:pPr>
        <w:pStyle w:val="StyleDBodyFLIndentLeft-013Firstline0"/>
        <w:numPr>
          <w:ilvl w:val="0"/>
          <w:numId w:val="24"/>
        </w:numPr>
        <w:spacing w:line="480" w:lineRule="auto"/>
        <w:rPr>
          <w:sz w:val="28"/>
          <w:szCs w:val="28"/>
        </w:rPr>
      </w:pPr>
      <w:r w:rsidRPr="00A26D67">
        <w:rPr>
          <w:sz w:val="28"/>
          <w:szCs w:val="28"/>
        </w:rPr>
        <w:t>Inactive members: $265</w:t>
      </w:r>
    </w:p>
    <w:p w:rsidR="00A26D67" w:rsidRPr="00A26D67" w:rsidRDefault="00A26D67" w:rsidP="00D215A8">
      <w:pPr>
        <w:pStyle w:val="StyleDBodyFLIndentLeft-013Firstline0"/>
        <w:numPr>
          <w:ilvl w:val="0"/>
          <w:numId w:val="24"/>
        </w:numPr>
        <w:spacing w:line="480" w:lineRule="auto"/>
        <w:rPr>
          <w:sz w:val="28"/>
          <w:szCs w:val="28"/>
        </w:rPr>
      </w:pPr>
      <w:r w:rsidRPr="00A26D67">
        <w:rPr>
          <w:sz w:val="28"/>
          <w:szCs w:val="28"/>
        </w:rPr>
        <w:t>Retired members: $215</w:t>
      </w:r>
    </w:p>
    <w:p w:rsidR="00A26D67" w:rsidRPr="00A26D67" w:rsidRDefault="00A26D67" w:rsidP="00D215A8">
      <w:pPr>
        <w:pStyle w:val="StyleDBodyFLIndentLeft-013Firstline0"/>
        <w:numPr>
          <w:ilvl w:val="0"/>
          <w:numId w:val="24"/>
        </w:numPr>
        <w:spacing w:line="480" w:lineRule="auto"/>
        <w:rPr>
          <w:sz w:val="28"/>
          <w:szCs w:val="28"/>
        </w:rPr>
      </w:pPr>
      <w:r w:rsidRPr="00A26D67">
        <w:rPr>
          <w:sz w:val="28"/>
          <w:szCs w:val="28"/>
        </w:rPr>
        <w:t>Judicial members: $340</w:t>
      </w:r>
    </w:p>
    <w:p w:rsidR="00A26D67" w:rsidRPr="00A26D67" w:rsidRDefault="00A26D67" w:rsidP="00D215A8">
      <w:pPr>
        <w:pStyle w:val="StyleDBodyFLIndentLeft-013Firstline0"/>
        <w:numPr>
          <w:ilvl w:val="0"/>
          <w:numId w:val="24"/>
        </w:numPr>
        <w:spacing w:line="480" w:lineRule="auto"/>
        <w:rPr>
          <w:sz w:val="28"/>
          <w:szCs w:val="28"/>
        </w:rPr>
      </w:pPr>
      <w:r w:rsidRPr="00A26D67">
        <w:rPr>
          <w:sz w:val="28"/>
          <w:szCs w:val="28"/>
        </w:rPr>
        <w:t>In-house counsel: $379</w:t>
      </w:r>
    </w:p>
    <w:p w:rsidR="0079141D" w:rsidRDefault="00A26D67" w:rsidP="00D215A8">
      <w:pPr>
        <w:pStyle w:val="StyleDBodyFLIndentLeft-013Firstline0"/>
        <w:numPr>
          <w:ilvl w:val="0"/>
          <w:numId w:val="24"/>
        </w:numPr>
        <w:spacing w:line="480" w:lineRule="auto"/>
        <w:rPr>
          <w:sz w:val="28"/>
          <w:szCs w:val="28"/>
        </w:rPr>
      </w:pPr>
      <w:r w:rsidRPr="00A26D67">
        <w:rPr>
          <w:sz w:val="28"/>
          <w:szCs w:val="28"/>
        </w:rPr>
        <w:t>In-house counsel admitted fewer than three years: $259</w:t>
      </w:r>
    </w:p>
    <w:p w:rsidR="0079141D" w:rsidRDefault="0048144F" w:rsidP="00C16361">
      <w:pPr>
        <w:pStyle w:val="StyleDBodyFLIndentLeft-013Firstline0"/>
        <w:spacing w:line="480" w:lineRule="auto"/>
        <w:ind w:left="0" w:firstLine="0"/>
        <w:jc w:val="left"/>
        <w:rPr>
          <w:sz w:val="28"/>
          <w:szCs w:val="28"/>
        </w:rPr>
      </w:pPr>
      <w:r w:rsidRPr="0048144F">
        <w:rPr>
          <w:i/>
          <w:sz w:val="28"/>
          <w:szCs w:val="28"/>
        </w:rPr>
        <w:t>See</w:t>
      </w:r>
      <w:r>
        <w:rPr>
          <w:sz w:val="28"/>
          <w:szCs w:val="28"/>
        </w:rPr>
        <w:t xml:space="preserve"> Petition at </w:t>
      </w:r>
      <w:r w:rsidR="006632D7">
        <w:rPr>
          <w:sz w:val="28"/>
          <w:szCs w:val="28"/>
        </w:rPr>
        <w:t xml:space="preserve">4.  </w:t>
      </w:r>
    </w:p>
    <w:p w:rsidR="0079141D" w:rsidRDefault="00926EF0" w:rsidP="00C16361">
      <w:pPr>
        <w:pStyle w:val="StyleDBodyFLIndentLeft-013Firstline0"/>
        <w:spacing w:line="480" w:lineRule="auto"/>
        <w:ind w:left="0" w:firstLine="720"/>
        <w:jc w:val="left"/>
        <w:rPr>
          <w:sz w:val="28"/>
          <w:szCs w:val="28"/>
        </w:rPr>
      </w:pPr>
      <w:r>
        <w:rPr>
          <w:sz w:val="28"/>
          <w:szCs w:val="28"/>
        </w:rPr>
        <w:t xml:space="preserve">I understand why some members can and may be asked to pay more than other members.  The level of services provided to them and differing levels of need to protect the public are two immediately obvious differentiators.  </w:t>
      </w:r>
      <w:r w:rsidR="00481C60">
        <w:rPr>
          <w:sz w:val="28"/>
          <w:szCs w:val="28"/>
        </w:rPr>
        <w:t>But what is it about inactive members that requires them to pay $265 per year to essentially keep their names on a list of inactive members</w:t>
      </w:r>
      <w:r w:rsidR="00CD3901">
        <w:rPr>
          <w:sz w:val="28"/>
          <w:szCs w:val="28"/>
        </w:rPr>
        <w:t xml:space="preserve">?  What about retired members paying </w:t>
      </w:r>
      <w:r w:rsidR="00CD3901">
        <w:rPr>
          <w:sz w:val="28"/>
          <w:szCs w:val="28"/>
        </w:rPr>
        <w:lastRenderedPageBreak/>
        <w:t xml:space="preserve">$215 per year for the same extremely limited benefit?  </w:t>
      </w:r>
      <w:r w:rsidR="003E6843">
        <w:rPr>
          <w:sz w:val="28"/>
          <w:szCs w:val="28"/>
        </w:rPr>
        <w:t>There truly should be more accountability to all members.</w:t>
      </w:r>
    </w:p>
    <w:p w:rsidR="00B312B2" w:rsidRPr="00A80A95" w:rsidRDefault="00A80A95" w:rsidP="00F9785E">
      <w:pPr>
        <w:pStyle w:val="StyleDBodyFLIndentLeft-013Firstline0"/>
        <w:numPr>
          <w:ilvl w:val="0"/>
          <w:numId w:val="22"/>
        </w:numPr>
        <w:spacing w:line="480" w:lineRule="auto"/>
        <w:ind w:left="360" w:firstLine="0"/>
        <w:jc w:val="left"/>
        <w:rPr>
          <w:b/>
          <w:sz w:val="28"/>
          <w:szCs w:val="28"/>
        </w:rPr>
      </w:pPr>
      <w:bookmarkStart w:id="7" w:name="ResDated"/>
      <w:r w:rsidRPr="00A80A95">
        <w:rPr>
          <w:b/>
          <w:sz w:val="28"/>
          <w:szCs w:val="28"/>
        </w:rPr>
        <w:t>Conclusion</w:t>
      </w:r>
      <w:r w:rsidR="00B312B2" w:rsidRPr="00A80A95">
        <w:rPr>
          <w:b/>
          <w:sz w:val="28"/>
          <w:szCs w:val="28"/>
        </w:rPr>
        <w:t>.</w:t>
      </w:r>
    </w:p>
    <w:p w:rsidR="00A80A95" w:rsidRPr="00AD156D" w:rsidRDefault="00A80A95" w:rsidP="00F9785E">
      <w:pPr>
        <w:spacing w:line="480" w:lineRule="auto"/>
        <w:ind w:firstLine="720"/>
        <w:jc w:val="both"/>
        <w:rPr>
          <w:sz w:val="28"/>
          <w:szCs w:val="28"/>
        </w:rPr>
      </w:pPr>
      <w:r>
        <w:rPr>
          <w:sz w:val="28"/>
          <w:szCs w:val="28"/>
        </w:rPr>
        <w:t xml:space="preserve">For the foregoing reasons, </w:t>
      </w:r>
      <w:r w:rsidR="008B5697">
        <w:rPr>
          <w:sz w:val="28"/>
          <w:szCs w:val="28"/>
        </w:rPr>
        <w:t xml:space="preserve">I support the request of </w:t>
      </w:r>
      <w:r>
        <w:rPr>
          <w:sz w:val="28"/>
          <w:szCs w:val="28"/>
        </w:rPr>
        <w:t>Petitioner</w:t>
      </w:r>
      <w:r w:rsidR="001844A1">
        <w:rPr>
          <w:sz w:val="28"/>
          <w:szCs w:val="28"/>
        </w:rPr>
        <w:t>s</w:t>
      </w:r>
      <w:r>
        <w:rPr>
          <w:sz w:val="28"/>
          <w:szCs w:val="28"/>
        </w:rPr>
        <w:t xml:space="preserve"> </w:t>
      </w:r>
      <w:r w:rsidR="008B5697">
        <w:rPr>
          <w:sz w:val="28"/>
          <w:szCs w:val="28"/>
        </w:rPr>
        <w:t>that</w:t>
      </w:r>
      <w:r>
        <w:rPr>
          <w:sz w:val="28"/>
          <w:szCs w:val="28"/>
        </w:rPr>
        <w:t xml:space="preserve"> this Court </w:t>
      </w:r>
      <w:r w:rsidRPr="00867635">
        <w:rPr>
          <w:sz w:val="28"/>
          <w:szCs w:val="28"/>
        </w:rPr>
        <w:t>adopt amendments to Rule 32</w:t>
      </w:r>
      <w:r w:rsidR="008D1D82">
        <w:rPr>
          <w:sz w:val="28"/>
          <w:szCs w:val="28"/>
        </w:rPr>
        <w:t>(c)</w:t>
      </w:r>
      <w:r w:rsidR="00F9785E">
        <w:rPr>
          <w:sz w:val="28"/>
          <w:szCs w:val="28"/>
        </w:rPr>
        <w:t xml:space="preserve"> and (d)</w:t>
      </w:r>
      <w:r w:rsidRPr="00867635">
        <w:rPr>
          <w:sz w:val="28"/>
          <w:szCs w:val="28"/>
        </w:rPr>
        <w:t>, Rules of the Supreme Court</w:t>
      </w:r>
      <w:r>
        <w:rPr>
          <w:sz w:val="28"/>
          <w:szCs w:val="28"/>
        </w:rPr>
        <w:t xml:space="preserve">.  </w:t>
      </w:r>
    </w:p>
    <w:p w:rsidR="00856900" w:rsidRPr="00F430EE" w:rsidRDefault="00856900" w:rsidP="00A80A95">
      <w:pPr>
        <w:pStyle w:val="DBodyFLIndent"/>
        <w:spacing w:line="480" w:lineRule="auto"/>
        <w:rPr>
          <w:sz w:val="28"/>
          <w:szCs w:val="28"/>
        </w:rPr>
      </w:pPr>
      <w:r w:rsidRPr="00F430EE">
        <w:rPr>
          <w:sz w:val="28"/>
          <w:szCs w:val="28"/>
        </w:rPr>
        <w:fldChar w:fldCharType="begin"/>
      </w:r>
      <w:r w:rsidRPr="00F430EE">
        <w:rPr>
          <w:sz w:val="28"/>
          <w:szCs w:val="28"/>
        </w:rPr>
        <w:instrText xml:space="preserve"> AUTOTEXTLIST   \s SHDateOpt \t "Right-click to choose from the list"  \* MERGEFORMAT </w:instrText>
      </w:r>
      <w:r w:rsidRPr="00F430EE">
        <w:rPr>
          <w:sz w:val="28"/>
          <w:szCs w:val="28"/>
        </w:rPr>
        <w:fldChar w:fldCharType="separate"/>
      </w:r>
      <w:r w:rsidRPr="00F430EE">
        <w:rPr>
          <w:sz w:val="28"/>
          <w:szCs w:val="28"/>
        </w:rPr>
        <w:t xml:space="preserve">RESPECTFULLY SUBMITTED: </w:t>
      </w:r>
      <w:r w:rsidRPr="00F430EE">
        <w:rPr>
          <w:sz w:val="28"/>
          <w:szCs w:val="28"/>
        </w:rPr>
        <w:fldChar w:fldCharType="end"/>
      </w:r>
      <w:bookmarkEnd w:id="7"/>
      <w:r w:rsidR="008B5697">
        <w:rPr>
          <w:sz w:val="28"/>
          <w:szCs w:val="28"/>
        </w:rPr>
        <w:t xml:space="preserve"> May 1, 2019</w:t>
      </w:r>
      <w:r w:rsidR="00595F87">
        <w:rPr>
          <w:sz w:val="28"/>
          <w:szCs w:val="28"/>
        </w:rPr>
        <w:t>.</w:t>
      </w:r>
    </w:p>
    <w:p w:rsidR="00856900" w:rsidRPr="00F430EE" w:rsidRDefault="00856900" w:rsidP="00A80A95">
      <w:pPr>
        <w:tabs>
          <w:tab w:val="left" w:pos="9180"/>
        </w:tabs>
        <w:spacing w:line="240" w:lineRule="auto"/>
        <w:ind w:left="3960"/>
        <w:outlineLvl w:val="0"/>
        <w:rPr>
          <w:sz w:val="28"/>
          <w:szCs w:val="28"/>
        </w:rPr>
      </w:pPr>
      <w:r w:rsidRPr="00F430EE">
        <w:rPr>
          <w:sz w:val="28"/>
          <w:szCs w:val="28"/>
        </w:rPr>
        <w:t>By</w:t>
      </w:r>
      <w:r w:rsidRPr="00F430EE">
        <w:rPr>
          <w:sz w:val="28"/>
          <w:szCs w:val="28"/>
          <w:u w:val="single"/>
        </w:rPr>
        <w:t xml:space="preserve"> /</w:t>
      </w:r>
      <w:r w:rsidR="00595F87">
        <w:rPr>
          <w:i/>
          <w:sz w:val="28"/>
          <w:szCs w:val="28"/>
          <w:u w:val="single"/>
        </w:rPr>
        <w:t>s/ Gregory W. Falls</w:t>
      </w:r>
      <w:r w:rsidRPr="00F430EE">
        <w:rPr>
          <w:sz w:val="28"/>
          <w:szCs w:val="28"/>
          <w:u w:val="single"/>
        </w:rPr>
        <w:tab/>
      </w:r>
    </w:p>
    <w:p w:rsidR="00856900" w:rsidRPr="00F430EE" w:rsidRDefault="00856900" w:rsidP="00A80A95">
      <w:pPr>
        <w:pStyle w:val="SigBlock2"/>
        <w:keepNext w:val="0"/>
        <w:spacing w:line="240" w:lineRule="auto"/>
        <w:rPr>
          <w:sz w:val="28"/>
          <w:szCs w:val="28"/>
        </w:rPr>
      </w:pPr>
      <w:bookmarkStart w:id="8" w:name="Atty1Sig"/>
      <w:r w:rsidRPr="00F430EE">
        <w:rPr>
          <w:sz w:val="28"/>
          <w:szCs w:val="28"/>
        </w:rPr>
        <w:t>Gregory W. Falls</w:t>
      </w:r>
    </w:p>
    <w:p w:rsidR="00A80A95" w:rsidRPr="00A80A95" w:rsidRDefault="00A80A95" w:rsidP="00A80A95">
      <w:pPr>
        <w:pStyle w:val="SigBlock2"/>
        <w:spacing w:line="240" w:lineRule="auto"/>
        <w:rPr>
          <w:sz w:val="28"/>
          <w:szCs w:val="28"/>
        </w:rPr>
      </w:pPr>
      <w:bookmarkStart w:id="9" w:name="Address2"/>
      <w:bookmarkEnd w:id="8"/>
      <w:r w:rsidRPr="00A80A95">
        <w:rPr>
          <w:sz w:val="28"/>
          <w:szCs w:val="28"/>
        </w:rPr>
        <w:t>Sherman &amp; Howard L.L.C.</w:t>
      </w:r>
    </w:p>
    <w:p w:rsidR="00A80A95" w:rsidRPr="00A80A95" w:rsidRDefault="00A80A95" w:rsidP="00A80A95">
      <w:pPr>
        <w:pStyle w:val="SigBlock2"/>
        <w:spacing w:line="240" w:lineRule="auto"/>
        <w:rPr>
          <w:sz w:val="28"/>
          <w:szCs w:val="28"/>
        </w:rPr>
      </w:pPr>
      <w:r w:rsidRPr="00A80A95">
        <w:rPr>
          <w:sz w:val="28"/>
          <w:szCs w:val="28"/>
        </w:rPr>
        <w:t>201 East Washington Street, Suite 800</w:t>
      </w:r>
    </w:p>
    <w:p w:rsidR="00856900" w:rsidRPr="00F430EE" w:rsidRDefault="00A80A95" w:rsidP="00A80A95">
      <w:pPr>
        <w:pStyle w:val="SigBlock2"/>
        <w:keepNext w:val="0"/>
        <w:spacing w:line="240" w:lineRule="auto"/>
        <w:rPr>
          <w:sz w:val="28"/>
          <w:szCs w:val="28"/>
        </w:rPr>
      </w:pPr>
      <w:r w:rsidRPr="00A80A95">
        <w:rPr>
          <w:sz w:val="28"/>
          <w:szCs w:val="28"/>
        </w:rPr>
        <w:t>Phoenix, Arizona 85004-2327</w:t>
      </w:r>
      <w:bookmarkEnd w:id="9"/>
    </w:p>
    <w:sectPr w:rsidR="00856900" w:rsidRPr="00F430EE" w:rsidSect="00ED39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86" w:rsidRDefault="00045086">
      <w:r>
        <w:separator/>
      </w:r>
    </w:p>
  </w:endnote>
  <w:endnote w:type="continuationSeparator" w:id="0">
    <w:p w:rsidR="00045086" w:rsidRDefault="0004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8E" w:rsidRDefault="00116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658E" w:rsidRDefault="00116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8E" w:rsidRDefault="00116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FE9">
      <w:rPr>
        <w:rStyle w:val="PageNumber"/>
        <w:noProof/>
      </w:rPr>
      <w:t>7</w:t>
    </w:r>
    <w:r>
      <w:rPr>
        <w:rStyle w:val="PageNumber"/>
      </w:rPr>
      <w:fldChar w:fldCharType="end"/>
    </w:r>
  </w:p>
  <w:p w:rsidR="0011658E" w:rsidRPr="008072AA" w:rsidRDefault="008072AA" w:rsidP="008072AA">
    <w:pPr>
      <w:pStyle w:val="DocID"/>
    </w:pPr>
    <w:fldSimple w:instr=" DOCPROPERTY &quot;DocID&quot; ">
      <w:r>
        <w:t>Active/49993065.1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7C1" w:rsidRPr="008072AA" w:rsidRDefault="008072AA" w:rsidP="008072AA">
    <w:pPr>
      <w:pStyle w:val="DocID"/>
    </w:pPr>
    <w:fldSimple w:instr=" DOCPROPERTY &quot;DocID&quot; ">
      <w:r>
        <w:t>Active/49993065.1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86" w:rsidRDefault="00045086">
      <w:r>
        <w:separator/>
      </w:r>
    </w:p>
  </w:footnote>
  <w:footnote w:type="continuationSeparator" w:id="0">
    <w:p w:rsidR="00045086" w:rsidRDefault="00045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51" w:rsidRDefault="00526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51" w:rsidRDefault="00526E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E51" w:rsidRDefault="00526E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50B1"/>
    <w:multiLevelType w:val="hybridMultilevel"/>
    <w:tmpl w:val="A6743614"/>
    <w:lvl w:ilvl="0" w:tplc="04090001">
      <w:start w:val="1"/>
      <w:numFmt w:val="bullet"/>
      <w:lvlText w:val=""/>
      <w:lvlJc w:val="left"/>
      <w:pPr>
        <w:ind w:left="1973" w:hanging="360"/>
      </w:pPr>
      <w:rPr>
        <w:rFonts w:ascii="Symbol" w:hAnsi="Symbol" w:hint="default"/>
      </w:rPr>
    </w:lvl>
    <w:lvl w:ilvl="1" w:tplc="04090003" w:tentative="1">
      <w:start w:val="1"/>
      <w:numFmt w:val="bullet"/>
      <w:lvlText w:val="o"/>
      <w:lvlJc w:val="left"/>
      <w:pPr>
        <w:ind w:left="2693" w:hanging="360"/>
      </w:pPr>
      <w:rPr>
        <w:rFonts w:ascii="Courier New" w:hAnsi="Courier New" w:cs="Courier New" w:hint="default"/>
      </w:rPr>
    </w:lvl>
    <w:lvl w:ilvl="2" w:tplc="04090005" w:tentative="1">
      <w:start w:val="1"/>
      <w:numFmt w:val="bullet"/>
      <w:lvlText w:val=""/>
      <w:lvlJc w:val="left"/>
      <w:pPr>
        <w:ind w:left="3413" w:hanging="360"/>
      </w:pPr>
      <w:rPr>
        <w:rFonts w:ascii="Wingdings" w:hAnsi="Wingdings" w:hint="default"/>
      </w:rPr>
    </w:lvl>
    <w:lvl w:ilvl="3" w:tplc="04090001" w:tentative="1">
      <w:start w:val="1"/>
      <w:numFmt w:val="bullet"/>
      <w:lvlText w:val=""/>
      <w:lvlJc w:val="left"/>
      <w:pPr>
        <w:ind w:left="4133" w:hanging="360"/>
      </w:pPr>
      <w:rPr>
        <w:rFonts w:ascii="Symbol" w:hAnsi="Symbol" w:hint="default"/>
      </w:rPr>
    </w:lvl>
    <w:lvl w:ilvl="4" w:tplc="04090003" w:tentative="1">
      <w:start w:val="1"/>
      <w:numFmt w:val="bullet"/>
      <w:lvlText w:val="o"/>
      <w:lvlJc w:val="left"/>
      <w:pPr>
        <w:ind w:left="4853" w:hanging="360"/>
      </w:pPr>
      <w:rPr>
        <w:rFonts w:ascii="Courier New" w:hAnsi="Courier New" w:cs="Courier New" w:hint="default"/>
      </w:rPr>
    </w:lvl>
    <w:lvl w:ilvl="5" w:tplc="04090005" w:tentative="1">
      <w:start w:val="1"/>
      <w:numFmt w:val="bullet"/>
      <w:lvlText w:val=""/>
      <w:lvlJc w:val="left"/>
      <w:pPr>
        <w:ind w:left="5573" w:hanging="360"/>
      </w:pPr>
      <w:rPr>
        <w:rFonts w:ascii="Wingdings" w:hAnsi="Wingdings" w:hint="default"/>
      </w:rPr>
    </w:lvl>
    <w:lvl w:ilvl="6" w:tplc="04090001" w:tentative="1">
      <w:start w:val="1"/>
      <w:numFmt w:val="bullet"/>
      <w:lvlText w:val=""/>
      <w:lvlJc w:val="left"/>
      <w:pPr>
        <w:ind w:left="6293" w:hanging="360"/>
      </w:pPr>
      <w:rPr>
        <w:rFonts w:ascii="Symbol" w:hAnsi="Symbol" w:hint="default"/>
      </w:rPr>
    </w:lvl>
    <w:lvl w:ilvl="7" w:tplc="04090003" w:tentative="1">
      <w:start w:val="1"/>
      <w:numFmt w:val="bullet"/>
      <w:lvlText w:val="o"/>
      <w:lvlJc w:val="left"/>
      <w:pPr>
        <w:ind w:left="7013" w:hanging="360"/>
      </w:pPr>
      <w:rPr>
        <w:rFonts w:ascii="Courier New" w:hAnsi="Courier New" w:cs="Courier New" w:hint="default"/>
      </w:rPr>
    </w:lvl>
    <w:lvl w:ilvl="8" w:tplc="04090005" w:tentative="1">
      <w:start w:val="1"/>
      <w:numFmt w:val="bullet"/>
      <w:lvlText w:val=""/>
      <w:lvlJc w:val="left"/>
      <w:pPr>
        <w:ind w:left="7733" w:hanging="360"/>
      </w:pPr>
      <w:rPr>
        <w:rFonts w:ascii="Wingdings" w:hAnsi="Wingdings" w:hint="default"/>
      </w:rPr>
    </w:lvl>
  </w:abstractNum>
  <w:abstractNum w:abstractNumId="1" w15:restartNumberingAfterBreak="0">
    <w:nsid w:val="097861B4"/>
    <w:multiLevelType w:val="multilevel"/>
    <w:tmpl w:val="FD1A5638"/>
    <w:lvl w:ilvl="0">
      <w:start w:val="1"/>
      <w:numFmt w:val="upperRoman"/>
      <w:pStyle w:val="Heading1"/>
      <w:lvlText w:val="%1."/>
      <w:lvlJc w:val="left"/>
      <w:pPr>
        <w:tabs>
          <w:tab w:val="num" w:pos="720"/>
        </w:tabs>
        <w:ind w:left="720" w:hanging="720"/>
      </w:pPr>
      <w:rPr>
        <w:rFonts w:ascii="Times New Roman" w:hAnsi="Times New Roman" w:hint="default"/>
        <w:b/>
        <w:i w:val="0"/>
        <w:sz w:val="26"/>
        <w:u w:val="none"/>
      </w:rPr>
    </w:lvl>
    <w:lvl w:ilvl="1">
      <w:start w:val="1"/>
      <w:numFmt w:val="upperLetter"/>
      <w:pStyle w:val="Heading2"/>
      <w:lvlText w:val="%2."/>
      <w:lvlJc w:val="left"/>
      <w:pPr>
        <w:tabs>
          <w:tab w:val="num" w:pos="1080"/>
        </w:tabs>
        <w:ind w:left="0" w:firstLine="720"/>
      </w:pPr>
      <w:rPr>
        <w:rFonts w:ascii="Times New Roman" w:hAnsi="Times New Roman" w:hint="default"/>
        <w:b w:val="0"/>
        <w:i w:val="0"/>
        <w:color w:val="auto"/>
        <w:sz w:val="26"/>
        <w:u w:val="none"/>
      </w:rPr>
    </w:lvl>
    <w:lvl w:ilvl="2">
      <w:start w:val="1"/>
      <w:numFmt w:val="decimal"/>
      <w:pStyle w:val="Heading3"/>
      <w:lvlText w:val="%3."/>
      <w:lvlJc w:val="left"/>
      <w:pPr>
        <w:tabs>
          <w:tab w:val="num" w:pos="1440"/>
        </w:tabs>
        <w:ind w:left="1440" w:hanging="720"/>
      </w:pPr>
      <w:rPr>
        <w:rFonts w:ascii="Times New Roman" w:hAnsi="Times New Roman" w:hint="default"/>
        <w:b w:val="0"/>
        <w:i w:val="0"/>
        <w:color w:val="auto"/>
        <w:spacing w:val="0"/>
        <w:w w:val="100"/>
        <w:kern w:val="0"/>
        <w:position w:val="0"/>
        <w:sz w:val="26"/>
        <w:u w:val="none"/>
      </w:rPr>
    </w:lvl>
    <w:lvl w:ilvl="3">
      <w:start w:val="1"/>
      <w:numFmt w:val="lowerRoman"/>
      <w:pStyle w:val="Heading4"/>
      <w:lvlText w:val="(%4)"/>
      <w:lvlJc w:val="left"/>
      <w:pPr>
        <w:tabs>
          <w:tab w:val="num" w:pos="2880"/>
        </w:tabs>
        <w:ind w:left="2880" w:hanging="720"/>
      </w:pPr>
      <w:rPr>
        <w:rFonts w:ascii="Times New Roman" w:hAnsi="Times New Roman" w:hint="default"/>
        <w:b w:val="0"/>
        <w:i w:val="0"/>
        <w:sz w:val="26"/>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AD82D6D"/>
    <w:multiLevelType w:val="hybridMultilevel"/>
    <w:tmpl w:val="45E84F1E"/>
    <w:lvl w:ilvl="0" w:tplc="497CAD7E">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72937"/>
    <w:multiLevelType w:val="hybridMultilevel"/>
    <w:tmpl w:val="CAF2575A"/>
    <w:lvl w:ilvl="0" w:tplc="12AEDEAA">
      <w:numFmt w:val="bullet"/>
      <w:lvlText w:val="•"/>
      <w:lvlJc w:val="left"/>
      <w:pPr>
        <w:ind w:left="1613" w:hanging="360"/>
      </w:pPr>
      <w:rPr>
        <w:rFonts w:ascii="Times New Roman" w:eastAsia="Times New Roman"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4" w15:restartNumberingAfterBreak="0">
    <w:nsid w:val="24283EA2"/>
    <w:multiLevelType w:val="singleLevel"/>
    <w:tmpl w:val="1F58ED64"/>
    <w:lvl w:ilvl="0">
      <w:start w:val="1"/>
      <w:numFmt w:val="lowerRoman"/>
      <w:pStyle w:val="Litigation4"/>
      <w:lvlText w:val="(%1)"/>
      <w:lvlJc w:val="left"/>
      <w:pPr>
        <w:tabs>
          <w:tab w:val="num" w:pos="3600"/>
        </w:tabs>
        <w:ind w:left="3600" w:hanging="720"/>
      </w:pPr>
      <w:rPr>
        <w:rFonts w:ascii="Times New Roman" w:hAnsi="Times New Roman" w:hint="default"/>
        <w:b w:val="0"/>
        <w:i w:val="0"/>
        <w:sz w:val="26"/>
      </w:rPr>
    </w:lvl>
  </w:abstractNum>
  <w:abstractNum w:abstractNumId="5" w15:restartNumberingAfterBreak="0">
    <w:nsid w:val="33C70E4F"/>
    <w:multiLevelType w:val="hybridMultilevel"/>
    <w:tmpl w:val="5D1A2EF4"/>
    <w:lvl w:ilvl="0" w:tplc="92566DCA">
      <w:start w:val="3"/>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26687"/>
    <w:multiLevelType w:val="hybridMultilevel"/>
    <w:tmpl w:val="2C66A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2B722B"/>
    <w:multiLevelType w:val="hybridMultilevel"/>
    <w:tmpl w:val="8D56A4D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3222AEE"/>
    <w:multiLevelType w:val="singleLevel"/>
    <w:tmpl w:val="A1CCBEB6"/>
    <w:lvl w:ilvl="0">
      <w:start w:val="1"/>
      <w:numFmt w:val="upperLetter"/>
      <w:pStyle w:val="Litigation2"/>
      <w:lvlText w:val="%1."/>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5D66D4C"/>
    <w:multiLevelType w:val="singleLevel"/>
    <w:tmpl w:val="07A232B8"/>
    <w:lvl w:ilvl="0">
      <w:start w:val="1"/>
      <w:numFmt w:val="lowerLetter"/>
      <w:pStyle w:val="Litigation3"/>
      <w:lvlText w:val="%1."/>
      <w:lvlJc w:val="left"/>
      <w:pPr>
        <w:tabs>
          <w:tab w:val="num" w:pos="2880"/>
        </w:tabs>
        <w:ind w:left="2880" w:hanging="720"/>
      </w:pPr>
      <w:rPr>
        <w:rFonts w:ascii="Times New Roman" w:hAnsi="Times New Roman" w:hint="default"/>
        <w:b w:val="0"/>
        <w:i w:val="0"/>
        <w:caps w:val="0"/>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73631CE"/>
    <w:multiLevelType w:val="hybridMultilevel"/>
    <w:tmpl w:val="AA587FEC"/>
    <w:lvl w:ilvl="0" w:tplc="04090013">
      <w:start w:val="1"/>
      <w:numFmt w:val="upperRoman"/>
      <w:lvlText w:val="%1."/>
      <w:lvlJc w:val="right"/>
      <w:pPr>
        <w:ind w:left="540" w:hanging="720"/>
      </w:pPr>
      <w:rPr>
        <w:rFonts w:hint="default"/>
      </w:rPr>
    </w:lvl>
    <w:lvl w:ilvl="1" w:tplc="28883F46">
      <w:start w:val="1"/>
      <w:numFmt w:val="upperLetter"/>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4F9F5A9B"/>
    <w:multiLevelType w:val="hybridMultilevel"/>
    <w:tmpl w:val="43B4CAAC"/>
    <w:lvl w:ilvl="0" w:tplc="4394056C">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51FF5F6F"/>
    <w:multiLevelType w:val="hybridMultilevel"/>
    <w:tmpl w:val="1D0E23B2"/>
    <w:lvl w:ilvl="0" w:tplc="2220A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8216BE"/>
    <w:multiLevelType w:val="hybridMultilevel"/>
    <w:tmpl w:val="D5E2F8FC"/>
    <w:lvl w:ilvl="0" w:tplc="B2304E64">
      <w:start w:val="1"/>
      <w:numFmt w:val="upperRoman"/>
      <w:lvlText w:val="%1."/>
      <w:lvlJc w:val="left"/>
      <w:pPr>
        <w:ind w:left="540" w:hanging="72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623C5FF5"/>
    <w:multiLevelType w:val="hybridMultilevel"/>
    <w:tmpl w:val="D6481172"/>
    <w:lvl w:ilvl="0" w:tplc="B7D8564A">
      <w:start w:val="1"/>
      <w:numFmt w:val="decimal"/>
      <w:lvlText w:val="(%1)"/>
      <w:lvlJc w:val="left"/>
      <w:pPr>
        <w:ind w:left="1995" w:hanging="12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4A7B97"/>
    <w:multiLevelType w:val="hybridMultilevel"/>
    <w:tmpl w:val="6890EF62"/>
    <w:lvl w:ilvl="0" w:tplc="5C6E85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D914F4"/>
    <w:multiLevelType w:val="multilevel"/>
    <w:tmpl w:val="D6CE4D5E"/>
    <w:lvl w:ilvl="0">
      <w:start w:val="1"/>
      <w:numFmt w:val="decimal"/>
      <w:pStyle w:val="Litigation1"/>
      <w:lvlText w:val="%1."/>
      <w:lvlJc w:val="left"/>
      <w:pPr>
        <w:tabs>
          <w:tab w:val="num" w:pos="1080"/>
        </w:tabs>
        <w:ind w:left="0" w:firstLine="720"/>
      </w:pPr>
      <w:rPr>
        <w:rFonts w:ascii="Times New Roman" w:hAnsi="Times New Roman" w:hint="default"/>
        <w:b w:val="0"/>
        <w:i w:val="0"/>
        <w:sz w:val="26"/>
      </w:rPr>
    </w:lvl>
    <w:lvl w:ilvl="1">
      <w:start w:val="1"/>
      <w:numFmt w:val="lowerLetter"/>
      <w:lvlText w:val="(%2)"/>
      <w:lvlJc w:val="left"/>
      <w:pPr>
        <w:tabs>
          <w:tab w:val="num" w:pos="2880"/>
        </w:tabs>
        <w:ind w:left="2880" w:hanging="720"/>
      </w:pPr>
      <w:rPr>
        <w:rFonts w:ascii="Arial" w:hAnsi="Arial" w:hint="default"/>
        <w:b w:val="0"/>
        <w:i w:val="0"/>
        <w:sz w:val="22"/>
      </w:rPr>
    </w:lvl>
    <w:lvl w:ilvl="2">
      <w:start w:val="1"/>
      <w:numFmt w:val="lowerRoman"/>
      <w:lvlText w:val="(%3)"/>
      <w:lvlJc w:val="left"/>
      <w:pPr>
        <w:tabs>
          <w:tab w:val="num" w:pos="3600"/>
        </w:tabs>
        <w:ind w:left="3600" w:hanging="720"/>
      </w:pPr>
      <w:rPr>
        <w:rFonts w:ascii="Arial" w:hAnsi="Arial" w:hint="default"/>
        <w:b w:val="0"/>
        <w:i w:val="0"/>
        <w:sz w:val="22"/>
      </w:rPr>
    </w:lvl>
    <w:lvl w:ilvl="3">
      <w:start w:val="1"/>
      <w:numFmt w:val="decimal"/>
      <w:lvlText w:val="(%4)"/>
      <w:lvlJc w:val="left"/>
      <w:pPr>
        <w:tabs>
          <w:tab w:val="num" w:pos="3240"/>
        </w:tabs>
        <w:ind w:left="2160" w:firstLine="720"/>
      </w:pPr>
      <w:rPr>
        <w:rFonts w:ascii="Arial" w:hAnsi="Arial" w:hint="default"/>
        <w:b w:val="0"/>
        <w:i w:val="0"/>
        <w:sz w:val="22"/>
      </w:rPr>
    </w:lvl>
    <w:lvl w:ilvl="4">
      <w:start w:val="1"/>
      <w:numFmt w:val="lowerLetter"/>
      <w:lvlText w:val="(%5)"/>
      <w:lvlJc w:val="left"/>
      <w:pPr>
        <w:tabs>
          <w:tab w:val="num" w:pos="2520"/>
        </w:tabs>
        <w:ind w:left="2520" w:hanging="360"/>
      </w:pPr>
      <w:rPr>
        <w:rFonts w:ascii="Arial" w:hAnsi="Arial" w:hint="default"/>
        <w:b w:val="0"/>
        <w:i w:val="0"/>
        <w:sz w:val="22"/>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7FF93EBF"/>
    <w:multiLevelType w:val="hybridMultilevel"/>
    <w:tmpl w:val="DE88A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8"/>
  </w:num>
  <w:num w:numId="3">
    <w:abstractNumId w:val="9"/>
  </w:num>
  <w:num w:numId="4">
    <w:abstractNumId w:val="4"/>
  </w:num>
  <w:num w:numId="5">
    <w:abstractNumId w:val="16"/>
  </w:num>
  <w:num w:numId="6">
    <w:abstractNumId w:val="8"/>
  </w:num>
  <w:num w:numId="7">
    <w:abstractNumId w:val="9"/>
  </w:num>
  <w:num w:numId="8">
    <w:abstractNumId w:val="4"/>
  </w:num>
  <w:num w:numId="9">
    <w:abstractNumId w:val="1"/>
  </w:num>
  <w:num w:numId="10">
    <w:abstractNumId w:val="1"/>
  </w:num>
  <w:num w:numId="11">
    <w:abstractNumId w:val="1"/>
  </w:num>
  <w:num w:numId="12">
    <w:abstractNumId w:val="17"/>
  </w:num>
  <w:num w:numId="13">
    <w:abstractNumId w:val="15"/>
  </w:num>
  <w:num w:numId="14">
    <w:abstractNumId w:val="7"/>
  </w:num>
  <w:num w:numId="15">
    <w:abstractNumId w:val="6"/>
  </w:num>
  <w:num w:numId="16">
    <w:abstractNumId w:val="5"/>
  </w:num>
  <w:num w:numId="17">
    <w:abstractNumId w:val="2"/>
  </w:num>
  <w:num w:numId="18">
    <w:abstractNumId w:val="11"/>
  </w:num>
  <w:num w:numId="19">
    <w:abstractNumId w:val="14"/>
  </w:num>
  <w:num w:numId="20">
    <w:abstractNumId w:val="13"/>
  </w:num>
  <w:num w:numId="21">
    <w:abstractNumId w:val="12"/>
  </w:num>
  <w:num w:numId="22">
    <w:abstractNumId w:val="10"/>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eaned" w:val="True"/>
    <w:docVar w:name="IDInfo" w:val="F"/>
  </w:docVars>
  <w:rsids>
    <w:rsidRoot w:val="00743FAB"/>
    <w:rsid w:val="00000FD4"/>
    <w:rsid w:val="0000185E"/>
    <w:rsid w:val="00002581"/>
    <w:rsid w:val="00004399"/>
    <w:rsid w:val="000067FF"/>
    <w:rsid w:val="00011DC2"/>
    <w:rsid w:val="00015008"/>
    <w:rsid w:val="00017BA1"/>
    <w:rsid w:val="0002094E"/>
    <w:rsid w:val="00022AFE"/>
    <w:rsid w:val="000256AE"/>
    <w:rsid w:val="00030F88"/>
    <w:rsid w:val="00035035"/>
    <w:rsid w:val="00040EB8"/>
    <w:rsid w:val="00045086"/>
    <w:rsid w:val="0004724A"/>
    <w:rsid w:val="000526E2"/>
    <w:rsid w:val="00054988"/>
    <w:rsid w:val="00055774"/>
    <w:rsid w:val="000572A4"/>
    <w:rsid w:val="0005762E"/>
    <w:rsid w:val="00067DCE"/>
    <w:rsid w:val="00075387"/>
    <w:rsid w:val="00076E55"/>
    <w:rsid w:val="00097EAF"/>
    <w:rsid w:val="000A204A"/>
    <w:rsid w:val="000A4A94"/>
    <w:rsid w:val="000A6F2C"/>
    <w:rsid w:val="000B647E"/>
    <w:rsid w:val="000C5EB3"/>
    <w:rsid w:val="000D0FBF"/>
    <w:rsid w:val="000D5905"/>
    <w:rsid w:val="000E34D9"/>
    <w:rsid w:val="000E5D87"/>
    <w:rsid w:val="000E77D4"/>
    <w:rsid w:val="000F0306"/>
    <w:rsid w:val="000F0B67"/>
    <w:rsid w:val="000F16F2"/>
    <w:rsid w:val="000F4A4E"/>
    <w:rsid w:val="000F6AF8"/>
    <w:rsid w:val="00102CE8"/>
    <w:rsid w:val="00114BD8"/>
    <w:rsid w:val="0011658E"/>
    <w:rsid w:val="0011720C"/>
    <w:rsid w:val="00120B0B"/>
    <w:rsid w:val="00120DAC"/>
    <w:rsid w:val="00122E38"/>
    <w:rsid w:val="00126A92"/>
    <w:rsid w:val="00127C61"/>
    <w:rsid w:val="00131C85"/>
    <w:rsid w:val="001331BB"/>
    <w:rsid w:val="0014220D"/>
    <w:rsid w:val="0014348C"/>
    <w:rsid w:val="001435F7"/>
    <w:rsid w:val="00145BC3"/>
    <w:rsid w:val="00150218"/>
    <w:rsid w:val="00151E1F"/>
    <w:rsid w:val="00153666"/>
    <w:rsid w:val="00154307"/>
    <w:rsid w:val="00162EFF"/>
    <w:rsid w:val="001673D1"/>
    <w:rsid w:val="001718F8"/>
    <w:rsid w:val="001754C8"/>
    <w:rsid w:val="00181D11"/>
    <w:rsid w:val="001844A1"/>
    <w:rsid w:val="00195FC4"/>
    <w:rsid w:val="001A4477"/>
    <w:rsid w:val="001A7A6A"/>
    <w:rsid w:val="001B0A52"/>
    <w:rsid w:val="001B5783"/>
    <w:rsid w:val="001B59FD"/>
    <w:rsid w:val="001B60DF"/>
    <w:rsid w:val="001B78F4"/>
    <w:rsid w:val="001C0298"/>
    <w:rsid w:val="001C15D2"/>
    <w:rsid w:val="001C1EBF"/>
    <w:rsid w:val="001C3AE7"/>
    <w:rsid w:val="001C415E"/>
    <w:rsid w:val="001D1037"/>
    <w:rsid w:val="001E0285"/>
    <w:rsid w:val="001E65F3"/>
    <w:rsid w:val="001F1BAB"/>
    <w:rsid w:val="001F4441"/>
    <w:rsid w:val="001F4923"/>
    <w:rsid w:val="00202FF8"/>
    <w:rsid w:val="00205A68"/>
    <w:rsid w:val="00206F89"/>
    <w:rsid w:val="002150D1"/>
    <w:rsid w:val="00217210"/>
    <w:rsid w:val="0022575A"/>
    <w:rsid w:val="00227B59"/>
    <w:rsid w:val="00235556"/>
    <w:rsid w:val="00235BF2"/>
    <w:rsid w:val="00240CDA"/>
    <w:rsid w:val="0024438E"/>
    <w:rsid w:val="00255A2A"/>
    <w:rsid w:val="0026472F"/>
    <w:rsid w:val="00264F61"/>
    <w:rsid w:val="00273A45"/>
    <w:rsid w:val="00277A39"/>
    <w:rsid w:val="00281664"/>
    <w:rsid w:val="002948AC"/>
    <w:rsid w:val="002A0387"/>
    <w:rsid w:val="002A03A5"/>
    <w:rsid w:val="002A786E"/>
    <w:rsid w:val="002B449E"/>
    <w:rsid w:val="002C0227"/>
    <w:rsid w:val="002C2248"/>
    <w:rsid w:val="002C56FE"/>
    <w:rsid w:val="002D09BD"/>
    <w:rsid w:val="002D403F"/>
    <w:rsid w:val="002E74A1"/>
    <w:rsid w:val="002E7FF3"/>
    <w:rsid w:val="002F2C33"/>
    <w:rsid w:val="003128F6"/>
    <w:rsid w:val="00313700"/>
    <w:rsid w:val="00315898"/>
    <w:rsid w:val="00317AB7"/>
    <w:rsid w:val="00325D56"/>
    <w:rsid w:val="00337C9C"/>
    <w:rsid w:val="00342C1B"/>
    <w:rsid w:val="00346AA9"/>
    <w:rsid w:val="00356EAE"/>
    <w:rsid w:val="00361321"/>
    <w:rsid w:val="003624C4"/>
    <w:rsid w:val="00363A06"/>
    <w:rsid w:val="003645B7"/>
    <w:rsid w:val="0036522A"/>
    <w:rsid w:val="0037035C"/>
    <w:rsid w:val="00370FC5"/>
    <w:rsid w:val="00372B9F"/>
    <w:rsid w:val="00373A7A"/>
    <w:rsid w:val="00377122"/>
    <w:rsid w:val="0038342A"/>
    <w:rsid w:val="00386CF0"/>
    <w:rsid w:val="00391527"/>
    <w:rsid w:val="00392042"/>
    <w:rsid w:val="003B4387"/>
    <w:rsid w:val="003C66BC"/>
    <w:rsid w:val="003C695F"/>
    <w:rsid w:val="003E3F10"/>
    <w:rsid w:val="003E4B9C"/>
    <w:rsid w:val="003E6843"/>
    <w:rsid w:val="003E7ED5"/>
    <w:rsid w:val="003F1FB4"/>
    <w:rsid w:val="003F5D6D"/>
    <w:rsid w:val="003F7567"/>
    <w:rsid w:val="0040071C"/>
    <w:rsid w:val="004017F8"/>
    <w:rsid w:val="00410D6F"/>
    <w:rsid w:val="00412078"/>
    <w:rsid w:val="00413EFF"/>
    <w:rsid w:val="00421EF8"/>
    <w:rsid w:val="004233D3"/>
    <w:rsid w:val="004317BA"/>
    <w:rsid w:val="004346C7"/>
    <w:rsid w:val="00435A8C"/>
    <w:rsid w:val="004419AA"/>
    <w:rsid w:val="00442090"/>
    <w:rsid w:val="00460441"/>
    <w:rsid w:val="0046500B"/>
    <w:rsid w:val="004676C3"/>
    <w:rsid w:val="0047098C"/>
    <w:rsid w:val="0047123C"/>
    <w:rsid w:val="00473088"/>
    <w:rsid w:val="0047482B"/>
    <w:rsid w:val="00476400"/>
    <w:rsid w:val="00477889"/>
    <w:rsid w:val="0048144F"/>
    <w:rsid w:val="00481C60"/>
    <w:rsid w:val="00482583"/>
    <w:rsid w:val="00483AB0"/>
    <w:rsid w:val="004865CD"/>
    <w:rsid w:val="00491059"/>
    <w:rsid w:val="00495F13"/>
    <w:rsid w:val="004A5116"/>
    <w:rsid w:val="004A54C5"/>
    <w:rsid w:val="004A64DE"/>
    <w:rsid w:val="004A6B0A"/>
    <w:rsid w:val="004B2335"/>
    <w:rsid w:val="004B5373"/>
    <w:rsid w:val="004B6AD4"/>
    <w:rsid w:val="004B7A55"/>
    <w:rsid w:val="004C1D10"/>
    <w:rsid w:val="004D00F0"/>
    <w:rsid w:val="004D209B"/>
    <w:rsid w:val="004E0B99"/>
    <w:rsid w:val="004E162F"/>
    <w:rsid w:val="004E376A"/>
    <w:rsid w:val="004F04D2"/>
    <w:rsid w:val="004F664F"/>
    <w:rsid w:val="00510D3E"/>
    <w:rsid w:val="00512469"/>
    <w:rsid w:val="005132EF"/>
    <w:rsid w:val="005137C1"/>
    <w:rsid w:val="0052271E"/>
    <w:rsid w:val="005242B5"/>
    <w:rsid w:val="005247B8"/>
    <w:rsid w:val="00526E51"/>
    <w:rsid w:val="0053288C"/>
    <w:rsid w:val="005330F2"/>
    <w:rsid w:val="005353AE"/>
    <w:rsid w:val="00537469"/>
    <w:rsid w:val="00543FE6"/>
    <w:rsid w:val="005443AB"/>
    <w:rsid w:val="00563C88"/>
    <w:rsid w:val="005640D5"/>
    <w:rsid w:val="00570AE3"/>
    <w:rsid w:val="005764E4"/>
    <w:rsid w:val="00580A45"/>
    <w:rsid w:val="0058194D"/>
    <w:rsid w:val="00585BAC"/>
    <w:rsid w:val="00587223"/>
    <w:rsid w:val="00594FE7"/>
    <w:rsid w:val="00595F87"/>
    <w:rsid w:val="005A63EE"/>
    <w:rsid w:val="005B7ED6"/>
    <w:rsid w:val="005D24F1"/>
    <w:rsid w:val="005D27AC"/>
    <w:rsid w:val="005D40AF"/>
    <w:rsid w:val="005D4BB5"/>
    <w:rsid w:val="005F4FC7"/>
    <w:rsid w:val="00601E69"/>
    <w:rsid w:val="00604319"/>
    <w:rsid w:val="00615C18"/>
    <w:rsid w:val="00615D27"/>
    <w:rsid w:val="00624C5D"/>
    <w:rsid w:val="006632D7"/>
    <w:rsid w:val="00672118"/>
    <w:rsid w:val="006757AF"/>
    <w:rsid w:val="00680BBC"/>
    <w:rsid w:val="00680DD7"/>
    <w:rsid w:val="00685457"/>
    <w:rsid w:val="0068764E"/>
    <w:rsid w:val="00692271"/>
    <w:rsid w:val="00692335"/>
    <w:rsid w:val="006A635E"/>
    <w:rsid w:val="006A7FF6"/>
    <w:rsid w:val="006B386D"/>
    <w:rsid w:val="006C0C68"/>
    <w:rsid w:val="006C0DA1"/>
    <w:rsid w:val="006C3FFC"/>
    <w:rsid w:val="006C682C"/>
    <w:rsid w:val="006C6FE0"/>
    <w:rsid w:val="006D0D74"/>
    <w:rsid w:val="006D1830"/>
    <w:rsid w:val="006D5DFB"/>
    <w:rsid w:val="006E19B0"/>
    <w:rsid w:val="006E24F7"/>
    <w:rsid w:val="006E3384"/>
    <w:rsid w:val="006E7FCA"/>
    <w:rsid w:val="006F166A"/>
    <w:rsid w:val="006F2ADC"/>
    <w:rsid w:val="006F70ED"/>
    <w:rsid w:val="0072366E"/>
    <w:rsid w:val="00725686"/>
    <w:rsid w:val="00727FCE"/>
    <w:rsid w:val="00737351"/>
    <w:rsid w:val="00740B70"/>
    <w:rsid w:val="00740BE9"/>
    <w:rsid w:val="00743FAB"/>
    <w:rsid w:val="0074629F"/>
    <w:rsid w:val="007530F0"/>
    <w:rsid w:val="00755FD8"/>
    <w:rsid w:val="007570B3"/>
    <w:rsid w:val="007652B0"/>
    <w:rsid w:val="007708AC"/>
    <w:rsid w:val="00771E44"/>
    <w:rsid w:val="007809D6"/>
    <w:rsid w:val="00785A06"/>
    <w:rsid w:val="00785ACE"/>
    <w:rsid w:val="0078685E"/>
    <w:rsid w:val="0079141D"/>
    <w:rsid w:val="007A23E9"/>
    <w:rsid w:val="007A26AE"/>
    <w:rsid w:val="007A6C17"/>
    <w:rsid w:val="007A6E41"/>
    <w:rsid w:val="007A79F9"/>
    <w:rsid w:val="007E0802"/>
    <w:rsid w:val="007E1058"/>
    <w:rsid w:val="007E71CD"/>
    <w:rsid w:val="007F3021"/>
    <w:rsid w:val="007F4622"/>
    <w:rsid w:val="007F5628"/>
    <w:rsid w:val="00801422"/>
    <w:rsid w:val="008014EB"/>
    <w:rsid w:val="008023CD"/>
    <w:rsid w:val="008072AA"/>
    <w:rsid w:val="00820FEB"/>
    <w:rsid w:val="008301B8"/>
    <w:rsid w:val="00832479"/>
    <w:rsid w:val="00833540"/>
    <w:rsid w:val="0084163E"/>
    <w:rsid w:val="00842597"/>
    <w:rsid w:val="008450D2"/>
    <w:rsid w:val="00850CAD"/>
    <w:rsid w:val="00856900"/>
    <w:rsid w:val="00867635"/>
    <w:rsid w:val="00871062"/>
    <w:rsid w:val="00872A9F"/>
    <w:rsid w:val="00880CAF"/>
    <w:rsid w:val="00883319"/>
    <w:rsid w:val="00884070"/>
    <w:rsid w:val="008852D0"/>
    <w:rsid w:val="00885A6E"/>
    <w:rsid w:val="008902CD"/>
    <w:rsid w:val="008A1D3E"/>
    <w:rsid w:val="008A76AF"/>
    <w:rsid w:val="008B5697"/>
    <w:rsid w:val="008B5CDC"/>
    <w:rsid w:val="008B6063"/>
    <w:rsid w:val="008C040A"/>
    <w:rsid w:val="008C74A3"/>
    <w:rsid w:val="008D1268"/>
    <w:rsid w:val="008D1D82"/>
    <w:rsid w:val="008D6262"/>
    <w:rsid w:val="008E1342"/>
    <w:rsid w:val="008E19AE"/>
    <w:rsid w:val="008E1E21"/>
    <w:rsid w:val="008E2235"/>
    <w:rsid w:val="008E28E2"/>
    <w:rsid w:val="008F5232"/>
    <w:rsid w:val="008F71D6"/>
    <w:rsid w:val="0090606D"/>
    <w:rsid w:val="00915082"/>
    <w:rsid w:val="00926EF0"/>
    <w:rsid w:val="0093285D"/>
    <w:rsid w:val="009375C4"/>
    <w:rsid w:val="009412C3"/>
    <w:rsid w:val="00953C30"/>
    <w:rsid w:val="009608E0"/>
    <w:rsid w:val="009657AA"/>
    <w:rsid w:val="0096701B"/>
    <w:rsid w:val="00967955"/>
    <w:rsid w:val="00974901"/>
    <w:rsid w:val="00976317"/>
    <w:rsid w:val="009820B2"/>
    <w:rsid w:val="00997DE7"/>
    <w:rsid w:val="009A0A2D"/>
    <w:rsid w:val="009A0A80"/>
    <w:rsid w:val="009A0DC7"/>
    <w:rsid w:val="009B5075"/>
    <w:rsid w:val="009C746D"/>
    <w:rsid w:val="009D2B67"/>
    <w:rsid w:val="009E3CA6"/>
    <w:rsid w:val="009E4BFA"/>
    <w:rsid w:val="009E631D"/>
    <w:rsid w:val="009F13F7"/>
    <w:rsid w:val="009F3924"/>
    <w:rsid w:val="009F3D03"/>
    <w:rsid w:val="009F4A7D"/>
    <w:rsid w:val="009F7773"/>
    <w:rsid w:val="00A003ED"/>
    <w:rsid w:val="00A04867"/>
    <w:rsid w:val="00A07657"/>
    <w:rsid w:val="00A10F40"/>
    <w:rsid w:val="00A12ABA"/>
    <w:rsid w:val="00A1424C"/>
    <w:rsid w:val="00A14560"/>
    <w:rsid w:val="00A24C9B"/>
    <w:rsid w:val="00A26D67"/>
    <w:rsid w:val="00A32A85"/>
    <w:rsid w:val="00A338D8"/>
    <w:rsid w:val="00A372ED"/>
    <w:rsid w:val="00A40BDA"/>
    <w:rsid w:val="00A41625"/>
    <w:rsid w:val="00A4339E"/>
    <w:rsid w:val="00A45099"/>
    <w:rsid w:val="00A46F00"/>
    <w:rsid w:val="00A55654"/>
    <w:rsid w:val="00A642B4"/>
    <w:rsid w:val="00A64743"/>
    <w:rsid w:val="00A71131"/>
    <w:rsid w:val="00A716CA"/>
    <w:rsid w:val="00A76C07"/>
    <w:rsid w:val="00A80205"/>
    <w:rsid w:val="00A80A95"/>
    <w:rsid w:val="00A80D3E"/>
    <w:rsid w:val="00A863D4"/>
    <w:rsid w:val="00A95EFC"/>
    <w:rsid w:val="00AA6CA8"/>
    <w:rsid w:val="00AB6569"/>
    <w:rsid w:val="00AB7A30"/>
    <w:rsid w:val="00AB7F89"/>
    <w:rsid w:val="00AB7FAE"/>
    <w:rsid w:val="00AC7DCD"/>
    <w:rsid w:val="00AD1F64"/>
    <w:rsid w:val="00AD735C"/>
    <w:rsid w:val="00AE2F1F"/>
    <w:rsid w:val="00AE6107"/>
    <w:rsid w:val="00AE6559"/>
    <w:rsid w:val="00AF2814"/>
    <w:rsid w:val="00B02B00"/>
    <w:rsid w:val="00B1322A"/>
    <w:rsid w:val="00B14A43"/>
    <w:rsid w:val="00B1531B"/>
    <w:rsid w:val="00B27841"/>
    <w:rsid w:val="00B312B2"/>
    <w:rsid w:val="00B31D4A"/>
    <w:rsid w:val="00B34EA6"/>
    <w:rsid w:val="00B35046"/>
    <w:rsid w:val="00B414B6"/>
    <w:rsid w:val="00B42EE0"/>
    <w:rsid w:val="00B432AD"/>
    <w:rsid w:val="00B47FCC"/>
    <w:rsid w:val="00B508B2"/>
    <w:rsid w:val="00B5473E"/>
    <w:rsid w:val="00B606A5"/>
    <w:rsid w:val="00B61196"/>
    <w:rsid w:val="00B66DC9"/>
    <w:rsid w:val="00B67D03"/>
    <w:rsid w:val="00B72190"/>
    <w:rsid w:val="00B82887"/>
    <w:rsid w:val="00B90A37"/>
    <w:rsid w:val="00B92EAD"/>
    <w:rsid w:val="00BA2936"/>
    <w:rsid w:val="00BB046C"/>
    <w:rsid w:val="00BB0DF9"/>
    <w:rsid w:val="00BB46B5"/>
    <w:rsid w:val="00BB5188"/>
    <w:rsid w:val="00BC0DFF"/>
    <w:rsid w:val="00BC6FFC"/>
    <w:rsid w:val="00BD103B"/>
    <w:rsid w:val="00BD2FAF"/>
    <w:rsid w:val="00BD6E49"/>
    <w:rsid w:val="00BE2D02"/>
    <w:rsid w:val="00BE3424"/>
    <w:rsid w:val="00BE41A7"/>
    <w:rsid w:val="00BF0639"/>
    <w:rsid w:val="00BF431D"/>
    <w:rsid w:val="00C11DC7"/>
    <w:rsid w:val="00C16361"/>
    <w:rsid w:val="00C2057A"/>
    <w:rsid w:val="00C34C33"/>
    <w:rsid w:val="00C35FE2"/>
    <w:rsid w:val="00C37E92"/>
    <w:rsid w:val="00C4106E"/>
    <w:rsid w:val="00C441E9"/>
    <w:rsid w:val="00C45682"/>
    <w:rsid w:val="00C45FA8"/>
    <w:rsid w:val="00C46B22"/>
    <w:rsid w:val="00C51A19"/>
    <w:rsid w:val="00C60A0E"/>
    <w:rsid w:val="00C61DB9"/>
    <w:rsid w:val="00C70266"/>
    <w:rsid w:val="00C70281"/>
    <w:rsid w:val="00C737AE"/>
    <w:rsid w:val="00C74483"/>
    <w:rsid w:val="00C77939"/>
    <w:rsid w:val="00C80371"/>
    <w:rsid w:val="00C82AE4"/>
    <w:rsid w:val="00C85BD9"/>
    <w:rsid w:val="00C906F5"/>
    <w:rsid w:val="00C90EE8"/>
    <w:rsid w:val="00C93C69"/>
    <w:rsid w:val="00C97923"/>
    <w:rsid w:val="00C97F62"/>
    <w:rsid w:val="00CA4C71"/>
    <w:rsid w:val="00CA57D2"/>
    <w:rsid w:val="00CA650F"/>
    <w:rsid w:val="00CA6AF9"/>
    <w:rsid w:val="00CB1B62"/>
    <w:rsid w:val="00CB408E"/>
    <w:rsid w:val="00CB45E6"/>
    <w:rsid w:val="00CB772B"/>
    <w:rsid w:val="00CB79BA"/>
    <w:rsid w:val="00CC10BE"/>
    <w:rsid w:val="00CC4C96"/>
    <w:rsid w:val="00CD0BFC"/>
    <w:rsid w:val="00CD3338"/>
    <w:rsid w:val="00CD3901"/>
    <w:rsid w:val="00CD6B98"/>
    <w:rsid w:val="00CD6E52"/>
    <w:rsid w:val="00CD7591"/>
    <w:rsid w:val="00CE4A1D"/>
    <w:rsid w:val="00CF0FA0"/>
    <w:rsid w:val="00CF4DD7"/>
    <w:rsid w:val="00CF7EED"/>
    <w:rsid w:val="00D0078F"/>
    <w:rsid w:val="00D07784"/>
    <w:rsid w:val="00D0786A"/>
    <w:rsid w:val="00D12229"/>
    <w:rsid w:val="00D17B24"/>
    <w:rsid w:val="00D215A8"/>
    <w:rsid w:val="00D2530C"/>
    <w:rsid w:val="00D25EDB"/>
    <w:rsid w:val="00D36C9E"/>
    <w:rsid w:val="00D42F0A"/>
    <w:rsid w:val="00D43C76"/>
    <w:rsid w:val="00D4693A"/>
    <w:rsid w:val="00D51CE4"/>
    <w:rsid w:val="00D5322A"/>
    <w:rsid w:val="00D568F3"/>
    <w:rsid w:val="00D6001F"/>
    <w:rsid w:val="00D6013D"/>
    <w:rsid w:val="00D60BD2"/>
    <w:rsid w:val="00D63BCF"/>
    <w:rsid w:val="00D67931"/>
    <w:rsid w:val="00D77106"/>
    <w:rsid w:val="00D86E22"/>
    <w:rsid w:val="00D91C83"/>
    <w:rsid w:val="00D9221C"/>
    <w:rsid w:val="00D977CE"/>
    <w:rsid w:val="00DA09C9"/>
    <w:rsid w:val="00DA1EF2"/>
    <w:rsid w:val="00DA41D8"/>
    <w:rsid w:val="00DA7010"/>
    <w:rsid w:val="00DB2C8E"/>
    <w:rsid w:val="00DB4F22"/>
    <w:rsid w:val="00DC65E2"/>
    <w:rsid w:val="00DD1B53"/>
    <w:rsid w:val="00DD2DFB"/>
    <w:rsid w:val="00DE3050"/>
    <w:rsid w:val="00DE4A08"/>
    <w:rsid w:val="00DF0223"/>
    <w:rsid w:val="00DF5F11"/>
    <w:rsid w:val="00E11864"/>
    <w:rsid w:val="00E11D67"/>
    <w:rsid w:val="00E135A4"/>
    <w:rsid w:val="00E153F8"/>
    <w:rsid w:val="00E159F8"/>
    <w:rsid w:val="00E27EB7"/>
    <w:rsid w:val="00E34FE9"/>
    <w:rsid w:val="00E4097B"/>
    <w:rsid w:val="00E46034"/>
    <w:rsid w:val="00E46E30"/>
    <w:rsid w:val="00E56C0E"/>
    <w:rsid w:val="00E60824"/>
    <w:rsid w:val="00E704BF"/>
    <w:rsid w:val="00E71390"/>
    <w:rsid w:val="00E74675"/>
    <w:rsid w:val="00E7777F"/>
    <w:rsid w:val="00E90074"/>
    <w:rsid w:val="00E935A1"/>
    <w:rsid w:val="00E94166"/>
    <w:rsid w:val="00EA1E4C"/>
    <w:rsid w:val="00EA2A3D"/>
    <w:rsid w:val="00EA2EFB"/>
    <w:rsid w:val="00EA3D35"/>
    <w:rsid w:val="00EA4617"/>
    <w:rsid w:val="00EA6DAA"/>
    <w:rsid w:val="00EB004C"/>
    <w:rsid w:val="00EB63A9"/>
    <w:rsid w:val="00EC726B"/>
    <w:rsid w:val="00ED3904"/>
    <w:rsid w:val="00EE2CE5"/>
    <w:rsid w:val="00F01377"/>
    <w:rsid w:val="00F2210F"/>
    <w:rsid w:val="00F2600A"/>
    <w:rsid w:val="00F26239"/>
    <w:rsid w:val="00F316DB"/>
    <w:rsid w:val="00F37A3A"/>
    <w:rsid w:val="00F430EE"/>
    <w:rsid w:val="00F432DF"/>
    <w:rsid w:val="00F5047F"/>
    <w:rsid w:val="00F62A59"/>
    <w:rsid w:val="00F820D9"/>
    <w:rsid w:val="00F835E9"/>
    <w:rsid w:val="00F93815"/>
    <w:rsid w:val="00F950FC"/>
    <w:rsid w:val="00F9785E"/>
    <w:rsid w:val="00FA1709"/>
    <w:rsid w:val="00FB0489"/>
    <w:rsid w:val="00FB6665"/>
    <w:rsid w:val="00FC426C"/>
    <w:rsid w:val="00FC4271"/>
    <w:rsid w:val="00FC6FA1"/>
    <w:rsid w:val="00FC7702"/>
    <w:rsid w:val="00FD1A27"/>
    <w:rsid w:val="00FD64BF"/>
    <w:rsid w:val="00FD7F3F"/>
    <w:rsid w:val="00FE09A7"/>
    <w:rsid w:val="00FE170F"/>
    <w:rsid w:val="00FE175B"/>
    <w:rsid w:val="00FF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5:docId w15:val="{4182A4EF-A7BA-404D-949A-A789A19D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exact"/>
    </w:pPr>
    <w:rPr>
      <w:sz w:val="26"/>
    </w:rPr>
  </w:style>
  <w:style w:type="paragraph" w:styleId="Heading1">
    <w:name w:val="heading 1"/>
    <w:basedOn w:val="Normal"/>
    <w:next w:val="DBody"/>
    <w:qFormat/>
    <w:pPr>
      <w:numPr>
        <w:numId w:val="11"/>
      </w:numPr>
      <w:jc w:val="both"/>
      <w:outlineLvl w:val="0"/>
    </w:pPr>
    <w:rPr>
      <w:sz w:val="24"/>
    </w:rPr>
  </w:style>
  <w:style w:type="paragraph" w:styleId="Heading2">
    <w:name w:val="heading 2"/>
    <w:basedOn w:val="Normal"/>
    <w:next w:val="DBody"/>
    <w:qFormat/>
    <w:pPr>
      <w:widowControl/>
      <w:numPr>
        <w:ilvl w:val="1"/>
        <w:numId w:val="11"/>
      </w:numPr>
      <w:spacing w:line="480" w:lineRule="exact"/>
      <w:jc w:val="both"/>
      <w:outlineLvl w:val="1"/>
    </w:pPr>
  </w:style>
  <w:style w:type="paragraph" w:styleId="Heading3">
    <w:name w:val="heading 3"/>
    <w:basedOn w:val="Normal"/>
    <w:next w:val="DBody"/>
    <w:qFormat/>
    <w:pPr>
      <w:numPr>
        <w:ilvl w:val="2"/>
        <w:numId w:val="11"/>
      </w:numPr>
      <w:jc w:val="both"/>
      <w:outlineLvl w:val="2"/>
    </w:pPr>
    <w:rPr>
      <w:sz w:val="24"/>
    </w:rPr>
  </w:style>
  <w:style w:type="paragraph" w:styleId="Heading4">
    <w:name w:val="heading 4"/>
    <w:basedOn w:val="Normal"/>
    <w:next w:val="DBody"/>
    <w:qFormat/>
    <w:pPr>
      <w:numPr>
        <w:ilvl w:val="3"/>
        <w:numId w:val="11"/>
      </w:numPr>
      <w:tabs>
        <w:tab w:val="left" w:pos="2160"/>
      </w:tabs>
      <w:spacing w:line="480" w:lineRule="exact"/>
      <w:jc w:val="both"/>
      <w:outlineLvl w:val="3"/>
    </w:pPr>
  </w:style>
  <w:style w:type="paragraph" w:styleId="Heading5">
    <w:name w:val="heading 5"/>
    <w:basedOn w:val="Normal"/>
    <w:next w:val="DBody"/>
    <w:qFormat/>
    <w:pPr>
      <w:numPr>
        <w:ilvl w:val="4"/>
        <w:numId w:val="11"/>
      </w:numPr>
      <w:jc w:val="both"/>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style>
  <w:style w:type="paragraph" w:customStyle="1" w:styleId="SingleSpacing">
    <w:name w:val="Single Spacing"/>
    <w:basedOn w:val="Normal"/>
  </w:style>
  <w:style w:type="paragraph" w:styleId="FootnoteText">
    <w:name w:val="footnote text"/>
    <w:basedOn w:val="Normal"/>
    <w:pPr>
      <w:jc w:val="both"/>
    </w:pPr>
  </w:style>
  <w:style w:type="paragraph" w:customStyle="1" w:styleId="DoubleSpacing">
    <w:name w:val="Double Spacing"/>
    <w:basedOn w:val="Normal"/>
    <w:pPr>
      <w:spacing w:line="480" w:lineRule="exact"/>
      <w:jc w:val="both"/>
    </w:pPr>
  </w:style>
  <w:style w:type="character" w:styleId="PageNumber">
    <w:name w:val="page number"/>
    <w:rPr>
      <w:rFonts w:ascii="Times New Roman" w:hAnsi="Times New Roman"/>
      <w:spacing w:val="0"/>
      <w:position w:val="0"/>
      <w:sz w:val="24"/>
    </w:rPr>
  </w:style>
  <w:style w:type="paragraph" w:customStyle="1" w:styleId="Address">
    <w:name w:val="Address"/>
    <w:basedOn w:val="SingleSpacing"/>
  </w:style>
  <w:style w:type="paragraph" w:customStyle="1" w:styleId="CourtName">
    <w:name w:val="CourtName"/>
    <w:basedOn w:val="Normal"/>
    <w:pPr>
      <w:jc w:val="center"/>
    </w:pPr>
  </w:style>
  <w:style w:type="paragraph" w:styleId="EnvelopeAddress">
    <w:name w:val="envelope address"/>
    <w:basedOn w:val="Normal"/>
    <w:pPr>
      <w:framePr w:w="7920" w:h="1980" w:hRule="exact" w:hSpace="180" w:wrap="auto" w:hAnchor="page" w:xAlign="center" w:yAlign="bottom"/>
      <w:ind w:left="2880"/>
    </w:pPr>
  </w:style>
  <w:style w:type="paragraph" w:customStyle="1" w:styleId="Pleading">
    <w:name w:val="Pleading"/>
    <w:basedOn w:val="Normal"/>
  </w:style>
  <w:style w:type="paragraph" w:customStyle="1" w:styleId="Pleadingdouble">
    <w:name w:val="Pleading_double"/>
    <w:basedOn w:val="Pleading"/>
    <w:pPr>
      <w:spacing w:line="480" w:lineRule="exact"/>
      <w:ind w:firstLine="720"/>
      <w:jc w:val="both"/>
    </w:pPr>
  </w:style>
  <w:style w:type="paragraph" w:customStyle="1" w:styleId="DBody">
    <w:name w:val="~DBody"/>
    <w:basedOn w:val="Normal"/>
    <w:pPr>
      <w:spacing w:line="480" w:lineRule="exact"/>
      <w:jc w:val="both"/>
    </w:pPr>
  </w:style>
  <w:style w:type="paragraph" w:styleId="Title">
    <w:name w:val="Title"/>
    <w:basedOn w:val="Normal"/>
    <w:qFormat/>
    <w:pPr>
      <w:spacing w:before="240" w:after="60"/>
      <w:jc w:val="center"/>
    </w:pPr>
    <w:rPr>
      <w:rFonts w:ascii="Arial" w:hAnsi="Arial"/>
      <w:b/>
      <w:kern w:val="28"/>
      <w:sz w:val="32"/>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Litigation1">
    <w:name w:val="Litigation 1"/>
    <w:pPr>
      <w:numPr>
        <w:numId w:val="5"/>
      </w:numPr>
      <w:tabs>
        <w:tab w:val="clear" w:pos="1080"/>
        <w:tab w:val="left" w:pos="720"/>
      </w:tabs>
      <w:spacing w:line="480" w:lineRule="exact"/>
      <w:jc w:val="both"/>
    </w:pPr>
    <w:rPr>
      <w:sz w:val="26"/>
    </w:rPr>
  </w:style>
  <w:style w:type="paragraph" w:customStyle="1" w:styleId="Litigation2">
    <w:name w:val="Litigation 2"/>
    <w:pPr>
      <w:numPr>
        <w:numId w:val="6"/>
      </w:numPr>
      <w:spacing w:line="480" w:lineRule="exact"/>
      <w:jc w:val="both"/>
    </w:pPr>
    <w:rPr>
      <w:sz w:val="26"/>
    </w:rPr>
  </w:style>
  <w:style w:type="paragraph" w:customStyle="1" w:styleId="Litigation3">
    <w:name w:val="Litigation 3"/>
    <w:pPr>
      <w:numPr>
        <w:numId w:val="7"/>
      </w:numPr>
      <w:spacing w:before="240" w:line="240" w:lineRule="exact"/>
      <w:jc w:val="both"/>
    </w:pPr>
    <w:rPr>
      <w:sz w:val="26"/>
    </w:rPr>
  </w:style>
  <w:style w:type="paragraph" w:customStyle="1" w:styleId="Litigation4">
    <w:name w:val="Litigation 4"/>
    <w:pPr>
      <w:numPr>
        <w:numId w:val="8"/>
      </w:numPr>
      <w:spacing w:before="240" w:line="240" w:lineRule="exact"/>
      <w:jc w:val="both"/>
    </w:pPr>
    <w:rPr>
      <w:sz w:val="26"/>
    </w:rPr>
  </w:style>
  <w:style w:type="paragraph" w:customStyle="1" w:styleId="PleadingQuote">
    <w:name w:val="Pleading Quote"/>
    <w:basedOn w:val="Normal"/>
    <w:pPr>
      <w:widowControl/>
      <w:ind w:left="1440" w:right="1440"/>
      <w:jc w:val="both"/>
    </w:pPr>
  </w:style>
  <w:style w:type="paragraph" w:customStyle="1" w:styleId="PleadingBlockText">
    <w:name w:val="Pleading Block Text"/>
    <w:basedOn w:val="Normal"/>
    <w:pPr>
      <w:autoSpaceDE w:val="0"/>
      <w:autoSpaceDN w:val="0"/>
      <w:adjustRightInd w:val="0"/>
      <w:ind w:left="1440" w:right="1440"/>
      <w:jc w:val="both"/>
    </w:pPr>
    <w:rPr>
      <w:szCs w:val="24"/>
    </w:rPr>
  </w:style>
  <w:style w:type="paragraph" w:customStyle="1" w:styleId="PleadingParagraphs">
    <w:name w:val="Pleading Paragraphs"/>
    <w:basedOn w:val="Normal"/>
    <w:pPr>
      <w:autoSpaceDE w:val="0"/>
      <w:autoSpaceDN w:val="0"/>
      <w:adjustRightInd w:val="0"/>
      <w:spacing w:line="480" w:lineRule="exact"/>
      <w:ind w:firstLine="720"/>
      <w:jc w:val="both"/>
    </w:pPr>
    <w:rPr>
      <w:szCs w:val="24"/>
    </w:rPr>
  </w:style>
  <w:style w:type="paragraph" w:styleId="BalloonText">
    <w:name w:val="Balloon Text"/>
    <w:basedOn w:val="Normal"/>
    <w:semiHidden/>
    <w:rPr>
      <w:rFonts w:ascii="Tahoma" w:hAnsi="Tahoma" w:cs="Tahoma"/>
      <w:sz w:val="16"/>
      <w:szCs w:val="16"/>
    </w:rPr>
  </w:style>
  <w:style w:type="paragraph" w:customStyle="1" w:styleId="CourtTitle">
    <w:name w:val="~CourtTitle"/>
    <w:basedOn w:val="Normal"/>
    <w:pPr>
      <w:widowControl/>
      <w:spacing w:line="476" w:lineRule="exact"/>
      <w:jc w:val="center"/>
    </w:pPr>
    <w:rPr>
      <w:b/>
      <w:szCs w:val="24"/>
    </w:rPr>
  </w:style>
  <w:style w:type="paragraph" w:customStyle="1" w:styleId="PldSHName">
    <w:name w:val="°PldSHName"/>
    <w:pPr>
      <w:spacing w:after="40"/>
      <w:ind w:right="4176"/>
      <w:jc w:val="center"/>
    </w:pPr>
    <w:rPr>
      <w:rFonts w:ascii="Arial" w:hAnsi="Arial"/>
      <w:b/>
      <w:smallCaps/>
      <w:spacing w:val="20"/>
      <w:position w:val="-6"/>
      <w:sz w:val="14"/>
    </w:rPr>
  </w:style>
  <w:style w:type="paragraph" w:customStyle="1" w:styleId="PldSHLawOffice">
    <w:name w:val="PldSHLawOffice"/>
    <w:pPr>
      <w:ind w:right="4176"/>
      <w:jc w:val="center"/>
    </w:pPr>
    <w:rPr>
      <w:rFonts w:ascii="Arial" w:hAnsi="Arial"/>
      <w:b/>
      <w:smallCaps/>
      <w:spacing w:val="20"/>
      <w:position w:val="-6"/>
      <w:sz w:val="14"/>
    </w:rPr>
  </w:style>
  <w:style w:type="paragraph" w:customStyle="1" w:styleId="PldSHAddress">
    <w:name w:val="°PldSHAddress"/>
    <w:pPr>
      <w:spacing w:after="40"/>
      <w:ind w:right="4176"/>
      <w:contextualSpacing/>
      <w:jc w:val="center"/>
    </w:pPr>
    <w:rPr>
      <w:rFonts w:ascii="Arial" w:hAnsi="Arial"/>
      <w:caps/>
      <w:spacing w:val="20"/>
      <w:position w:val="-6"/>
      <w:sz w:val="10"/>
    </w:rPr>
  </w:style>
  <w:style w:type="paragraph" w:customStyle="1" w:styleId="PldSHPhone">
    <w:name w:val="PldSHPhone"/>
    <w:pPr>
      <w:spacing w:after="40"/>
      <w:ind w:right="4176"/>
      <w:contextualSpacing/>
      <w:jc w:val="center"/>
      <w:outlineLvl w:val="0"/>
    </w:pPr>
    <w:rPr>
      <w:rFonts w:ascii="Arial" w:hAnsi="Arial"/>
      <w:caps/>
      <w:spacing w:val="20"/>
      <w:position w:val="-6"/>
      <w:sz w:val="10"/>
    </w:rPr>
  </w:style>
  <w:style w:type="paragraph" w:customStyle="1" w:styleId="PldSHFirmBarNo">
    <w:name w:val="PldSHFirmBarNo"/>
    <w:pPr>
      <w:ind w:right="4320"/>
      <w:jc w:val="center"/>
      <w:outlineLvl w:val="0"/>
    </w:pPr>
    <w:rPr>
      <w:rFonts w:ascii="Arial" w:hAnsi="Arial"/>
      <w:caps/>
      <w:spacing w:val="20"/>
      <w:position w:val="-6"/>
      <w:sz w:val="10"/>
    </w:rPr>
  </w:style>
  <w:style w:type="paragraph" w:customStyle="1" w:styleId="PldSHAtty1">
    <w:name w:val="°PldSHAtty1"/>
    <w:pPr>
      <w:spacing w:line="240" w:lineRule="exact"/>
      <w:ind w:right="4320"/>
      <w:jc w:val="center"/>
    </w:pPr>
  </w:style>
  <w:style w:type="paragraph" w:customStyle="1" w:styleId="PldSHParties">
    <w:name w:val="°PldSHParties"/>
    <w:basedOn w:val="Normal"/>
    <w:pPr>
      <w:ind w:right="4320"/>
      <w:jc w:val="center"/>
      <w:outlineLvl w:val="0"/>
    </w:pPr>
    <w:rPr>
      <w:sz w:val="20"/>
    </w:rPr>
  </w:style>
  <w:style w:type="paragraph" w:customStyle="1" w:styleId="SigBlock">
    <w:name w:val="°SigBlock"/>
    <w:basedOn w:val="Normal"/>
    <w:pPr>
      <w:keepNext/>
      <w:ind w:left="3960"/>
    </w:pPr>
  </w:style>
  <w:style w:type="paragraph" w:customStyle="1" w:styleId="SigBlock2">
    <w:name w:val="°SigBlock2"/>
    <w:basedOn w:val="SigBlock"/>
    <w:pPr>
      <w:ind w:left="4248"/>
    </w:pPr>
  </w:style>
  <w:style w:type="paragraph" w:customStyle="1" w:styleId="SBody">
    <w:name w:val="~SBody"/>
    <w:basedOn w:val="Normal"/>
    <w:pPr>
      <w:jc w:val="both"/>
    </w:pPr>
  </w:style>
  <w:style w:type="paragraph" w:customStyle="1" w:styleId="DBodyFLIndent">
    <w:name w:val="~DBody FLIndent"/>
    <w:basedOn w:val="DBody"/>
    <w:pPr>
      <w:ind w:firstLine="720"/>
    </w:pPr>
  </w:style>
  <w:style w:type="paragraph" w:customStyle="1" w:styleId="Quote1">
    <w:name w:val="~Quote1"/>
    <w:basedOn w:val="SBody"/>
    <w:pPr>
      <w:spacing w:before="240"/>
      <w:ind w:left="720" w:right="720"/>
    </w:pPr>
  </w:style>
  <w:style w:type="paragraph" w:customStyle="1" w:styleId="Quote2">
    <w:name w:val="~Quote2"/>
    <w:basedOn w:val="Quote1"/>
    <w:pPr>
      <w:ind w:left="1440" w:right="1440"/>
    </w:pPr>
  </w:style>
  <w:style w:type="paragraph" w:customStyle="1" w:styleId="Title1B">
    <w:name w:val="~Title1 B"/>
    <w:basedOn w:val="SBody"/>
    <w:pPr>
      <w:jc w:val="center"/>
    </w:pPr>
    <w:rPr>
      <w:b/>
      <w:bCs/>
    </w:rPr>
  </w:style>
  <w:style w:type="paragraph" w:customStyle="1" w:styleId="Title2BU">
    <w:name w:val="~Title2 BU"/>
    <w:basedOn w:val="Title1B"/>
    <w:rPr>
      <w:u w:val="single"/>
    </w:rPr>
  </w:style>
  <w:style w:type="paragraph" w:customStyle="1" w:styleId="SHDateOpt">
    <w:name w:val="SHDateOpt"/>
    <w:basedOn w:val="DBodyFLIndent"/>
    <w:pPr>
      <w:keepNext/>
    </w:pPr>
  </w:style>
  <w:style w:type="paragraph" w:customStyle="1" w:styleId="pldCapt">
    <w:name w:val="pldCapt"/>
    <w:basedOn w:val="Normal"/>
    <w:pPr>
      <w:ind w:left="1440"/>
    </w:pPr>
  </w:style>
  <w:style w:type="paragraph" w:customStyle="1" w:styleId="pldTitle">
    <w:name w:val="pldTitle"/>
    <w:basedOn w:val="Normal"/>
    <w:pPr>
      <w:ind w:left="155"/>
    </w:pPr>
    <w:rPr>
      <w:b/>
      <w:caps/>
    </w:rPr>
  </w:style>
  <w:style w:type="paragraph" w:customStyle="1" w:styleId="StyleDBodyFLIndentLeft-013Firstline0">
    <w:name w:val="Style ~DBody FLIndent + Left:  -0.13&quot; First line:  0&quot;"/>
    <w:basedOn w:val="Normal"/>
    <w:pPr>
      <w:spacing w:line="480" w:lineRule="exact"/>
      <w:ind w:left="-187" w:firstLine="288"/>
      <w:jc w:val="both"/>
    </w:pPr>
  </w:style>
  <w:style w:type="paragraph" w:customStyle="1" w:styleId="DocID">
    <w:name w:val="DocID"/>
    <w:basedOn w:val="Normal"/>
    <w:next w:val="Footer"/>
    <w:rsid w:val="008072AA"/>
    <w:pPr>
      <w:spacing w:line="240" w:lineRule="auto"/>
    </w:pPr>
    <w:rPr>
      <w:color w:val="000000"/>
      <w:sz w:val="16"/>
    </w:rPr>
  </w:style>
  <w:style w:type="paragraph" w:styleId="BodyText">
    <w:name w:val="Body Text"/>
    <w:basedOn w:val="Normal"/>
    <w:link w:val="BodyTextChar"/>
    <w:rsid w:val="00743FAB"/>
    <w:pPr>
      <w:spacing w:after="120"/>
    </w:pPr>
  </w:style>
  <w:style w:type="character" w:customStyle="1" w:styleId="BodyTextChar">
    <w:name w:val="Body Text Char"/>
    <w:link w:val="BodyText"/>
    <w:rsid w:val="00743FAB"/>
    <w:rPr>
      <w:sz w:val="26"/>
    </w:rPr>
  </w:style>
  <w:style w:type="character" w:styleId="Hyperlink">
    <w:name w:val="Hyperlink"/>
    <w:basedOn w:val="DefaultParagraphFont"/>
    <w:rsid w:val="00AD735C"/>
    <w:rPr>
      <w:color w:val="0000FF" w:themeColor="hyperlink"/>
      <w:u w:val="single"/>
    </w:rPr>
  </w:style>
  <w:style w:type="paragraph" w:styleId="ListParagraph">
    <w:name w:val="List Paragraph"/>
    <w:basedOn w:val="Normal"/>
    <w:uiPriority w:val="34"/>
    <w:qFormat/>
    <w:rsid w:val="00CD7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79493">
      <w:bodyDiv w:val="1"/>
      <w:marLeft w:val="0"/>
      <w:marRight w:val="0"/>
      <w:marTop w:val="0"/>
      <w:marBottom w:val="0"/>
      <w:divBdr>
        <w:top w:val="none" w:sz="0" w:space="0" w:color="auto"/>
        <w:left w:val="none" w:sz="0" w:space="0" w:color="auto"/>
        <w:bottom w:val="none" w:sz="0" w:space="0" w:color="auto"/>
        <w:right w:val="none" w:sz="0" w:space="0" w:color="auto"/>
      </w:divBdr>
    </w:div>
    <w:div w:id="271788082">
      <w:bodyDiv w:val="1"/>
      <w:marLeft w:val="0"/>
      <w:marRight w:val="0"/>
      <w:marTop w:val="0"/>
      <w:marBottom w:val="0"/>
      <w:divBdr>
        <w:top w:val="none" w:sz="0" w:space="0" w:color="auto"/>
        <w:left w:val="none" w:sz="0" w:space="0" w:color="auto"/>
        <w:bottom w:val="none" w:sz="0" w:space="0" w:color="auto"/>
        <w:right w:val="none" w:sz="0" w:space="0" w:color="auto"/>
      </w:divBdr>
      <w:divsChild>
        <w:div w:id="1997880418">
          <w:marLeft w:val="0"/>
          <w:marRight w:val="0"/>
          <w:marTop w:val="0"/>
          <w:marBottom w:val="0"/>
          <w:divBdr>
            <w:top w:val="none" w:sz="0" w:space="0" w:color="auto"/>
            <w:left w:val="single" w:sz="6" w:space="0" w:color="BBBBBB"/>
            <w:bottom w:val="single" w:sz="6" w:space="0" w:color="BBBBBB"/>
            <w:right w:val="single" w:sz="6" w:space="0" w:color="BBBBBB"/>
          </w:divBdr>
          <w:divsChild>
            <w:div w:id="1861697727">
              <w:marLeft w:val="0"/>
              <w:marRight w:val="0"/>
              <w:marTop w:val="0"/>
              <w:marBottom w:val="0"/>
              <w:divBdr>
                <w:top w:val="none" w:sz="0" w:space="0" w:color="auto"/>
                <w:left w:val="none" w:sz="0" w:space="0" w:color="auto"/>
                <w:bottom w:val="none" w:sz="0" w:space="0" w:color="auto"/>
                <w:right w:val="none" w:sz="0" w:space="0" w:color="auto"/>
              </w:divBdr>
              <w:divsChild>
                <w:div w:id="717822650">
                  <w:marLeft w:val="0"/>
                  <w:marRight w:val="0"/>
                  <w:marTop w:val="0"/>
                  <w:marBottom w:val="0"/>
                  <w:divBdr>
                    <w:top w:val="none" w:sz="0" w:space="0" w:color="auto"/>
                    <w:left w:val="none" w:sz="0" w:space="0" w:color="auto"/>
                    <w:bottom w:val="none" w:sz="0" w:space="0" w:color="auto"/>
                    <w:right w:val="none" w:sz="0" w:space="0" w:color="auto"/>
                  </w:divBdr>
                  <w:divsChild>
                    <w:div w:id="264387526">
                      <w:marLeft w:val="0"/>
                      <w:marRight w:val="0"/>
                      <w:marTop w:val="0"/>
                      <w:marBottom w:val="0"/>
                      <w:divBdr>
                        <w:top w:val="none" w:sz="0" w:space="0" w:color="auto"/>
                        <w:left w:val="none" w:sz="0" w:space="0" w:color="auto"/>
                        <w:bottom w:val="none" w:sz="0" w:space="0" w:color="auto"/>
                        <w:right w:val="none" w:sz="0" w:space="0" w:color="auto"/>
                      </w:divBdr>
                      <w:divsChild>
                        <w:div w:id="860514635">
                          <w:marLeft w:val="0"/>
                          <w:marRight w:val="0"/>
                          <w:marTop w:val="0"/>
                          <w:marBottom w:val="0"/>
                          <w:divBdr>
                            <w:top w:val="none" w:sz="0" w:space="0" w:color="auto"/>
                            <w:left w:val="none" w:sz="0" w:space="0" w:color="auto"/>
                            <w:bottom w:val="none" w:sz="0" w:space="0" w:color="auto"/>
                            <w:right w:val="none" w:sz="0" w:space="0" w:color="auto"/>
                          </w:divBdr>
                          <w:divsChild>
                            <w:div w:id="1535267013">
                              <w:marLeft w:val="0"/>
                              <w:marRight w:val="0"/>
                              <w:marTop w:val="0"/>
                              <w:marBottom w:val="0"/>
                              <w:divBdr>
                                <w:top w:val="none" w:sz="0" w:space="0" w:color="auto"/>
                                <w:left w:val="none" w:sz="0" w:space="0" w:color="auto"/>
                                <w:bottom w:val="none" w:sz="0" w:space="0" w:color="auto"/>
                                <w:right w:val="none" w:sz="0" w:space="0" w:color="auto"/>
                              </w:divBdr>
                              <w:divsChild>
                                <w:div w:id="804350172">
                                  <w:marLeft w:val="0"/>
                                  <w:marRight w:val="0"/>
                                  <w:marTop w:val="0"/>
                                  <w:marBottom w:val="0"/>
                                  <w:divBdr>
                                    <w:top w:val="none" w:sz="0" w:space="0" w:color="auto"/>
                                    <w:left w:val="none" w:sz="0" w:space="0" w:color="auto"/>
                                    <w:bottom w:val="none" w:sz="0" w:space="0" w:color="auto"/>
                                    <w:right w:val="none" w:sz="0" w:space="0" w:color="auto"/>
                                  </w:divBdr>
                                  <w:divsChild>
                                    <w:div w:id="1552300537">
                                      <w:marLeft w:val="0"/>
                                      <w:marRight w:val="0"/>
                                      <w:marTop w:val="0"/>
                                      <w:marBottom w:val="0"/>
                                      <w:divBdr>
                                        <w:top w:val="none" w:sz="0" w:space="0" w:color="auto"/>
                                        <w:left w:val="none" w:sz="0" w:space="0" w:color="auto"/>
                                        <w:bottom w:val="none" w:sz="0" w:space="0" w:color="auto"/>
                                        <w:right w:val="none" w:sz="0" w:space="0" w:color="auto"/>
                                      </w:divBdr>
                                      <w:divsChild>
                                        <w:div w:id="1069109776">
                                          <w:marLeft w:val="1200"/>
                                          <w:marRight w:val="1200"/>
                                          <w:marTop w:val="0"/>
                                          <w:marBottom w:val="0"/>
                                          <w:divBdr>
                                            <w:top w:val="none" w:sz="0" w:space="0" w:color="auto"/>
                                            <w:left w:val="none" w:sz="0" w:space="0" w:color="auto"/>
                                            <w:bottom w:val="none" w:sz="0" w:space="0" w:color="auto"/>
                                            <w:right w:val="none" w:sz="0" w:space="0" w:color="auto"/>
                                          </w:divBdr>
                                          <w:divsChild>
                                            <w:div w:id="1380132581">
                                              <w:marLeft w:val="0"/>
                                              <w:marRight w:val="0"/>
                                              <w:marTop w:val="0"/>
                                              <w:marBottom w:val="0"/>
                                              <w:divBdr>
                                                <w:top w:val="none" w:sz="0" w:space="0" w:color="auto"/>
                                                <w:left w:val="none" w:sz="0" w:space="0" w:color="auto"/>
                                                <w:bottom w:val="none" w:sz="0" w:space="0" w:color="auto"/>
                                                <w:right w:val="none" w:sz="0" w:space="0" w:color="auto"/>
                                              </w:divBdr>
                                              <w:divsChild>
                                                <w:div w:id="420220517">
                                                  <w:marLeft w:val="0"/>
                                                  <w:marRight w:val="0"/>
                                                  <w:marTop w:val="0"/>
                                                  <w:marBottom w:val="0"/>
                                                  <w:divBdr>
                                                    <w:top w:val="none" w:sz="0" w:space="0" w:color="auto"/>
                                                    <w:left w:val="none" w:sz="0" w:space="0" w:color="auto"/>
                                                    <w:bottom w:val="none" w:sz="0" w:space="0" w:color="auto"/>
                                                    <w:right w:val="none" w:sz="0" w:space="0" w:color="auto"/>
                                                  </w:divBdr>
                                                  <w:divsChild>
                                                    <w:div w:id="376904293">
                                                      <w:marLeft w:val="0"/>
                                                      <w:marRight w:val="0"/>
                                                      <w:marTop w:val="0"/>
                                                      <w:marBottom w:val="0"/>
                                                      <w:divBdr>
                                                        <w:top w:val="none" w:sz="0" w:space="0" w:color="auto"/>
                                                        <w:left w:val="none" w:sz="0" w:space="0" w:color="auto"/>
                                                        <w:bottom w:val="none" w:sz="0" w:space="0" w:color="auto"/>
                                                        <w:right w:val="none" w:sz="0" w:space="0" w:color="auto"/>
                                                      </w:divBdr>
                                                      <w:divsChild>
                                                        <w:div w:id="278145151">
                                                          <w:marLeft w:val="0"/>
                                                          <w:marRight w:val="0"/>
                                                          <w:marTop w:val="0"/>
                                                          <w:marBottom w:val="0"/>
                                                          <w:divBdr>
                                                            <w:top w:val="none" w:sz="0" w:space="0" w:color="auto"/>
                                                            <w:left w:val="none" w:sz="0" w:space="0" w:color="auto"/>
                                                            <w:bottom w:val="none" w:sz="0" w:space="0" w:color="auto"/>
                                                            <w:right w:val="none" w:sz="0" w:space="0" w:color="auto"/>
                                                          </w:divBdr>
                                                          <w:divsChild>
                                                            <w:div w:id="1940749769">
                                                              <w:marLeft w:val="0"/>
                                                              <w:marRight w:val="0"/>
                                                              <w:marTop w:val="0"/>
                                                              <w:marBottom w:val="0"/>
                                                              <w:divBdr>
                                                                <w:top w:val="none" w:sz="0" w:space="0" w:color="auto"/>
                                                                <w:left w:val="none" w:sz="0" w:space="0" w:color="auto"/>
                                                                <w:bottom w:val="none" w:sz="0" w:space="0" w:color="auto"/>
                                                                <w:right w:val="none" w:sz="0" w:space="0" w:color="auto"/>
                                                              </w:divBdr>
                                                              <w:divsChild>
                                                                <w:div w:id="573323648">
                                                                  <w:marLeft w:val="0"/>
                                                                  <w:marRight w:val="0"/>
                                                                  <w:marTop w:val="0"/>
                                                                  <w:marBottom w:val="0"/>
                                                                  <w:divBdr>
                                                                    <w:top w:val="none" w:sz="0" w:space="0" w:color="auto"/>
                                                                    <w:left w:val="none" w:sz="0" w:space="0" w:color="auto"/>
                                                                    <w:bottom w:val="none" w:sz="0" w:space="0" w:color="auto"/>
                                                                    <w:right w:val="none" w:sz="0" w:space="0" w:color="auto"/>
                                                                  </w:divBdr>
                                                                </w:div>
                                                              </w:divsChild>
                                                            </w:div>
                                                            <w:div w:id="1656034806">
                                                              <w:marLeft w:val="0"/>
                                                              <w:marRight w:val="0"/>
                                                              <w:marTop w:val="0"/>
                                                              <w:marBottom w:val="0"/>
                                                              <w:divBdr>
                                                                <w:top w:val="none" w:sz="0" w:space="0" w:color="auto"/>
                                                                <w:left w:val="none" w:sz="0" w:space="0" w:color="auto"/>
                                                                <w:bottom w:val="none" w:sz="0" w:space="0" w:color="auto"/>
                                                                <w:right w:val="none" w:sz="0" w:space="0" w:color="auto"/>
                                                              </w:divBdr>
                                                              <w:divsChild>
                                                                <w:div w:id="1075475480">
                                                                  <w:marLeft w:val="0"/>
                                                                  <w:marRight w:val="0"/>
                                                                  <w:marTop w:val="0"/>
                                                                  <w:marBottom w:val="0"/>
                                                                  <w:divBdr>
                                                                    <w:top w:val="none" w:sz="0" w:space="0" w:color="auto"/>
                                                                    <w:left w:val="none" w:sz="0" w:space="0" w:color="auto"/>
                                                                    <w:bottom w:val="none" w:sz="0" w:space="0" w:color="auto"/>
                                                                    <w:right w:val="none" w:sz="0" w:space="0" w:color="auto"/>
                                                                  </w:divBdr>
                                                                  <w:divsChild>
                                                                    <w:div w:id="11832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186722">
      <w:bodyDiv w:val="1"/>
      <w:marLeft w:val="0"/>
      <w:marRight w:val="0"/>
      <w:marTop w:val="0"/>
      <w:marBottom w:val="0"/>
      <w:divBdr>
        <w:top w:val="none" w:sz="0" w:space="0" w:color="auto"/>
        <w:left w:val="none" w:sz="0" w:space="0" w:color="auto"/>
        <w:bottom w:val="none" w:sz="0" w:space="0" w:color="auto"/>
        <w:right w:val="none" w:sz="0" w:space="0" w:color="auto"/>
      </w:divBdr>
    </w:div>
    <w:div w:id="1455715833">
      <w:bodyDiv w:val="1"/>
      <w:marLeft w:val="0"/>
      <w:marRight w:val="0"/>
      <w:marTop w:val="0"/>
      <w:marBottom w:val="0"/>
      <w:divBdr>
        <w:top w:val="none" w:sz="0" w:space="0" w:color="auto"/>
        <w:left w:val="none" w:sz="0" w:space="0" w:color="auto"/>
        <w:bottom w:val="none" w:sz="0" w:space="0" w:color="auto"/>
        <w:right w:val="none" w:sz="0" w:space="0" w:color="auto"/>
      </w:divBdr>
      <w:divsChild>
        <w:div w:id="608312958">
          <w:marLeft w:val="0"/>
          <w:marRight w:val="0"/>
          <w:marTop w:val="0"/>
          <w:marBottom w:val="0"/>
          <w:divBdr>
            <w:top w:val="none" w:sz="0" w:space="0" w:color="auto"/>
            <w:left w:val="none" w:sz="0" w:space="0" w:color="auto"/>
            <w:bottom w:val="none" w:sz="0" w:space="0" w:color="auto"/>
            <w:right w:val="none" w:sz="0" w:space="0" w:color="auto"/>
          </w:divBdr>
          <w:divsChild>
            <w:div w:id="18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4101">
      <w:bodyDiv w:val="1"/>
      <w:marLeft w:val="60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SAH_GroupTemplates\Litigation\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88C26-9B94-47CE-AF5E-B70F4C24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Pleading.dot</Template>
  <TotalTime>0</TotalTime>
  <Pages>7</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Legal Pleading</vt:lpstr>
    </vt:vector>
  </TitlesOfParts>
  <Company>Sherman &amp;  Howard L.L.C.</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Pleading</dc:title>
  <dc:creator>.</dc:creator>
  <cp:lastModifiedBy>Hanson, Diana</cp:lastModifiedBy>
  <cp:revision>2</cp:revision>
  <cp:lastPrinted>2017-01-06T23:04:00Z</cp:lastPrinted>
  <dcterms:created xsi:type="dcterms:W3CDTF">2019-05-01T20:58:00Z</dcterms:created>
  <dcterms:modified xsi:type="dcterms:W3CDTF">2019-05-01T20:58:00Z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Active/49993065.1</vt:lpwstr>
  </property>
  <property fmtid="{D5CDD505-2E9C-101B-9397-08002B2CF9AE}" pid="3" name="DocIDContent">
    <vt:lpwstr>0|/|1|.|2|</vt:lpwstr>
  </property>
  <property fmtid="{D5CDD505-2E9C-101B-9397-08002B2CF9AE}" pid="4" name="WS_TRACKING_ID">
    <vt:lpwstr>e950d524-01f9-4222-b846-2f2c7809db8f</vt:lpwstr>
  </property>
</Properties>
</file>