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2A5D" w14:textId="77777777" w:rsidR="003404F7" w:rsidRDefault="003404F7" w:rsidP="00AE3E2F">
      <w:pPr>
        <w:jc w:val="both"/>
        <w:rPr>
          <w:rFonts w:eastAsia="Times New Roman"/>
          <w:b/>
          <w:sz w:val="28"/>
          <w:szCs w:val="28"/>
        </w:rPr>
      </w:pPr>
      <w:bookmarkStart w:id="0" w:name="_GoBack"/>
      <w:bookmarkEnd w:id="0"/>
      <w:r w:rsidRPr="00A07D62">
        <w:rPr>
          <w:rFonts w:eastAsia="Times New Roman"/>
          <w:b/>
          <w:sz w:val="28"/>
          <w:szCs w:val="28"/>
        </w:rPr>
        <w:t xml:space="preserve">Scharf-Norton Center for Constitutional Litigation </w:t>
      </w:r>
    </w:p>
    <w:p w14:paraId="387AF84B" w14:textId="77777777" w:rsidR="003404F7" w:rsidRPr="00A07D62" w:rsidRDefault="003404F7" w:rsidP="00AE3E2F">
      <w:pPr>
        <w:jc w:val="both"/>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60942C29" w14:textId="2E2BC701" w:rsidR="003404F7" w:rsidRDefault="003404F7" w:rsidP="00AE3E2F">
      <w:pPr>
        <w:jc w:val="both"/>
        <w:rPr>
          <w:rFonts w:eastAsia="Times New Roman"/>
          <w:sz w:val="28"/>
          <w:szCs w:val="28"/>
        </w:rPr>
      </w:pPr>
      <w:r>
        <w:rPr>
          <w:rFonts w:eastAsia="Times New Roman"/>
          <w:sz w:val="28"/>
          <w:szCs w:val="28"/>
        </w:rPr>
        <w:t>Timothy Sandefur (033670)</w:t>
      </w:r>
    </w:p>
    <w:p w14:paraId="607E3C97" w14:textId="4ADABBD1" w:rsidR="00AE3E2F" w:rsidRDefault="00AE3E2F" w:rsidP="00AE3E2F">
      <w:pPr>
        <w:jc w:val="both"/>
        <w:rPr>
          <w:rFonts w:eastAsia="Times New Roman"/>
          <w:sz w:val="28"/>
          <w:szCs w:val="28"/>
        </w:rPr>
      </w:pPr>
      <w:r>
        <w:rPr>
          <w:rFonts w:eastAsia="Times New Roman"/>
          <w:sz w:val="28"/>
          <w:szCs w:val="28"/>
        </w:rPr>
        <w:t>Aditya Dynar (031583)</w:t>
      </w:r>
    </w:p>
    <w:p w14:paraId="2F6F15B6" w14:textId="77777777" w:rsidR="003404F7" w:rsidRDefault="003404F7" w:rsidP="00AE3E2F">
      <w:pPr>
        <w:jc w:val="both"/>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AE3E2F">
      <w:pPr>
        <w:jc w:val="both"/>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AE3E2F">
      <w:pPr>
        <w:jc w:val="both"/>
        <w:rPr>
          <w:rFonts w:eastAsia="Times New Roman"/>
          <w:sz w:val="28"/>
          <w:szCs w:val="28"/>
        </w:rPr>
      </w:pPr>
      <w:r w:rsidRPr="00A07D62">
        <w:rPr>
          <w:rFonts w:eastAsia="Times New Roman"/>
          <w:sz w:val="28"/>
          <w:szCs w:val="28"/>
        </w:rPr>
        <w:t xml:space="preserve">(602) 462-5000 </w:t>
      </w:r>
    </w:p>
    <w:p w14:paraId="137FCA45" w14:textId="77777777" w:rsidR="003404F7" w:rsidRPr="00A07D62" w:rsidRDefault="003404F7" w:rsidP="00AE3E2F">
      <w:pPr>
        <w:jc w:val="both"/>
        <w:rPr>
          <w:rFonts w:eastAsia="Times New Roman"/>
          <w:sz w:val="28"/>
          <w:szCs w:val="28"/>
        </w:rPr>
      </w:pPr>
      <w:r w:rsidRPr="00A07D62">
        <w:rPr>
          <w:rFonts w:eastAsia="Times New Roman"/>
          <w:sz w:val="28"/>
          <w:szCs w:val="28"/>
          <w:u w:val="single"/>
        </w:rPr>
        <w:t>Litigation@goldwaterinstitute.org</w:t>
      </w:r>
      <w:hyperlink r:id="rId8" w:history="1"/>
      <w:r w:rsidRPr="00A07D62">
        <w:rPr>
          <w:rFonts w:eastAsia="Times New Roman"/>
          <w:sz w:val="28"/>
          <w:szCs w:val="28"/>
        </w:rPr>
        <w:t xml:space="preserve"> </w:t>
      </w:r>
    </w:p>
    <w:p w14:paraId="4F0F0015" w14:textId="0D8304DE" w:rsidR="003404F7" w:rsidRDefault="003404F7" w:rsidP="00AE3E2F">
      <w:pPr>
        <w:jc w:val="both"/>
        <w:rPr>
          <w:rFonts w:eastAsia="Times New Roman"/>
          <w:i/>
          <w:sz w:val="28"/>
          <w:szCs w:val="28"/>
        </w:rPr>
      </w:pPr>
    </w:p>
    <w:p w14:paraId="765E66F3" w14:textId="77777777" w:rsidR="003404F7" w:rsidRDefault="003404F7" w:rsidP="00AE3E2F">
      <w:pPr>
        <w:jc w:val="both"/>
        <w:rPr>
          <w:rFonts w:eastAsia="Times New Roman"/>
          <w:b/>
          <w:sz w:val="28"/>
          <w:szCs w:val="28"/>
        </w:rPr>
      </w:pPr>
    </w:p>
    <w:p w14:paraId="50FC5AD4" w14:textId="0D41C183" w:rsidR="00B33AE4" w:rsidRDefault="00951E3D" w:rsidP="00AE3E2F">
      <w:pPr>
        <w:jc w:val="center"/>
        <w:rPr>
          <w:rFonts w:eastAsia="Times New Roman"/>
          <w:b/>
          <w:sz w:val="28"/>
          <w:szCs w:val="28"/>
        </w:rPr>
      </w:pPr>
      <w:r>
        <w:rPr>
          <w:rFonts w:eastAsia="Times New Roman"/>
          <w:b/>
          <w:sz w:val="28"/>
          <w:szCs w:val="28"/>
        </w:rPr>
        <w:t>IN THE SUPREME COURT</w:t>
      </w:r>
    </w:p>
    <w:p w14:paraId="246BB33C" w14:textId="35D7C454" w:rsidR="00B33AE4" w:rsidRPr="00A07D62" w:rsidRDefault="00B33AE4" w:rsidP="00AE3E2F">
      <w:pPr>
        <w:jc w:val="center"/>
        <w:rPr>
          <w:rFonts w:eastAsia="Times New Roman"/>
          <w:b/>
          <w:sz w:val="28"/>
          <w:szCs w:val="28"/>
        </w:rPr>
      </w:pPr>
      <w:r w:rsidRPr="00A07D62">
        <w:rPr>
          <w:rFonts w:eastAsia="Times New Roman"/>
          <w:b/>
          <w:sz w:val="28"/>
          <w:szCs w:val="28"/>
        </w:rPr>
        <w:t>STATE OF ARIZONA</w:t>
      </w:r>
    </w:p>
    <w:p w14:paraId="52C7B7F9" w14:textId="77777777" w:rsidR="00B33AE4" w:rsidRPr="00A07D62" w:rsidRDefault="00B33AE4" w:rsidP="00AE3E2F">
      <w:pPr>
        <w:jc w:val="both"/>
        <w:rPr>
          <w:rFonts w:eastAsia="Times New Roman"/>
          <w:b/>
          <w:sz w:val="28"/>
          <w:szCs w:val="28"/>
        </w:rPr>
      </w:pPr>
    </w:p>
    <w:p w14:paraId="52E9A79E" w14:textId="77777777" w:rsidR="00B33AE4" w:rsidRPr="00A07D62" w:rsidRDefault="00B33AE4" w:rsidP="00AE3E2F">
      <w:pPr>
        <w:jc w:val="both"/>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AE3E2F">
            <w:pPr>
              <w:jc w:val="both"/>
              <w:rPr>
                <w:rFonts w:eastAsia="Times New Roman"/>
                <w:sz w:val="28"/>
                <w:szCs w:val="28"/>
              </w:rPr>
            </w:pPr>
            <w:r>
              <w:rPr>
                <w:rFonts w:eastAsia="Times New Roman"/>
                <w:sz w:val="28"/>
                <w:szCs w:val="28"/>
              </w:rPr>
              <w:t>In the Matter of:</w:t>
            </w:r>
          </w:p>
          <w:p w14:paraId="78A98F00" w14:textId="1BDFDDDA" w:rsidR="003404F7" w:rsidRDefault="003404F7" w:rsidP="00AE3E2F">
            <w:pPr>
              <w:jc w:val="both"/>
              <w:rPr>
                <w:rFonts w:eastAsia="Times New Roman"/>
                <w:sz w:val="28"/>
                <w:szCs w:val="28"/>
              </w:rPr>
            </w:pPr>
          </w:p>
          <w:p w14:paraId="054948F0" w14:textId="77777777" w:rsidR="00AE3E2F" w:rsidRDefault="002B1A70" w:rsidP="00AE3E2F">
            <w:pPr>
              <w:jc w:val="both"/>
              <w:rPr>
                <w:rFonts w:eastAsia="Times New Roman"/>
                <w:b/>
                <w:sz w:val="28"/>
                <w:szCs w:val="28"/>
              </w:rPr>
            </w:pPr>
            <w:r>
              <w:rPr>
                <w:rFonts w:eastAsia="Times New Roman"/>
                <w:b/>
                <w:sz w:val="28"/>
                <w:szCs w:val="28"/>
              </w:rPr>
              <w:t xml:space="preserve">PETITION TO </w:t>
            </w:r>
            <w:r w:rsidR="00AE3E2F">
              <w:rPr>
                <w:rFonts w:eastAsia="Times New Roman"/>
                <w:b/>
                <w:sz w:val="28"/>
                <w:szCs w:val="28"/>
              </w:rPr>
              <w:t xml:space="preserve">ABROGATE </w:t>
            </w:r>
          </w:p>
          <w:p w14:paraId="2C3D86E4" w14:textId="77777777" w:rsidR="00AE3E2F" w:rsidRDefault="00AE3E2F" w:rsidP="00AE3E2F">
            <w:pPr>
              <w:jc w:val="both"/>
              <w:rPr>
                <w:rFonts w:eastAsia="Times New Roman"/>
                <w:b/>
                <w:sz w:val="28"/>
                <w:szCs w:val="28"/>
              </w:rPr>
            </w:pPr>
            <w:r>
              <w:rPr>
                <w:rFonts w:eastAsia="Times New Roman"/>
                <w:b/>
                <w:sz w:val="28"/>
                <w:szCs w:val="28"/>
              </w:rPr>
              <w:t>RULE 68</w:t>
            </w:r>
            <w:r w:rsidR="002B1A70">
              <w:rPr>
                <w:rFonts w:eastAsia="Times New Roman"/>
                <w:b/>
                <w:sz w:val="28"/>
                <w:szCs w:val="28"/>
              </w:rPr>
              <w:t xml:space="preserve">, ARIZONA RULES </w:t>
            </w:r>
          </w:p>
          <w:p w14:paraId="764EA891" w14:textId="677FC88C" w:rsidR="003404F7" w:rsidRPr="00A07D62" w:rsidRDefault="002B1A70" w:rsidP="00AE3E2F">
            <w:pPr>
              <w:jc w:val="both"/>
              <w:rPr>
                <w:rFonts w:eastAsia="Times New Roman"/>
                <w:sz w:val="28"/>
                <w:szCs w:val="28"/>
              </w:rPr>
            </w:pPr>
            <w:r>
              <w:rPr>
                <w:rFonts w:eastAsia="Times New Roman"/>
                <w:b/>
                <w:sz w:val="28"/>
                <w:szCs w:val="28"/>
              </w:rPr>
              <w:t>OF CIVIL PROCEDURE</w:t>
            </w:r>
          </w:p>
          <w:p w14:paraId="4CFD6C17" w14:textId="77777777" w:rsidR="00B33AE4" w:rsidRPr="00A07D62" w:rsidRDefault="00B33AE4" w:rsidP="00AE3E2F">
            <w:pPr>
              <w:jc w:val="both"/>
              <w:rPr>
                <w:rFonts w:eastAsia="Times New Roman"/>
                <w:b/>
                <w:sz w:val="28"/>
                <w:szCs w:val="28"/>
              </w:rPr>
            </w:pPr>
          </w:p>
        </w:tc>
        <w:tc>
          <w:tcPr>
            <w:tcW w:w="4310" w:type="dxa"/>
            <w:tcBorders>
              <w:top w:val="nil"/>
              <w:bottom w:val="nil"/>
              <w:right w:val="nil"/>
            </w:tcBorders>
          </w:tcPr>
          <w:p w14:paraId="7A6B1E6E" w14:textId="1520DD8D" w:rsidR="006C5BB2" w:rsidRPr="006C5BB2" w:rsidRDefault="006C5BB2" w:rsidP="00AE3E2F">
            <w:pPr>
              <w:autoSpaceDE w:val="0"/>
              <w:autoSpaceDN w:val="0"/>
              <w:adjustRightInd w:val="0"/>
              <w:jc w:val="both"/>
              <w:rPr>
                <w:rFonts w:eastAsia="Times New Roman"/>
                <w:sz w:val="28"/>
                <w:szCs w:val="28"/>
                <w:u w:val="single"/>
              </w:rPr>
            </w:pPr>
            <w:r>
              <w:rPr>
                <w:rFonts w:eastAsia="Times New Roman"/>
                <w:sz w:val="28"/>
                <w:szCs w:val="28"/>
              </w:rPr>
              <w:t>Supreme Court</w:t>
            </w:r>
            <w:r w:rsidR="00AE3E2F">
              <w:rPr>
                <w:rFonts w:eastAsia="Times New Roman"/>
                <w:sz w:val="28"/>
                <w:szCs w:val="28"/>
              </w:rPr>
              <w:t xml:space="preserve"> </w:t>
            </w:r>
            <w:r>
              <w:rPr>
                <w:rFonts w:eastAsia="Times New Roman"/>
                <w:sz w:val="28"/>
                <w:szCs w:val="28"/>
              </w:rPr>
              <w:t xml:space="preserve">No. </w:t>
            </w:r>
            <w:r w:rsidR="00AE3E2F">
              <w:rPr>
                <w:rFonts w:eastAsia="Times New Roman"/>
                <w:sz w:val="28"/>
                <w:szCs w:val="28"/>
              </w:rPr>
              <w:t>R-19-0015</w:t>
            </w:r>
          </w:p>
          <w:p w14:paraId="7A7B4DB4" w14:textId="77777777" w:rsidR="00951E3D" w:rsidRDefault="00951E3D" w:rsidP="00AE3E2F">
            <w:pPr>
              <w:autoSpaceDE w:val="0"/>
              <w:autoSpaceDN w:val="0"/>
              <w:adjustRightInd w:val="0"/>
              <w:jc w:val="both"/>
              <w:rPr>
                <w:rFonts w:eastAsia="Times New Roman"/>
                <w:sz w:val="28"/>
                <w:szCs w:val="28"/>
              </w:rPr>
            </w:pPr>
          </w:p>
          <w:p w14:paraId="39058C05" w14:textId="77777777" w:rsidR="00AE3E2F" w:rsidRDefault="00AE3E2F" w:rsidP="00AE3E2F">
            <w:pPr>
              <w:autoSpaceDE w:val="0"/>
              <w:autoSpaceDN w:val="0"/>
              <w:adjustRightInd w:val="0"/>
              <w:jc w:val="both"/>
              <w:rPr>
                <w:rFonts w:eastAsia="Times New Roman"/>
                <w:b/>
                <w:sz w:val="28"/>
                <w:szCs w:val="28"/>
              </w:rPr>
            </w:pPr>
          </w:p>
          <w:p w14:paraId="7B328C0E" w14:textId="7E3ADDD1" w:rsidR="00B33AE4" w:rsidRPr="008470E8" w:rsidRDefault="00AE3E2F" w:rsidP="00AE3E2F">
            <w:pPr>
              <w:autoSpaceDE w:val="0"/>
              <w:autoSpaceDN w:val="0"/>
              <w:adjustRightInd w:val="0"/>
              <w:jc w:val="both"/>
              <w:rPr>
                <w:rFonts w:eastAsia="Times New Roman"/>
                <w:b/>
                <w:sz w:val="28"/>
                <w:szCs w:val="28"/>
              </w:rPr>
            </w:pPr>
            <w:r>
              <w:rPr>
                <w:rFonts w:eastAsia="Times New Roman"/>
                <w:b/>
                <w:sz w:val="28"/>
                <w:szCs w:val="28"/>
              </w:rPr>
              <w:t>CO</w:t>
            </w:r>
            <w:r w:rsidR="00D65999">
              <w:rPr>
                <w:rFonts w:eastAsia="Times New Roman"/>
                <w:b/>
                <w:sz w:val="28"/>
                <w:szCs w:val="28"/>
              </w:rPr>
              <w:t>M</w:t>
            </w:r>
            <w:r>
              <w:rPr>
                <w:rFonts w:eastAsia="Times New Roman"/>
                <w:b/>
                <w:sz w:val="28"/>
                <w:szCs w:val="28"/>
              </w:rPr>
              <w:t>MENT IN SUPPORT OF THE PETITION</w:t>
            </w:r>
          </w:p>
          <w:p w14:paraId="5D33FC08" w14:textId="77777777" w:rsidR="00B33AE4" w:rsidRPr="00A07D62" w:rsidRDefault="00B33AE4" w:rsidP="00AE3E2F">
            <w:pPr>
              <w:autoSpaceDE w:val="0"/>
              <w:autoSpaceDN w:val="0"/>
              <w:adjustRightInd w:val="0"/>
              <w:jc w:val="both"/>
              <w:rPr>
                <w:rFonts w:eastAsia="Times New Roman"/>
                <w:b/>
                <w:sz w:val="28"/>
                <w:szCs w:val="28"/>
              </w:rPr>
            </w:pPr>
          </w:p>
        </w:tc>
      </w:tr>
    </w:tbl>
    <w:p w14:paraId="18B1E002" w14:textId="77777777" w:rsidR="00B33AE4" w:rsidRPr="00A07D62" w:rsidRDefault="00B33AE4" w:rsidP="00AE3E2F">
      <w:pPr>
        <w:jc w:val="both"/>
        <w:rPr>
          <w:rFonts w:eastAsia="Times New Roman"/>
          <w:b/>
          <w:sz w:val="28"/>
          <w:szCs w:val="28"/>
        </w:rPr>
      </w:pPr>
    </w:p>
    <w:p w14:paraId="1F08F23E" w14:textId="00177100" w:rsidR="00AE3E2F" w:rsidRDefault="00AE3E2F" w:rsidP="00AE3E2F">
      <w:pPr>
        <w:spacing w:line="480" w:lineRule="auto"/>
        <w:jc w:val="both"/>
        <w:rPr>
          <w:sz w:val="28"/>
        </w:rPr>
      </w:pPr>
      <w:bookmarkStart w:id="1" w:name="Parties"/>
      <w:bookmarkEnd w:id="1"/>
      <w:r>
        <w:rPr>
          <w:sz w:val="28"/>
        </w:rPr>
        <w:tab/>
      </w:r>
      <w:r w:rsidR="00D65999">
        <w:rPr>
          <w:sz w:val="28"/>
        </w:rPr>
        <w:t>Under</w:t>
      </w:r>
      <w:r>
        <w:rPr>
          <w:sz w:val="28"/>
        </w:rPr>
        <w:t xml:space="preserve"> Rule 28, Rules of the Supreme Court, the Goldwater Institute respectfully submits this comment supporting the State Bar of Arizona’s petition to Abrogate Rule 68, Arizona Rules of Civil Procedure</w:t>
      </w:r>
      <w:r w:rsidR="00274E75">
        <w:rPr>
          <w:sz w:val="28"/>
        </w:rPr>
        <w:t xml:space="preserve"> (“ARCP”)</w:t>
      </w:r>
      <w:r>
        <w:rPr>
          <w:sz w:val="28"/>
        </w:rPr>
        <w:t xml:space="preserve">. The Court is also considering another petition, No. </w:t>
      </w:r>
      <w:r w:rsidRPr="00CA7CC5">
        <w:rPr>
          <w:sz w:val="28"/>
        </w:rPr>
        <w:t>R-</w:t>
      </w:r>
      <w:r w:rsidR="00CA7CC5" w:rsidRPr="00CA7CC5">
        <w:rPr>
          <w:sz w:val="28"/>
        </w:rPr>
        <w:t>19-0001</w:t>
      </w:r>
      <w:r>
        <w:rPr>
          <w:sz w:val="28"/>
        </w:rPr>
        <w:t>, to Amend Rule 68(</w:t>
      </w:r>
      <w:r w:rsidR="00491A82">
        <w:rPr>
          <w:sz w:val="28"/>
        </w:rPr>
        <w:t>g</w:t>
      </w:r>
      <w:r>
        <w:rPr>
          <w:sz w:val="28"/>
        </w:rPr>
        <w:t xml:space="preserve">), Arizona Rules of Civil Procedure. The Court should either grant that Petition or grant the State Bar’s Petition. </w:t>
      </w:r>
    </w:p>
    <w:p w14:paraId="61B3EDB1" w14:textId="2FC5801B" w:rsidR="00491A82" w:rsidRDefault="008F641E" w:rsidP="00AE3E2F">
      <w:pPr>
        <w:spacing w:line="480" w:lineRule="auto"/>
        <w:jc w:val="both"/>
        <w:rPr>
          <w:sz w:val="28"/>
        </w:rPr>
      </w:pPr>
      <w:r w:rsidRPr="008F641E">
        <w:rPr>
          <w:b/>
          <w:sz w:val="28"/>
        </w:rPr>
        <w:t>I.</w:t>
      </w:r>
      <w:r w:rsidR="004E0322">
        <w:rPr>
          <w:b/>
          <w:sz w:val="28"/>
        </w:rPr>
        <w:tab/>
      </w:r>
      <w:r w:rsidR="0001030D">
        <w:rPr>
          <w:b/>
          <w:sz w:val="28"/>
        </w:rPr>
        <w:t>A Survey of Current Offer-of-Judgment Rules</w:t>
      </w:r>
      <w:r w:rsidR="00110A47">
        <w:rPr>
          <w:b/>
          <w:sz w:val="28"/>
        </w:rPr>
        <w:t xml:space="preserve"> Across the United States</w:t>
      </w:r>
    </w:p>
    <w:p w14:paraId="5316D676" w14:textId="08000DE7" w:rsidR="008F641E" w:rsidRDefault="008F641E" w:rsidP="00AE3E2F">
      <w:pPr>
        <w:spacing w:line="480" w:lineRule="auto"/>
        <w:jc w:val="both"/>
        <w:rPr>
          <w:sz w:val="28"/>
        </w:rPr>
      </w:pPr>
      <w:r>
        <w:rPr>
          <w:sz w:val="28"/>
        </w:rPr>
        <w:tab/>
        <w:t xml:space="preserve">If a litigating party rejects a settlement offer and obtains a less favorable judgment, the current </w:t>
      </w:r>
      <w:r w:rsidR="00D3250D">
        <w:rPr>
          <w:sz w:val="28"/>
        </w:rPr>
        <w:t xml:space="preserve">Arizona </w:t>
      </w:r>
      <w:r>
        <w:rPr>
          <w:sz w:val="28"/>
        </w:rPr>
        <w:t xml:space="preserve">rule </w:t>
      </w:r>
      <w:r w:rsidRPr="00C110CB">
        <w:rPr>
          <w:i/>
          <w:sz w:val="28"/>
        </w:rPr>
        <w:t>requires</w:t>
      </w:r>
      <w:r>
        <w:rPr>
          <w:sz w:val="28"/>
        </w:rPr>
        <w:t xml:space="preserve"> the trial court to award sanctions to be paid </w:t>
      </w:r>
      <w:r>
        <w:rPr>
          <w:sz w:val="28"/>
        </w:rPr>
        <w:lastRenderedPageBreak/>
        <w:t xml:space="preserve">by the offeree litigant for, (1) </w:t>
      </w:r>
      <w:r w:rsidR="00274E75">
        <w:rPr>
          <w:sz w:val="28"/>
        </w:rPr>
        <w:t>offeror’s</w:t>
      </w:r>
      <w:r>
        <w:rPr>
          <w:sz w:val="28"/>
        </w:rPr>
        <w:t xml:space="preserve"> expert witness fees, (2) double taxable costs per A.R.S. § 12-332, (3)</w:t>
      </w:r>
      <w:r w:rsidR="00274E75">
        <w:rPr>
          <w:sz w:val="28"/>
        </w:rPr>
        <w:t xml:space="preserve"> </w:t>
      </w:r>
      <w:r>
        <w:rPr>
          <w:sz w:val="28"/>
        </w:rPr>
        <w:t>prejudgment interest</w:t>
      </w:r>
      <w:r w:rsidR="00274E75">
        <w:rPr>
          <w:sz w:val="28"/>
        </w:rPr>
        <w:t xml:space="preserve">, and (4) in some situations, attorney fees. ACRP 68(b), (g). Arizona’s offer-of-judgment rule is the harshest rule there is when compared to </w:t>
      </w:r>
      <w:r w:rsidR="006328CA">
        <w:rPr>
          <w:sz w:val="28"/>
        </w:rPr>
        <w:t xml:space="preserve">its </w:t>
      </w:r>
      <w:r w:rsidR="00274E75">
        <w:rPr>
          <w:sz w:val="28"/>
        </w:rPr>
        <w:t xml:space="preserve">counterparts in 50 states, the District of Columbia, and the Federal Rules of Civil Procedure. Arizona is the only state that has a </w:t>
      </w:r>
      <w:r w:rsidR="00862F8C">
        <w:rPr>
          <w:sz w:val="28"/>
        </w:rPr>
        <w:t xml:space="preserve">superfecta </w:t>
      </w:r>
      <w:r w:rsidR="00274E75">
        <w:rPr>
          <w:sz w:val="28"/>
        </w:rPr>
        <w:t>of sanctions for double costs, expert witness fees, prejudgment interest</w:t>
      </w:r>
      <w:r w:rsidR="00862F8C">
        <w:rPr>
          <w:sz w:val="28"/>
        </w:rPr>
        <w:t>, and attorney fees (if applicable)</w:t>
      </w:r>
      <w:r w:rsidR="00274E75">
        <w:rPr>
          <w:sz w:val="28"/>
        </w:rPr>
        <w:t xml:space="preserve">. </w:t>
      </w:r>
    </w:p>
    <w:p w14:paraId="3FA305C4" w14:textId="3177EBFA" w:rsidR="00274E75" w:rsidRDefault="00274E75" w:rsidP="005A3B13">
      <w:pPr>
        <w:spacing w:line="480" w:lineRule="auto"/>
        <w:jc w:val="both"/>
        <w:rPr>
          <w:sz w:val="28"/>
        </w:rPr>
      </w:pPr>
      <w:r>
        <w:rPr>
          <w:sz w:val="28"/>
        </w:rPr>
        <w:tab/>
        <w:t xml:space="preserve">Other jurisdictions have rejected Arizona-style </w:t>
      </w:r>
      <w:r w:rsidR="00862F8C">
        <w:rPr>
          <w:sz w:val="28"/>
        </w:rPr>
        <w:t xml:space="preserve">punitive </w:t>
      </w:r>
      <w:r>
        <w:rPr>
          <w:sz w:val="28"/>
        </w:rPr>
        <w:t xml:space="preserve">offer-of-judgment rules. </w:t>
      </w:r>
      <w:r>
        <w:rPr>
          <w:i/>
          <w:sz w:val="28"/>
        </w:rPr>
        <w:t xml:space="preserve">See </w:t>
      </w:r>
      <w:r>
        <w:rPr>
          <w:sz w:val="28"/>
        </w:rPr>
        <w:t>Appendix A (list of citations to offer-of-judgment rules in other United States jurisdictions).</w:t>
      </w:r>
      <w:r w:rsidR="00E864AA">
        <w:rPr>
          <w:sz w:val="28"/>
        </w:rPr>
        <w:t xml:space="preserve"> Prominent among them, the federal rule deems unaccepted offers withdrawn rather than rejected</w:t>
      </w:r>
      <w:r w:rsidR="006328CA">
        <w:rPr>
          <w:sz w:val="28"/>
        </w:rPr>
        <w:t>,</w:t>
      </w:r>
      <w:r w:rsidR="00E864AA">
        <w:rPr>
          <w:sz w:val="28"/>
        </w:rPr>
        <w:t xml:space="preserve"> Fed. R. Civ. P. 68(b</w:t>
      </w:r>
      <w:r w:rsidR="006328CA">
        <w:rPr>
          <w:sz w:val="28"/>
        </w:rPr>
        <w:t>), and m</w:t>
      </w:r>
      <w:r w:rsidR="000D29E0">
        <w:rPr>
          <w:sz w:val="28"/>
        </w:rPr>
        <w:t xml:space="preserve">any states have followed the federal model. Under the federal model, </w:t>
      </w:r>
      <w:r w:rsidR="009E1F49">
        <w:rPr>
          <w:sz w:val="28"/>
        </w:rPr>
        <w:t xml:space="preserve">there is no such thing as default sanctions for </w:t>
      </w:r>
      <w:r w:rsidR="009E1F49">
        <w:rPr>
          <w:i/>
          <w:sz w:val="28"/>
        </w:rPr>
        <w:t>rejecting</w:t>
      </w:r>
      <w:r w:rsidR="009E1F49">
        <w:rPr>
          <w:sz w:val="28"/>
        </w:rPr>
        <w:t xml:space="preserve"> the offer </w:t>
      </w:r>
      <w:r w:rsidR="008877BA">
        <w:rPr>
          <w:sz w:val="28"/>
        </w:rPr>
        <w:t>by failing to accept it</w:t>
      </w:r>
      <w:r w:rsidR="009E1F49">
        <w:rPr>
          <w:sz w:val="28"/>
        </w:rPr>
        <w:t xml:space="preserve">. Arizona’s rejection-by-default language, therefore, is in marked contrast. </w:t>
      </w:r>
      <w:r w:rsidR="008877BA">
        <w:rPr>
          <w:sz w:val="28"/>
        </w:rPr>
        <w:t>ARCP 68(d)(1).</w:t>
      </w:r>
      <w:r w:rsidR="005A3B13">
        <w:rPr>
          <w:sz w:val="28"/>
        </w:rPr>
        <w:t xml:space="preserve"> In other words, failing to accept the settlement offer is a </w:t>
      </w:r>
      <w:r w:rsidR="005A3B13" w:rsidRPr="005A3B13">
        <w:rPr>
          <w:i/>
          <w:sz w:val="28"/>
        </w:rPr>
        <w:t>rejection</w:t>
      </w:r>
      <w:r w:rsidR="005A3B13">
        <w:rPr>
          <w:sz w:val="28"/>
        </w:rPr>
        <w:t xml:space="preserve"> under Arizona’s rules but a withdrawal under the federal rules.</w:t>
      </w:r>
    </w:p>
    <w:p w14:paraId="2869E84F" w14:textId="653F1B39" w:rsidR="0001030D" w:rsidRDefault="000D29E0" w:rsidP="00AE3E2F">
      <w:pPr>
        <w:spacing w:line="480" w:lineRule="auto"/>
        <w:jc w:val="both"/>
        <w:rPr>
          <w:sz w:val="28"/>
        </w:rPr>
      </w:pPr>
      <w:r>
        <w:rPr>
          <w:sz w:val="28"/>
        </w:rPr>
        <w:tab/>
      </w:r>
      <w:r w:rsidR="005A3B13" w:rsidRPr="005E6D59">
        <w:rPr>
          <w:sz w:val="28"/>
        </w:rPr>
        <w:t>Ohio and Illinois offer some helpful</w:t>
      </w:r>
      <w:r w:rsidR="005A3B13">
        <w:rPr>
          <w:sz w:val="28"/>
        </w:rPr>
        <w:t xml:space="preserve"> lessons. </w:t>
      </w:r>
      <w:r>
        <w:rPr>
          <w:sz w:val="28"/>
        </w:rPr>
        <w:t xml:space="preserve">Ohio has an </w:t>
      </w:r>
      <w:r>
        <w:rPr>
          <w:i/>
          <w:sz w:val="28"/>
        </w:rPr>
        <w:t>anti</w:t>
      </w:r>
      <w:r>
        <w:rPr>
          <w:sz w:val="28"/>
        </w:rPr>
        <w:t xml:space="preserve">-offer-of-judgment rule. Ohio. R. Civ. P. 68 reads: “An offer of judgment by any party, if refused by an opposite party, may not be filed with the court by the offering party for purposes of a proceeding to determine costs. This rule shall not be construed as limiting </w:t>
      </w:r>
      <w:r>
        <w:rPr>
          <w:sz w:val="28"/>
        </w:rPr>
        <w:lastRenderedPageBreak/>
        <w:t>voluntary offers of settlement made by any party.”</w:t>
      </w:r>
      <w:r w:rsidR="0001030D">
        <w:rPr>
          <w:sz w:val="28"/>
        </w:rPr>
        <w:t xml:space="preserve"> Thus, Ohio courts permit litigants to voluntarily settle cases out of court and then enter dismissals pursuant to the civil rule on dismissing actions, with or without prejudice, as the case may be.</w:t>
      </w:r>
    </w:p>
    <w:p w14:paraId="71C6832E" w14:textId="4340513F" w:rsidR="000D29E0" w:rsidRDefault="0001030D" w:rsidP="00AE3E2F">
      <w:pPr>
        <w:spacing w:line="480" w:lineRule="auto"/>
        <w:jc w:val="both"/>
        <w:rPr>
          <w:sz w:val="28"/>
        </w:rPr>
      </w:pPr>
      <w:r>
        <w:rPr>
          <w:sz w:val="28"/>
        </w:rPr>
        <w:tab/>
      </w:r>
      <w:r w:rsidR="001F0FEF">
        <w:rPr>
          <w:sz w:val="28"/>
        </w:rPr>
        <w:t>I</w:t>
      </w:r>
      <w:r w:rsidR="000D29E0">
        <w:rPr>
          <w:sz w:val="28"/>
        </w:rPr>
        <w:t>n Illinois, our research did not unearth any specific offer-of-judgment rule</w:t>
      </w:r>
      <w:r w:rsidR="007B5A08">
        <w:rPr>
          <w:sz w:val="28"/>
        </w:rPr>
        <w:t xml:space="preserve"> generally applicable to civil actions</w:t>
      </w:r>
      <w:r w:rsidR="000D29E0">
        <w:rPr>
          <w:sz w:val="28"/>
        </w:rPr>
        <w:t xml:space="preserve">. </w:t>
      </w:r>
      <w:r w:rsidR="007B5A08">
        <w:rPr>
          <w:sz w:val="28"/>
        </w:rPr>
        <w:t>I</w:t>
      </w:r>
      <w:r w:rsidR="001F0FEF">
        <w:rPr>
          <w:sz w:val="28"/>
        </w:rPr>
        <w:t>t appears that there are a handful of statutes that loosely relate to offers of judgment in narrow c</w:t>
      </w:r>
      <w:r w:rsidR="001F0FEF" w:rsidRPr="007B5A08">
        <w:rPr>
          <w:sz w:val="28"/>
        </w:rPr>
        <w:t>lass</w:t>
      </w:r>
      <w:r w:rsidR="007B5A08" w:rsidRPr="007B5A08">
        <w:rPr>
          <w:sz w:val="28"/>
        </w:rPr>
        <w:t>es</w:t>
      </w:r>
      <w:r w:rsidR="001F0FEF" w:rsidRPr="007B5A08">
        <w:rPr>
          <w:sz w:val="28"/>
        </w:rPr>
        <w:t xml:space="preserve"> of actions. </w:t>
      </w:r>
      <w:r w:rsidR="007B5A08" w:rsidRPr="007B5A08">
        <w:rPr>
          <w:i/>
          <w:sz w:val="28"/>
        </w:rPr>
        <w:t>See, e.g.</w:t>
      </w:r>
      <w:r w:rsidR="007B5A08" w:rsidRPr="007B5A08">
        <w:rPr>
          <w:sz w:val="28"/>
        </w:rPr>
        <w:t>, 815 Ill. Comp. Stat. 505/10a(h) (car dealership consumer fraud actions); 735 Ill. Comp. Stat. 30/10-5-110 (acquisitions of property for private ownership or control); 735 Ill. Comp. Stat. 5/12-639 (Uniform Foreign-Money Claims Act)</w:t>
      </w:r>
      <w:r w:rsidR="001F0FEF" w:rsidRPr="007B5A08">
        <w:rPr>
          <w:sz w:val="28"/>
        </w:rPr>
        <w:t>. I</w:t>
      </w:r>
      <w:r w:rsidR="001F0FEF">
        <w:rPr>
          <w:sz w:val="28"/>
        </w:rPr>
        <w:t xml:space="preserve">n </w:t>
      </w:r>
      <w:r w:rsidR="001F0FEF">
        <w:rPr>
          <w:i/>
          <w:sz w:val="28"/>
        </w:rPr>
        <w:t>Allen v. Woodfield Chevrolet, Inc.</w:t>
      </w:r>
      <w:r w:rsidR="001F0FEF">
        <w:rPr>
          <w:sz w:val="28"/>
        </w:rPr>
        <w:t xml:space="preserve">, 802 N.E.2d 752 (Ill. 2003), the Court declared </w:t>
      </w:r>
      <w:r w:rsidR="007B5A08">
        <w:rPr>
          <w:sz w:val="28"/>
        </w:rPr>
        <w:t xml:space="preserve">the offer-of-judgment rule relating to car-dealership consumer-fraud actions (815 Ill. Comp. Stat. 505/10a(h)) unconstitutional under the Illinois Constitution’s Special Law Clause, Ill. Const. </w:t>
      </w:r>
      <w:r w:rsidR="00AD591D">
        <w:rPr>
          <w:sz w:val="28"/>
        </w:rPr>
        <w:t xml:space="preserve">1970, </w:t>
      </w:r>
      <w:r w:rsidR="007B5A08">
        <w:rPr>
          <w:sz w:val="28"/>
        </w:rPr>
        <w:t xml:space="preserve">art. IV, § 13. </w:t>
      </w:r>
    </w:p>
    <w:p w14:paraId="0FE8A53B" w14:textId="41C87F0B" w:rsidR="007B5A08" w:rsidRDefault="007B5A08" w:rsidP="00AE3E2F">
      <w:pPr>
        <w:spacing w:line="480" w:lineRule="auto"/>
        <w:jc w:val="both"/>
        <w:rPr>
          <w:sz w:val="28"/>
        </w:rPr>
      </w:pPr>
      <w:r>
        <w:rPr>
          <w:sz w:val="28"/>
        </w:rPr>
        <w:tab/>
        <w:t>The experience in Illinois highlights another aspect of the historic</w:t>
      </w:r>
      <w:r w:rsidR="00D65999">
        <w:rPr>
          <w:sz w:val="28"/>
        </w:rPr>
        <w:t>al</w:t>
      </w:r>
      <w:r>
        <w:rPr>
          <w:sz w:val="28"/>
        </w:rPr>
        <w:t xml:space="preserve"> development of the offer-of-judgment rule. </w:t>
      </w:r>
      <w:r w:rsidR="000409D3" w:rsidRPr="006133F0">
        <w:rPr>
          <w:b/>
          <w:i/>
          <w:sz w:val="28"/>
        </w:rPr>
        <w:t>Seventeen</w:t>
      </w:r>
      <w:r w:rsidR="000409D3">
        <w:rPr>
          <w:sz w:val="28"/>
        </w:rPr>
        <w:t xml:space="preserve"> states, including Illinois, have legislat</w:t>
      </w:r>
      <w:r w:rsidR="006328CA">
        <w:rPr>
          <w:sz w:val="28"/>
        </w:rPr>
        <w:t xml:space="preserve">ively </w:t>
      </w:r>
      <w:r w:rsidR="000409D3">
        <w:rPr>
          <w:sz w:val="28"/>
        </w:rPr>
        <w:t xml:space="preserve">enacted offer-of-judgment rules. </w:t>
      </w:r>
      <w:r w:rsidR="000409D3">
        <w:rPr>
          <w:i/>
          <w:sz w:val="28"/>
        </w:rPr>
        <w:t>See</w:t>
      </w:r>
      <w:r w:rsidR="000409D3">
        <w:rPr>
          <w:sz w:val="28"/>
        </w:rPr>
        <w:t xml:space="preserve"> Appendix A.</w:t>
      </w:r>
      <w:r w:rsidR="00AC7704">
        <w:rPr>
          <w:sz w:val="28"/>
        </w:rPr>
        <w:t xml:space="preserve"> </w:t>
      </w:r>
      <w:r w:rsidR="006133F0">
        <w:rPr>
          <w:sz w:val="28"/>
        </w:rPr>
        <w:t xml:space="preserve">One-third </w:t>
      </w:r>
      <w:r w:rsidR="00AC7704">
        <w:rPr>
          <w:sz w:val="28"/>
        </w:rPr>
        <w:t xml:space="preserve">of </w:t>
      </w:r>
      <w:r w:rsidR="006133F0">
        <w:rPr>
          <w:sz w:val="28"/>
        </w:rPr>
        <w:t xml:space="preserve">the </w:t>
      </w:r>
      <w:r w:rsidR="00AC7704">
        <w:rPr>
          <w:sz w:val="28"/>
        </w:rPr>
        <w:t>states</w:t>
      </w:r>
      <w:r w:rsidR="00862F8C">
        <w:rPr>
          <w:sz w:val="28"/>
        </w:rPr>
        <w:t>, thus,</w:t>
      </w:r>
      <w:r w:rsidR="00AC7704">
        <w:rPr>
          <w:sz w:val="28"/>
        </w:rPr>
        <w:t xml:space="preserve"> consider </w:t>
      </w:r>
      <w:r w:rsidR="00862F8C">
        <w:rPr>
          <w:sz w:val="28"/>
        </w:rPr>
        <w:t xml:space="preserve">the </w:t>
      </w:r>
      <w:r w:rsidR="00AC7704">
        <w:rPr>
          <w:sz w:val="28"/>
        </w:rPr>
        <w:t xml:space="preserve">rule a matter of substantive policy that must be </w:t>
      </w:r>
      <w:r w:rsidR="00AC7704" w:rsidRPr="00D65999">
        <w:rPr>
          <w:i/>
          <w:sz w:val="28"/>
        </w:rPr>
        <w:t>legislated</w:t>
      </w:r>
      <w:r w:rsidR="008877BA">
        <w:rPr>
          <w:sz w:val="28"/>
        </w:rPr>
        <w:t>, not promulgated by the judiciary by employing a largely-opaque rulemaking process</w:t>
      </w:r>
      <w:r w:rsidR="00AC7704">
        <w:rPr>
          <w:sz w:val="28"/>
        </w:rPr>
        <w:t xml:space="preserve">. In these states, therefore, the state’s high court has no authority </w:t>
      </w:r>
      <w:r w:rsidR="00D65999">
        <w:rPr>
          <w:sz w:val="28"/>
        </w:rPr>
        <w:t>under</w:t>
      </w:r>
      <w:r w:rsidR="00AC7704">
        <w:rPr>
          <w:sz w:val="28"/>
        </w:rPr>
        <w:t xml:space="preserve"> its inherent power to establish rules of court to promulgate any offer-of-judgment rule. </w:t>
      </w:r>
    </w:p>
    <w:p w14:paraId="6CE223EA" w14:textId="4FFE1E07" w:rsidR="00862F8C" w:rsidRPr="00862F8C" w:rsidRDefault="00862F8C" w:rsidP="00AE3E2F">
      <w:pPr>
        <w:spacing w:line="480" w:lineRule="auto"/>
        <w:jc w:val="both"/>
        <w:rPr>
          <w:b/>
          <w:sz w:val="28"/>
        </w:rPr>
      </w:pPr>
      <w:r w:rsidRPr="00862F8C">
        <w:rPr>
          <w:b/>
          <w:sz w:val="28"/>
        </w:rPr>
        <w:lastRenderedPageBreak/>
        <w:t>II.</w:t>
      </w:r>
      <w:r w:rsidR="00AD591D">
        <w:rPr>
          <w:b/>
          <w:sz w:val="28"/>
        </w:rPr>
        <w:tab/>
      </w:r>
      <w:r>
        <w:rPr>
          <w:b/>
          <w:sz w:val="28"/>
        </w:rPr>
        <w:t xml:space="preserve">This Court </w:t>
      </w:r>
      <w:r w:rsidRPr="00862F8C">
        <w:rPr>
          <w:b/>
          <w:sz w:val="28"/>
        </w:rPr>
        <w:t xml:space="preserve">Should Abrogate </w:t>
      </w:r>
      <w:r>
        <w:rPr>
          <w:b/>
          <w:sz w:val="28"/>
        </w:rPr>
        <w:t xml:space="preserve">Arizona’s Punitive </w:t>
      </w:r>
      <w:r w:rsidRPr="00862F8C">
        <w:rPr>
          <w:b/>
          <w:sz w:val="28"/>
        </w:rPr>
        <w:t>Offer-of-Judgment Rule</w:t>
      </w:r>
      <w:r>
        <w:rPr>
          <w:b/>
          <w:sz w:val="28"/>
        </w:rPr>
        <w:t>.</w:t>
      </w:r>
    </w:p>
    <w:p w14:paraId="732BD38B" w14:textId="18922A51" w:rsidR="009E1F49" w:rsidRDefault="009E1F49" w:rsidP="00AE3E2F">
      <w:pPr>
        <w:spacing w:line="480" w:lineRule="auto"/>
        <w:jc w:val="both"/>
        <w:rPr>
          <w:sz w:val="28"/>
        </w:rPr>
      </w:pPr>
      <w:r>
        <w:rPr>
          <w:sz w:val="28"/>
        </w:rPr>
        <w:tab/>
      </w:r>
      <w:r w:rsidR="006133F0">
        <w:rPr>
          <w:sz w:val="28"/>
        </w:rPr>
        <w:t>There are several compelling reasons for abrogating Arizona’s Rule 68</w:t>
      </w:r>
      <w:r w:rsidR="006328CA">
        <w:rPr>
          <w:sz w:val="28"/>
        </w:rPr>
        <w:t xml:space="preserve"> that</w:t>
      </w:r>
      <w:r w:rsidR="00D65999">
        <w:rPr>
          <w:sz w:val="28"/>
        </w:rPr>
        <w:t xml:space="preserve"> easily eclipse the one rationale that purportedly supports Rule 68</w:t>
      </w:r>
      <w:r w:rsidR="005B6ECF">
        <w:rPr>
          <w:sz w:val="28"/>
        </w:rPr>
        <w:t>. The Court should, therefore, abrogate Rule 68.</w:t>
      </w:r>
    </w:p>
    <w:p w14:paraId="0A424F47" w14:textId="6E1E1E3E" w:rsidR="005B6ECF" w:rsidRDefault="006750DD" w:rsidP="00AE3E2F">
      <w:pPr>
        <w:spacing w:line="480" w:lineRule="auto"/>
        <w:jc w:val="both"/>
        <w:rPr>
          <w:sz w:val="28"/>
        </w:rPr>
      </w:pPr>
      <w:r>
        <w:rPr>
          <w:sz w:val="28"/>
        </w:rPr>
        <w:tab/>
        <w:t xml:space="preserve">The purpose of Rule 68, Arizona courts have said, is to encourage settlement and avoid protracted litigation. </w:t>
      </w:r>
      <w:r>
        <w:rPr>
          <w:i/>
          <w:sz w:val="28"/>
        </w:rPr>
        <w:t>See, e.g.</w:t>
      </w:r>
      <w:r>
        <w:rPr>
          <w:sz w:val="28"/>
        </w:rPr>
        <w:t xml:space="preserve">, </w:t>
      </w:r>
      <w:r>
        <w:rPr>
          <w:i/>
          <w:sz w:val="28"/>
        </w:rPr>
        <w:t>Twin City Const. of Fargo</w:t>
      </w:r>
      <w:r w:rsidR="00AD591D">
        <w:rPr>
          <w:i/>
          <w:sz w:val="28"/>
        </w:rPr>
        <w:t>, N.D.</w:t>
      </w:r>
      <w:r>
        <w:rPr>
          <w:i/>
          <w:sz w:val="28"/>
        </w:rPr>
        <w:t xml:space="preserve"> v. Cantor</w:t>
      </w:r>
      <w:r>
        <w:rPr>
          <w:sz w:val="28"/>
        </w:rPr>
        <w:t xml:space="preserve">, </w:t>
      </w:r>
      <w:r w:rsidR="00DD6829">
        <w:rPr>
          <w:sz w:val="28"/>
        </w:rPr>
        <w:t>22 Ariz. App. 133</w:t>
      </w:r>
      <w:r w:rsidR="00AD591D">
        <w:rPr>
          <w:sz w:val="28"/>
        </w:rPr>
        <w:t>, 135</w:t>
      </w:r>
      <w:r w:rsidR="00DD6829">
        <w:rPr>
          <w:sz w:val="28"/>
        </w:rPr>
        <w:t xml:space="preserve"> (1974). </w:t>
      </w:r>
      <w:r w:rsidR="005B6ECF">
        <w:rPr>
          <w:sz w:val="28"/>
        </w:rPr>
        <w:t>That is the only rationale ever identified for Rule 68.</w:t>
      </w:r>
    </w:p>
    <w:p w14:paraId="6782DB39" w14:textId="05656125" w:rsidR="00274E75" w:rsidRDefault="005B6ECF" w:rsidP="00AE3E2F">
      <w:pPr>
        <w:spacing w:line="480" w:lineRule="auto"/>
        <w:jc w:val="both"/>
        <w:rPr>
          <w:sz w:val="28"/>
        </w:rPr>
      </w:pPr>
      <w:r>
        <w:rPr>
          <w:sz w:val="28"/>
        </w:rPr>
        <w:tab/>
      </w:r>
      <w:r w:rsidR="00DD6829">
        <w:rPr>
          <w:sz w:val="28"/>
        </w:rPr>
        <w:t xml:space="preserve">In practice, however, this rule seldom encourages reasonable settlement behavior. Arizona’s “must pay” language, ARCP 68(g)(1), for example, does not permit courts to perform a reasonableness analysis. The sanction is “both mandatory and punitive.” </w:t>
      </w:r>
      <w:r w:rsidR="00DD6829">
        <w:rPr>
          <w:i/>
          <w:sz w:val="28"/>
        </w:rPr>
        <w:t>Stafford v. Burns</w:t>
      </w:r>
      <w:r w:rsidR="00DD6829">
        <w:rPr>
          <w:sz w:val="28"/>
        </w:rPr>
        <w:t xml:space="preserve">, 241 Ariz. 474, 485 ¶ 41 (App. 2017). Other jurisdictions provide judges discretion to waive or reduce the offer-of-judgment awards if justice so requires. </w:t>
      </w:r>
      <w:r w:rsidR="00DD6829">
        <w:rPr>
          <w:i/>
          <w:sz w:val="28"/>
        </w:rPr>
        <w:t xml:space="preserve">See </w:t>
      </w:r>
      <w:r w:rsidR="00D65999">
        <w:rPr>
          <w:sz w:val="28"/>
        </w:rPr>
        <w:t>A</w:t>
      </w:r>
      <w:r w:rsidR="00DD6829">
        <w:rPr>
          <w:sz w:val="28"/>
        </w:rPr>
        <w:t>ppendix A.</w:t>
      </w:r>
    </w:p>
    <w:p w14:paraId="726DB0DF" w14:textId="246BB8AA" w:rsidR="006328CA" w:rsidRPr="006328CA" w:rsidRDefault="00DD6829" w:rsidP="00AE3E2F">
      <w:pPr>
        <w:spacing w:line="480" w:lineRule="auto"/>
        <w:jc w:val="both"/>
        <w:rPr>
          <w:sz w:val="28"/>
        </w:rPr>
      </w:pPr>
      <w:r>
        <w:rPr>
          <w:sz w:val="28"/>
        </w:rPr>
        <w:tab/>
        <w:t xml:space="preserve">In other words, Arizona imposes sanctions even when the offeree </w:t>
      </w:r>
      <w:r w:rsidRPr="005A3B13">
        <w:rPr>
          <w:i/>
          <w:sz w:val="28"/>
        </w:rPr>
        <w:t>reasonably</w:t>
      </w:r>
      <w:r>
        <w:rPr>
          <w:sz w:val="28"/>
        </w:rPr>
        <w:t xml:space="preserve"> </w:t>
      </w:r>
      <w:r>
        <w:rPr>
          <w:i/>
          <w:sz w:val="28"/>
        </w:rPr>
        <w:t>rejects</w:t>
      </w:r>
      <w:r>
        <w:rPr>
          <w:sz w:val="28"/>
        </w:rPr>
        <w:t xml:space="preserve"> an offer. In Arizona</w:t>
      </w:r>
      <w:r w:rsidR="00D65999">
        <w:rPr>
          <w:sz w:val="28"/>
        </w:rPr>
        <w:t>,</w:t>
      </w:r>
      <w:r>
        <w:rPr>
          <w:sz w:val="28"/>
        </w:rPr>
        <w:t xml:space="preserve"> there is no nexus between the reasonableness of the rejection and the amount</w:t>
      </w:r>
      <w:r w:rsidR="00D65999">
        <w:rPr>
          <w:sz w:val="28"/>
        </w:rPr>
        <w:t xml:space="preserve"> of sanctions</w:t>
      </w:r>
      <w:r>
        <w:rPr>
          <w:sz w:val="28"/>
        </w:rPr>
        <w:t xml:space="preserve">. A plaintiff who rejects a $10 settlement offer and ultimately wins a $5 award could be sanctioned the same amount as a plaintiff </w:t>
      </w:r>
      <w:r w:rsidR="00050BB7">
        <w:rPr>
          <w:sz w:val="28"/>
        </w:rPr>
        <w:t xml:space="preserve">with the same cause of action </w:t>
      </w:r>
      <w:r w:rsidR="00D65999">
        <w:rPr>
          <w:sz w:val="28"/>
        </w:rPr>
        <w:t>that</w:t>
      </w:r>
      <w:r w:rsidR="00050BB7">
        <w:rPr>
          <w:sz w:val="28"/>
        </w:rPr>
        <w:t xml:space="preserve"> turns down a $1 million offer and ultimately wins a $500,000 award. The sanction amount, therefore, is tied solely to the vagaries of how much the </w:t>
      </w:r>
      <w:r w:rsidR="00050BB7">
        <w:rPr>
          <w:i/>
          <w:sz w:val="28"/>
        </w:rPr>
        <w:t>defendant</w:t>
      </w:r>
      <w:r w:rsidR="00050BB7">
        <w:rPr>
          <w:sz w:val="28"/>
        </w:rPr>
        <w:t xml:space="preserve"> chooses to spend, not to the reasonableness of the plaintiff’s actions or the merits of </w:t>
      </w:r>
      <w:r w:rsidR="000401FE">
        <w:rPr>
          <w:sz w:val="28"/>
        </w:rPr>
        <w:t xml:space="preserve">the </w:t>
      </w:r>
      <w:r w:rsidR="00050BB7">
        <w:rPr>
          <w:sz w:val="28"/>
        </w:rPr>
        <w:t xml:space="preserve">plaintiff’s claims. </w:t>
      </w:r>
      <w:r w:rsidR="006328CA">
        <w:rPr>
          <w:sz w:val="28"/>
        </w:rPr>
        <w:t xml:space="preserve">It is bizarre that state law would punish a party—i.e., </w:t>
      </w:r>
      <w:r w:rsidR="006328CA">
        <w:rPr>
          <w:i/>
          <w:sz w:val="28"/>
        </w:rPr>
        <w:t xml:space="preserve">sanction </w:t>
      </w:r>
      <w:r w:rsidR="006328CA">
        <w:rPr>
          <w:sz w:val="28"/>
        </w:rPr>
        <w:t>that party—for reasonable behavior.</w:t>
      </w:r>
    </w:p>
    <w:p w14:paraId="671D6482" w14:textId="0AB0662E" w:rsidR="00050BB7" w:rsidRDefault="00050BB7" w:rsidP="00AE3E2F">
      <w:pPr>
        <w:spacing w:line="480" w:lineRule="auto"/>
        <w:jc w:val="both"/>
        <w:rPr>
          <w:sz w:val="28"/>
        </w:rPr>
      </w:pPr>
      <w:r>
        <w:rPr>
          <w:sz w:val="28"/>
        </w:rPr>
        <w:tab/>
        <w:t xml:space="preserve">What’s more, this Court’s 1992 Amendment to Rule 68 imposed an additional sanction of “double taxable costs, if the judgment finally obtained is </w:t>
      </w:r>
      <w:r w:rsidRPr="00785E52">
        <w:rPr>
          <w:i/>
          <w:sz w:val="28"/>
        </w:rPr>
        <w:t>equal to or more favorable than</w:t>
      </w:r>
      <w:r>
        <w:rPr>
          <w:sz w:val="28"/>
        </w:rPr>
        <w:t xml:space="preserve"> the offer.” </w:t>
      </w:r>
      <w:r>
        <w:rPr>
          <w:i/>
          <w:sz w:val="28"/>
        </w:rPr>
        <w:t>Drozda v. McComas</w:t>
      </w:r>
      <w:r>
        <w:rPr>
          <w:sz w:val="28"/>
        </w:rPr>
        <w:t>, 181 Ariz. 82, 84 (App. 1994)</w:t>
      </w:r>
      <w:r w:rsidR="00AD591D">
        <w:rPr>
          <w:sz w:val="28"/>
        </w:rPr>
        <w:t xml:space="preserve"> (emphasis added)</w:t>
      </w:r>
      <w:r>
        <w:rPr>
          <w:sz w:val="28"/>
        </w:rPr>
        <w:t xml:space="preserve">. </w:t>
      </w:r>
      <w:r w:rsidR="006328CA">
        <w:rPr>
          <w:sz w:val="28"/>
        </w:rPr>
        <w:t>Therefore, the rule creates the risk that a</w:t>
      </w:r>
      <w:r w:rsidR="00785E52">
        <w:rPr>
          <w:sz w:val="28"/>
        </w:rPr>
        <w:t xml:space="preserve"> defendant, by the simple expediency of offering a low-ball judgment that the plaintiff will likely </w:t>
      </w:r>
      <w:r w:rsidR="006328CA">
        <w:rPr>
          <w:sz w:val="28"/>
        </w:rPr>
        <w:t>ignore</w:t>
      </w:r>
      <w:r w:rsidR="00785E52">
        <w:rPr>
          <w:sz w:val="28"/>
        </w:rPr>
        <w:t xml:space="preserve">, </w:t>
      </w:r>
      <w:r w:rsidR="00D65999">
        <w:rPr>
          <w:sz w:val="28"/>
        </w:rPr>
        <w:t>can</w:t>
      </w:r>
      <w:r w:rsidR="00785E52">
        <w:rPr>
          <w:sz w:val="28"/>
        </w:rPr>
        <w:t xml:space="preserve"> obtain </w:t>
      </w:r>
      <w:r w:rsidR="00785E52">
        <w:rPr>
          <w:i/>
          <w:sz w:val="28"/>
        </w:rPr>
        <w:t>double taxable costs</w:t>
      </w:r>
      <w:r w:rsidR="00785E52">
        <w:rPr>
          <w:sz w:val="28"/>
        </w:rPr>
        <w:t xml:space="preserve"> even if the plaintiff wins </w:t>
      </w:r>
      <w:r w:rsidR="00785E52">
        <w:rPr>
          <w:i/>
          <w:sz w:val="28"/>
        </w:rPr>
        <w:t>more than</w:t>
      </w:r>
      <w:r w:rsidR="00785E52">
        <w:rPr>
          <w:sz w:val="28"/>
        </w:rPr>
        <w:t xml:space="preserve"> the offer amount. </w:t>
      </w:r>
    </w:p>
    <w:p w14:paraId="03FFD878" w14:textId="17E1FE1F" w:rsidR="004F7187" w:rsidRDefault="004F7187" w:rsidP="00AE3E2F">
      <w:pPr>
        <w:spacing w:line="480" w:lineRule="auto"/>
        <w:jc w:val="both"/>
        <w:rPr>
          <w:sz w:val="28"/>
        </w:rPr>
      </w:pPr>
      <w:r>
        <w:rPr>
          <w:sz w:val="28"/>
        </w:rPr>
        <w:tab/>
        <w:t xml:space="preserve">Even more troubling, Rule 68 coerces settlement under the threat of sanctions. Settlement is a tool for resolving conflicts </w:t>
      </w:r>
      <w:r w:rsidR="002C4C5D">
        <w:rPr>
          <w:sz w:val="28"/>
        </w:rPr>
        <w:t xml:space="preserve">voluntarily </w:t>
      </w:r>
      <w:r>
        <w:rPr>
          <w:sz w:val="28"/>
        </w:rPr>
        <w:t xml:space="preserve">in a manner agreeable to both parties. </w:t>
      </w:r>
      <w:r w:rsidR="006328CA">
        <w:rPr>
          <w:sz w:val="28"/>
        </w:rPr>
        <w:t xml:space="preserve">The Rules should not operate as a thumb on the scale favoring defendants or pressure a party to settle a case where that party rightly believes he or she is entitled to ultimate judgment. But—as explained in detail in the Goldwater Institute’s petition to amend Rule 68—the </w:t>
      </w:r>
      <w:r>
        <w:rPr>
          <w:sz w:val="28"/>
        </w:rPr>
        <w:t xml:space="preserve">Rule </w:t>
      </w:r>
      <w:r w:rsidR="000222A6">
        <w:rPr>
          <w:sz w:val="28"/>
        </w:rPr>
        <w:t xml:space="preserve">has a chilling effect on </w:t>
      </w:r>
      <w:r>
        <w:rPr>
          <w:sz w:val="28"/>
        </w:rPr>
        <w:t>plaintiff</w:t>
      </w:r>
      <w:r w:rsidR="005B6ECF">
        <w:rPr>
          <w:sz w:val="28"/>
        </w:rPr>
        <w:t xml:space="preserve">s </w:t>
      </w:r>
      <w:r w:rsidR="000222A6">
        <w:rPr>
          <w:sz w:val="28"/>
        </w:rPr>
        <w:t>bringing meritorious suits</w:t>
      </w:r>
      <w:r>
        <w:rPr>
          <w:sz w:val="28"/>
        </w:rPr>
        <w:t xml:space="preserve">. The coercive effect of Rule 68 is more pronounced in cases with plaintiffs of limited financial means litigating meritorious lawsuits against deep-pocket defendants. The anti-poor-plaintiff bias of Rule 68 has limited, if any, saving grace. </w:t>
      </w:r>
    </w:p>
    <w:p w14:paraId="72360A2F" w14:textId="77777777" w:rsidR="002D766C" w:rsidRDefault="002D766C">
      <w:pPr>
        <w:spacing w:after="160" w:line="259" w:lineRule="auto"/>
        <w:rPr>
          <w:b/>
          <w:sz w:val="28"/>
        </w:rPr>
      </w:pPr>
      <w:r>
        <w:rPr>
          <w:b/>
          <w:sz w:val="28"/>
        </w:rPr>
        <w:br w:type="page"/>
      </w:r>
    </w:p>
    <w:p w14:paraId="6928E0ED" w14:textId="414AEB6A" w:rsidR="005B6ECF" w:rsidRDefault="00AD591D" w:rsidP="00AD591D">
      <w:pPr>
        <w:ind w:left="720" w:hanging="720"/>
        <w:jc w:val="both"/>
        <w:rPr>
          <w:b/>
          <w:sz w:val="28"/>
        </w:rPr>
      </w:pPr>
      <w:r>
        <w:rPr>
          <w:b/>
          <w:sz w:val="28"/>
        </w:rPr>
        <w:t>III.</w:t>
      </w:r>
      <w:r>
        <w:rPr>
          <w:b/>
          <w:sz w:val="28"/>
        </w:rPr>
        <w:tab/>
      </w:r>
      <w:r w:rsidR="005B6ECF" w:rsidRPr="005B6ECF">
        <w:rPr>
          <w:b/>
          <w:sz w:val="28"/>
        </w:rPr>
        <w:t>Other Less-Draconian</w:t>
      </w:r>
      <w:r w:rsidR="000222A6">
        <w:rPr>
          <w:b/>
          <w:sz w:val="28"/>
        </w:rPr>
        <w:t>—and Constitutional—</w:t>
      </w:r>
      <w:r w:rsidR="005B6ECF" w:rsidRPr="005B6ECF">
        <w:rPr>
          <w:b/>
          <w:sz w:val="28"/>
        </w:rPr>
        <w:t>Means Exist to Foster Settlements.</w:t>
      </w:r>
    </w:p>
    <w:p w14:paraId="74E963B0" w14:textId="77777777" w:rsidR="00AD591D" w:rsidRPr="005B6ECF" w:rsidRDefault="00AD591D" w:rsidP="00AD591D">
      <w:pPr>
        <w:ind w:left="720" w:hanging="720"/>
        <w:jc w:val="both"/>
        <w:rPr>
          <w:b/>
          <w:sz w:val="28"/>
        </w:rPr>
      </w:pPr>
    </w:p>
    <w:p w14:paraId="6D1FBC9F" w14:textId="3EA8A6C1" w:rsidR="005B6ECF" w:rsidRDefault="005B6ECF" w:rsidP="00AE3E2F">
      <w:pPr>
        <w:spacing w:line="480" w:lineRule="auto"/>
        <w:jc w:val="both"/>
        <w:rPr>
          <w:sz w:val="28"/>
        </w:rPr>
      </w:pPr>
      <w:r>
        <w:rPr>
          <w:sz w:val="28"/>
        </w:rPr>
        <w:tab/>
        <w:t xml:space="preserve">Encouraging settlements is a policy goal that is already achieved by </w:t>
      </w:r>
      <w:r w:rsidR="000222A6">
        <w:rPr>
          <w:sz w:val="28"/>
        </w:rPr>
        <w:t xml:space="preserve">Arizona’s </w:t>
      </w:r>
      <w:r>
        <w:rPr>
          <w:sz w:val="28"/>
        </w:rPr>
        <w:t>comprehensive statutory scheme. A few examples: A.R.S. §§ 12-346, 12-348, 12-349</w:t>
      </w:r>
      <w:r w:rsidR="000222A6">
        <w:rPr>
          <w:sz w:val="28"/>
        </w:rPr>
        <w:t xml:space="preserve">, 12-350, 12-3201. </w:t>
      </w:r>
      <w:r w:rsidR="000401FE">
        <w:rPr>
          <w:sz w:val="28"/>
        </w:rPr>
        <w:t xml:space="preserve">These statutes show that when the people’s representatives have tackled the question of encouraging settlements, they have enacted laws markedly less onerous than Rule 68. </w:t>
      </w:r>
    </w:p>
    <w:p w14:paraId="0C63BFAF" w14:textId="31EF87AD" w:rsidR="005B6ECF" w:rsidRDefault="000222A6" w:rsidP="00AE3E2F">
      <w:pPr>
        <w:spacing w:line="480" w:lineRule="auto"/>
        <w:jc w:val="both"/>
        <w:rPr>
          <w:sz w:val="28"/>
        </w:rPr>
      </w:pPr>
      <w:r>
        <w:rPr>
          <w:sz w:val="28"/>
        </w:rPr>
        <w:tab/>
        <w:t xml:space="preserve">This point also highlights the solution that 17 states have adopted: leaving policy-making to the other two coordinate branches of government. Seventeen states’ high courts have left </w:t>
      </w:r>
      <w:r w:rsidR="007470C6">
        <w:rPr>
          <w:sz w:val="28"/>
        </w:rPr>
        <w:t xml:space="preserve">the matter of encouraging settlement </w:t>
      </w:r>
      <w:r>
        <w:rPr>
          <w:sz w:val="28"/>
        </w:rPr>
        <w:t>to their respective legislatures.</w:t>
      </w:r>
      <w:r>
        <w:rPr>
          <w:rStyle w:val="FootnoteReference"/>
          <w:sz w:val="28"/>
        </w:rPr>
        <w:footnoteReference w:id="1"/>
      </w:r>
      <w:r>
        <w:rPr>
          <w:sz w:val="28"/>
        </w:rPr>
        <w:t xml:space="preserve"> </w:t>
      </w:r>
      <w:r w:rsidR="00AB6DA4">
        <w:rPr>
          <w:sz w:val="28"/>
        </w:rPr>
        <w:t>This Court should do the same.</w:t>
      </w:r>
    </w:p>
    <w:p w14:paraId="6A594083" w14:textId="11A6547A" w:rsidR="00AB6DA4" w:rsidRDefault="00AB6DA4" w:rsidP="007470C6">
      <w:pPr>
        <w:spacing w:line="480" w:lineRule="auto"/>
        <w:jc w:val="both"/>
        <w:rPr>
          <w:sz w:val="28"/>
        </w:rPr>
      </w:pPr>
      <w:r>
        <w:rPr>
          <w:sz w:val="28"/>
        </w:rPr>
        <w:tab/>
        <w:t>Settlement policy is not a procedural, claim-processing rule. And sanctioning a litigant for not settling is certainly a policy objective that is better left to the legislature</w:t>
      </w:r>
      <w:r w:rsidR="00D65999">
        <w:rPr>
          <w:sz w:val="28"/>
        </w:rPr>
        <w:t xml:space="preserve"> </w:t>
      </w:r>
      <w:r w:rsidR="000D1811">
        <w:rPr>
          <w:sz w:val="28"/>
        </w:rPr>
        <w:t>to preserve the judiciary’s role as an independent branch of government that does not engage in policymaking</w:t>
      </w:r>
      <w:r>
        <w:rPr>
          <w:sz w:val="28"/>
        </w:rPr>
        <w:t xml:space="preserve">. </w:t>
      </w:r>
      <w:r w:rsidR="007470C6">
        <w:rPr>
          <w:sz w:val="28"/>
        </w:rPr>
        <w:t>Therefore, abrogating Rule 68 would also better respect the Arizona Constitution’s Separation-of-Powers Clause. Ariz. Const. art. III.</w:t>
      </w:r>
    </w:p>
    <w:p w14:paraId="1C815D46" w14:textId="09845205" w:rsidR="00AB6DA4" w:rsidRDefault="00AB6DA4" w:rsidP="00AE3E2F">
      <w:pPr>
        <w:spacing w:line="480" w:lineRule="auto"/>
        <w:jc w:val="both"/>
        <w:rPr>
          <w:sz w:val="28"/>
        </w:rPr>
      </w:pPr>
      <w:r>
        <w:rPr>
          <w:sz w:val="28"/>
        </w:rPr>
        <w:tab/>
        <w:t xml:space="preserve">Abrogating Rule 68 also respects the zone of rulemaking authority that the Arizona Constitution, in plain words, has given this Court. Ariz. Const. art. VI, § 5 </w:t>
      </w:r>
      <w:r w:rsidR="00417949">
        <w:rPr>
          <w:sz w:val="28"/>
        </w:rPr>
        <w:t xml:space="preserve">(emphasis added), </w:t>
      </w:r>
      <w:r>
        <w:rPr>
          <w:sz w:val="28"/>
        </w:rPr>
        <w:t xml:space="preserve">gives this Court the “[p]ower to make rules relative to all </w:t>
      </w:r>
      <w:r>
        <w:rPr>
          <w:i/>
          <w:sz w:val="28"/>
        </w:rPr>
        <w:t xml:space="preserve">procedural </w:t>
      </w:r>
      <w:r w:rsidRPr="005A3B13">
        <w:rPr>
          <w:sz w:val="28"/>
        </w:rPr>
        <w:t>matters</w:t>
      </w:r>
      <w:r>
        <w:rPr>
          <w:sz w:val="28"/>
        </w:rPr>
        <w:t xml:space="preserve"> in any court.” It is doubtful if this Court ever had the authority to </w:t>
      </w:r>
      <w:r w:rsidR="00BD0534">
        <w:rPr>
          <w:sz w:val="28"/>
        </w:rPr>
        <w:t xml:space="preserve">issue mandatory </w:t>
      </w:r>
      <w:r w:rsidR="00BD0534" w:rsidRPr="005A3B13">
        <w:rPr>
          <w:i/>
          <w:sz w:val="28"/>
        </w:rPr>
        <w:t>substantive</w:t>
      </w:r>
      <w:r w:rsidR="00BD0534">
        <w:rPr>
          <w:sz w:val="28"/>
        </w:rPr>
        <w:t xml:space="preserve"> policy statements </w:t>
      </w:r>
      <w:r w:rsidR="00F52D02">
        <w:rPr>
          <w:sz w:val="28"/>
        </w:rPr>
        <w:t xml:space="preserve">like the one </w:t>
      </w:r>
      <w:r w:rsidR="00BD0534">
        <w:rPr>
          <w:sz w:val="28"/>
        </w:rPr>
        <w:t xml:space="preserve">embedded in </w:t>
      </w:r>
      <w:r w:rsidR="007470C6">
        <w:rPr>
          <w:sz w:val="28"/>
        </w:rPr>
        <w:t>Rule 68</w:t>
      </w:r>
      <w:r w:rsidR="00BD0534">
        <w:rPr>
          <w:sz w:val="28"/>
        </w:rPr>
        <w:t xml:space="preserve">. </w:t>
      </w:r>
    </w:p>
    <w:p w14:paraId="42021831" w14:textId="269D5572" w:rsidR="00BD0534" w:rsidRDefault="00BD0534" w:rsidP="00AE3E2F">
      <w:pPr>
        <w:spacing w:line="480" w:lineRule="auto"/>
        <w:jc w:val="both"/>
        <w:rPr>
          <w:sz w:val="28"/>
        </w:rPr>
      </w:pPr>
      <w:r>
        <w:rPr>
          <w:sz w:val="28"/>
        </w:rPr>
        <w:tab/>
      </w:r>
      <w:r w:rsidR="00417949">
        <w:rPr>
          <w:sz w:val="28"/>
        </w:rPr>
        <w:t xml:space="preserve">Nor should the Court wait to abrogate Rule 68 until an appropriate </w:t>
      </w:r>
      <w:r w:rsidR="00417949" w:rsidRPr="00417949">
        <w:rPr>
          <w:i/>
          <w:sz w:val="28"/>
        </w:rPr>
        <w:t>case</w:t>
      </w:r>
      <w:r w:rsidR="00417949">
        <w:rPr>
          <w:sz w:val="28"/>
        </w:rPr>
        <w:t xml:space="preserve"> comes to the Court on a petition for review. First, such a case is unlikely to be brought to this Court</w:t>
      </w:r>
      <w:r w:rsidR="007470C6">
        <w:rPr>
          <w:sz w:val="28"/>
        </w:rPr>
        <w:t>, since the very purpose of the rule is to discourage litigation to the state’s highest court</w:t>
      </w:r>
      <w:r w:rsidR="00417949">
        <w:rPr>
          <w:sz w:val="28"/>
        </w:rPr>
        <w:t xml:space="preserve">. Offeree litigants would not want to accumulate </w:t>
      </w:r>
      <w:r w:rsidR="006B0919">
        <w:rPr>
          <w:sz w:val="28"/>
        </w:rPr>
        <w:t xml:space="preserve">sanctions, </w:t>
      </w:r>
      <w:r w:rsidR="00417949">
        <w:rPr>
          <w:sz w:val="28"/>
        </w:rPr>
        <w:t xml:space="preserve">costs, fees, and post-offer interest to gamble on the Court granting discretionary review. Second, amending rules through litigation has been and should remain a rare exercise. </w:t>
      </w:r>
      <w:r w:rsidR="00417949">
        <w:rPr>
          <w:i/>
          <w:sz w:val="28"/>
        </w:rPr>
        <w:t>See, e.g.</w:t>
      </w:r>
      <w:r w:rsidR="00417949">
        <w:rPr>
          <w:sz w:val="28"/>
        </w:rPr>
        <w:t xml:space="preserve">, </w:t>
      </w:r>
      <w:r w:rsidR="00417949">
        <w:rPr>
          <w:i/>
          <w:sz w:val="28"/>
        </w:rPr>
        <w:t>Phillips v. O’Neil</w:t>
      </w:r>
      <w:r w:rsidR="00417949">
        <w:rPr>
          <w:sz w:val="28"/>
        </w:rPr>
        <w:t xml:space="preserve">, 243 Ariz. 299 (2017). The better approach is to “carefully weigh the full ramifications” of Rule 68 in an open rulemaking process that is not confined to the perspectives and preserved arguments of the (typically) two litigating parties. </w:t>
      </w:r>
      <w:r w:rsidR="00417949">
        <w:rPr>
          <w:i/>
          <w:sz w:val="28"/>
        </w:rPr>
        <w:t>Id.</w:t>
      </w:r>
      <w:r w:rsidR="00417949">
        <w:rPr>
          <w:sz w:val="28"/>
        </w:rPr>
        <w:t xml:space="preserve"> at 78 ¶ 33 (Bolick, J., dissenting).</w:t>
      </w:r>
    </w:p>
    <w:p w14:paraId="4C7234A9" w14:textId="68C9BA31" w:rsidR="00CA7CC5" w:rsidRDefault="00CA7CC5" w:rsidP="00AE3E2F">
      <w:pPr>
        <w:spacing w:line="480" w:lineRule="auto"/>
        <w:jc w:val="both"/>
        <w:rPr>
          <w:sz w:val="28"/>
        </w:rPr>
      </w:pPr>
      <w:r>
        <w:rPr>
          <w:b/>
          <w:sz w:val="28"/>
        </w:rPr>
        <w:t>Conclusion</w:t>
      </w:r>
    </w:p>
    <w:p w14:paraId="1DF8E7D5" w14:textId="441C7923" w:rsidR="00CA7CC5" w:rsidRDefault="00CA7CC5" w:rsidP="00AE3E2F">
      <w:pPr>
        <w:spacing w:line="480" w:lineRule="auto"/>
        <w:jc w:val="both"/>
        <w:rPr>
          <w:sz w:val="28"/>
        </w:rPr>
      </w:pPr>
      <w:r>
        <w:rPr>
          <w:sz w:val="28"/>
        </w:rPr>
        <w:tab/>
        <w:t>The Court should abrogate Rule 68, or in the alternative, adopt the amendment proposed in the rule-change petition No. R-19-0001.</w:t>
      </w:r>
    </w:p>
    <w:p w14:paraId="18693F92" w14:textId="77777777" w:rsidR="002D766C" w:rsidRDefault="002D766C">
      <w:pPr>
        <w:spacing w:after="160" w:line="259" w:lineRule="auto"/>
        <w:rPr>
          <w:sz w:val="28"/>
        </w:rPr>
      </w:pPr>
      <w:r>
        <w:rPr>
          <w:sz w:val="28"/>
        </w:rPr>
        <w:br w:type="page"/>
      </w:r>
    </w:p>
    <w:p w14:paraId="13600889" w14:textId="4BFE29EA" w:rsidR="00CA7CC5" w:rsidRPr="00CA7CC5" w:rsidRDefault="00CA7CC5" w:rsidP="00AE3E2F">
      <w:pPr>
        <w:spacing w:line="480" w:lineRule="auto"/>
        <w:jc w:val="both"/>
        <w:rPr>
          <w:sz w:val="28"/>
        </w:rPr>
      </w:pPr>
      <w:r>
        <w:rPr>
          <w:sz w:val="28"/>
        </w:rPr>
        <w:tab/>
        <w:t>Respectfully submitted</w:t>
      </w:r>
      <w:r w:rsidR="00AF548B">
        <w:rPr>
          <w:sz w:val="28"/>
        </w:rPr>
        <w:t xml:space="preserve"> this 30th day of April 2019</w:t>
      </w:r>
      <w:r>
        <w:rPr>
          <w:sz w:val="28"/>
        </w:rPr>
        <w:t>,</w:t>
      </w:r>
    </w:p>
    <w:p w14:paraId="6848DC1A" w14:textId="71F7F4B4" w:rsidR="000868CD" w:rsidRPr="00A07D62" w:rsidRDefault="000868CD" w:rsidP="000868CD">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Pr>
          <w:sz w:val="28"/>
          <w:szCs w:val="28"/>
          <w:u w:val="single"/>
        </w:rPr>
        <w:t>s</w:t>
      </w:r>
      <w:r w:rsidRPr="00A07D62">
        <w:rPr>
          <w:sz w:val="28"/>
          <w:szCs w:val="28"/>
          <w:u w:val="single"/>
        </w:rPr>
        <w:t>/</w:t>
      </w:r>
      <w:r>
        <w:rPr>
          <w:sz w:val="28"/>
          <w:szCs w:val="28"/>
          <w:u w:val="single"/>
        </w:rPr>
        <w:t xml:space="preserve"> Aditya Dynar</w:t>
      </w:r>
      <w:r>
        <w:rPr>
          <w:sz w:val="28"/>
          <w:szCs w:val="28"/>
          <w:u w:val="single"/>
        </w:rPr>
        <w:tab/>
      </w:r>
      <w:r w:rsidRPr="00A07D62">
        <w:rPr>
          <w:sz w:val="28"/>
          <w:szCs w:val="28"/>
          <w:u w:val="single"/>
        </w:rPr>
        <w:t xml:space="preserve">                           </w:t>
      </w:r>
    </w:p>
    <w:p w14:paraId="4E30BB3E" w14:textId="0CD7F507" w:rsidR="000868CD" w:rsidRDefault="000868CD" w:rsidP="000868CD">
      <w:pPr>
        <w:jc w:val="right"/>
        <w:rPr>
          <w:rFonts w:eastAsia="Times New Roman"/>
          <w:sz w:val="28"/>
          <w:szCs w:val="28"/>
        </w:rPr>
      </w:pPr>
      <w:r>
        <w:rPr>
          <w:rFonts w:eastAsia="Times New Roman"/>
          <w:sz w:val="28"/>
          <w:szCs w:val="28"/>
        </w:rPr>
        <w:t>Aditya Dynar (</w:t>
      </w:r>
      <w:r w:rsidRPr="000868CD">
        <w:rPr>
          <w:rFonts w:eastAsia="Times New Roman"/>
          <w:sz w:val="28"/>
          <w:szCs w:val="28"/>
        </w:rPr>
        <w:t>031583</w:t>
      </w:r>
      <w:r>
        <w:rPr>
          <w:rFonts w:eastAsia="Times New Roman"/>
          <w:sz w:val="28"/>
          <w:szCs w:val="28"/>
        </w:rPr>
        <w:t>)</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p>
    <w:p w14:paraId="3E8C25A5" w14:textId="77777777" w:rsidR="000868CD" w:rsidRDefault="000868CD" w:rsidP="000868CD">
      <w:pPr>
        <w:ind w:left="4320"/>
        <w:rPr>
          <w:rFonts w:eastAsia="Times New Roman"/>
          <w:b/>
          <w:sz w:val="28"/>
          <w:szCs w:val="28"/>
        </w:rPr>
      </w:pPr>
      <w:r w:rsidRPr="00A07D62">
        <w:rPr>
          <w:rFonts w:eastAsia="Times New Roman"/>
          <w:b/>
          <w:sz w:val="28"/>
          <w:szCs w:val="28"/>
        </w:rPr>
        <w:t xml:space="preserve">Scharf-Norton Center for Constitutional Litigation at the </w:t>
      </w:r>
    </w:p>
    <w:p w14:paraId="218D08E7" w14:textId="77777777" w:rsidR="000868CD" w:rsidRDefault="000868CD" w:rsidP="000868CD">
      <w:pPr>
        <w:ind w:left="4320"/>
        <w:rPr>
          <w:rFonts w:eastAsia="Times New Roman"/>
          <w:b/>
          <w:sz w:val="28"/>
          <w:szCs w:val="28"/>
        </w:rPr>
      </w:pPr>
      <w:r w:rsidRPr="00A07D62">
        <w:rPr>
          <w:rFonts w:eastAsia="Times New Roman"/>
          <w:b/>
          <w:sz w:val="28"/>
          <w:szCs w:val="28"/>
        </w:rPr>
        <w:t>GOLDWATER INSTITUTE</w:t>
      </w:r>
    </w:p>
    <w:p w14:paraId="4D4855E0" w14:textId="77777777" w:rsidR="000D1811" w:rsidRDefault="000D1811">
      <w:pPr>
        <w:spacing w:after="160" w:line="259" w:lineRule="auto"/>
        <w:rPr>
          <w:b/>
          <w:sz w:val="28"/>
        </w:rPr>
      </w:pPr>
      <w:r>
        <w:rPr>
          <w:b/>
          <w:sz w:val="28"/>
        </w:rPr>
        <w:br w:type="page"/>
      </w:r>
    </w:p>
    <w:p w14:paraId="62D3696F" w14:textId="0E89888E" w:rsidR="00C110CB" w:rsidRPr="00C110CB" w:rsidRDefault="00C110CB" w:rsidP="009F5618">
      <w:pPr>
        <w:spacing w:after="160" w:line="259" w:lineRule="auto"/>
        <w:jc w:val="center"/>
        <w:rPr>
          <w:b/>
          <w:sz w:val="28"/>
        </w:rPr>
      </w:pPr>
      <w:r w:rsidRPr="00C110CB">
        <w:rPr>
          <w:b/>
          <w:sz w:val="28"/>
        </w:rPr>
        <w:t>Appendix A</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7"/>
        <w:gridCol w:w="5760"/>
        <w:gridCol w:w="1710"/>
      </w:tblGrid>
      <w:tr w:rsidR="00C9482F" w:rsidRPr="00C9482F" w14:paraId="0A21F33B" w14:textId="77777777" w:rsidTr="009F5618">
        <w:trPr>
          <w:trHeight w:val="300"/>
        </w:trPr>
        <w:tc>
          <w:tcPr>
            <w:tcW w:w="1977" w:type="dxa"/>
            <w:shd w:val="clear" w:color="auto" w:fill="auto"/>
            <w:noWrap/>
            <w:vAlign w:val="bottom"/>
            <w:hideMark/>
          </w:tcPr>
          <w:p w14:paraId="0264F704" w14:textId="77777777" w:rsidR="00C9482F" w:rsidRPr="00C9482F" w:rsidRDefault="00C9482F" w:rsidP="009F5618">
            <w:pPr>
              <w:spacing w:line="560" w:lineRule="exact"/>
              <w:jc w:val="center"/>
              <w:rPr>
                <w:rFonts w:eastAsia="Times New Roman"/>
                <w:b/>
                <w:bCs/>
                <w:color w:val="000000"/>
                <w:sz w:val="28"/>
                <w:szCs w:val="28"/>
              </w:rPr>
            </w:pPr>
            <w:r w:rsidRPr="00C9482F">
              <w:rPr>
                <w:rFonts w:eastAsia="Times New Roman"/>
                <w:b/>
                <w:bCs/>
                <w:color w:val="000000"/>
                <w:sz w:val="28"/>
                <w:szCs w:val="28"/>
              </w:rPr>
              <w:t>State</w:t>
            </w:r>
          </w:p>
        </w:tc>
        <w:tc>
          <w:tcPr>
            <w:tcW w:w="5760" w:type="dxa"/>
            <w:shd w:val="clear" w:color="auto" w:fill="auto"/>
            <w:noWrap/>
            <w:vAlign w:val="bottom"/>
            <w:hideMark/>
          </w:tcPr>
          <w:p w14:paraId="76650B13" w14:textId="77777777" w:rsidR="00C9482F" w:rsidRPr="00C9482F" w:rsidRDefault="00C9482F" w:rsidP="009F5618">
            <w:pPr>
              <w:spacing w:line="560" w:lineRule="exact"/>
              <w:jc w:val="center"/>
              <w:rPr>
                <w:rFonts w:eastAsia="Times New Roman"/>
                <w:b/>
                <w:bCs/>
                <w:color w:val="000000"/>
                <w:sz w:val="28"/>
                <w:szCs w:val="28"/>
              </w:rPr>
            </w:pPr>
            <w:r w:rsidRPr="00C9482F">
              <w:rPr>
                <w:rFonts w:eastAsia="Times New Roman"/>
                <w:b/>
                <w:bCs/>
                <w:color w:val="000000"/>
                <w:sz w:val="28"/>
                <w:szCs w:val="28"/>
              </w:rPr>
              <w:t>Citation</w:t>
            </w:r>
          </w:p>
        </w:tc>
        <w:tc>
          <w:tcPr>
            <w:tcW w:w="1710" w:type="dxa"/>
            <w:shd w:val="clear" w:color="auto" w:fill="auto"/>
            <w:noWrap/>
            <w:vAlign w:val="bottom"/>
            <w:hideMark/>
          </w:tcPr>
          <w:p w14:paraId="1D66C1B5" w14:textId="1F6EA719" w:rsidR="00C9482F" w:rsidRPr="00C9482F" w:rsidRDefault="00C9482F" w:rsidP="009F5618">
            <w:pPr>
              <w:spacing w:line="560" w:lineRule="exact"/>
              <w:jc w:val="center"/>
              <w:rPr>
                <w:rFonts w:eastAsia="Times New Roman"/>
                <w:b/>
                <w:bCs/>
                <w:color w:val="000000"/>
                <w:sz w:val="28"/>
                <w:szCs w:val="28"/>
              </w:rPr>
            </w:pPr>
            <w:r w:rsidRPr="00C9482F">
              <w:rPr>
                <w:rFonts w:eastAsia="Times New Roman"/>
                <w:b/>
                <w:bCs/>
                <w:color w:val="000000"/>
                <w:sz w:val="28"/>
                <w:szCs w:val="28"/>
              </w:rPr>
              <w:t>Type</w:t>
            </w:r>
          </w:p>
        </w:tc>
      </w:tr>
      <w:tr w:rsidR="00C9482F" w:rsidRPr="00C9482F" w14:paraId="43B2D2A0" w14:textId="77777777" w:rsidTr="009F5618">
        <w:trPr>
          <w:trHeight w:val="300"/>
        </w:trPr>
        <w:tc>
          <w:tcPr>
            <w:tcW w:w="1977" w:type="dxa"/>
            <w:shd w:val="clear" w:color="auto" w:fill="auto"/>
            <w:noWrap/>
            <w:vAlign w:val="bottom"/>
            <w:hideMark/>
          </w:tcPr>
          <w:p w14:paraId="537CD3E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Alabama</w:t>
            </w:r>
          </w:p>
        </w:tc>
        <w:tc>
          <w:tcPr>
            <w:tcW w:w="5760" w:type="dxa"/>
            <w:shd w:val="clear" w:color="auto" w:fill="auto"/>
            <w:noWrap/>
            <w:vAlign w:val="bottom"/>
            <w:hideMark/>
          </w:tcPr>
          <w:p w14:paraId="76DB45D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Ala. R. Civ. P. 68</w:t>
            </w:r>
          </w:p>
        </w:tc>
        <w:tc>
          <w:tcPr>
            <w:tcW w:w="1710" w:type="dxa"/>
            <w:shd w:val="clear" w:color="auto" w:fill="auto"/>
            <w:noWrap/>
            <w:vAlign w:val="bottom"/>
            <w:hideMark/>
          </w:tcPr>
          <w:p w14:paraId="55128CD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681B8971" w14:textId="77777777" w:rsidTr="009F5618">
        <w:trPr>
          <w:trHeight w:val="300"/>
        </w:trPr>
        <w:tc>
          <w:tcPr>
            <w:tcW w:w="1977" w:type="dxa"/>
            <w:shd w:val="clear" w:color="auto" w:fill="auto"/>
            <w:noWrap/>
            <w:vAlign w:val="bottom"/>
            <w:hideMark/>
          </w:tcPr>
          <w:p w14:paraId="3E4723E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Alaska</w:t>
            </w:r>
          </w:p>
        </w:tc>
        <w:tc>
          <w:tcPr>
            <w:tcW w:w="5760" w:type="dxa"/>
            <w:shd w:val="clear" w:color="auto" w:fill="auto"/>
            <w:noWrap/>
            <w:vAlign w:val="bottom"/>
            <w:hideMark/>
          </w:tcPr>
          <w:p w14:paraId="4A38742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Alaska Stat. § 09.30.065</w:t>
            </w:r>
          </w:p>
        </w:tc>
        <w:tc>
          <w:tcPr>
            <w:tcW w:w="1710" w:type="dxa"/>
            <w:shd w:val="clear" w:color="auto" w:fill="auto"/>
            <w:noWrap/>
            <w:vAlign w:val="bottom"/>
            <w:hideMark/>
          </w:tcPr>
          <w:p w14:paraId="72CE1C2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1FA788CC" w14:textId="77777777" w:rsidTr="009F5618">
        <w:trPr>
          <w:trHeight w:val="300"/>
        </w:trPr>
        <w:tc>
          <w:tcPr>
            <w:tcW w:w="1977" w:type="dxa"/>
            <w:shd w:val="clear" w:color="auto" w:fill="auto"/>
            <w:noWrap/>
            <w:vAlign w:val="bottom"/>
            <w:hideMark/>
          </w:tcPr>
          <w:p w14:paraId="03749C9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Arizona</w:t>
            </w:r>
          </w:p>
        </w:tc>
        <w:tc>
          <w:tcPr>
            <w:tcW w:w="5760" w:type="dxa"/>
            <w:shd w:val="clear" w:color="auto" w:fill="auto"/>
            <w:noWrap/>
            <w:vAlign w:val="bottom"/>
            <w:hideMark/>
          </w:tcPr>
          <w:p w14:paraId="2BA79C2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Ariz. R. Civ. P. 68</w:t>
            </w:r>
          </w:p>
        </w:tc>
        <w:tc>
          <w:tcPr>
            <w:tcW w:w="1710" w:type="dxa"/>
            <w:shd w:val="clear" w:color="auto" w:fill="auto"/>
            <w:noWrap/>
            <w:vAlign w:val="bottom"/>
            <w:hideMark/>
          </w:tcPr>
          <w:p w14:paraId="581E5B7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084F51DB" w14:textId="77777777" w:rsidTr="009F5618">
        <w:trPr>
          <w:trHeight w:val="300"/>
        </w:trPr>
        <w:tc>
          <w:tcPr>
            <w:tcW w:w="1977" w:type="dxa"/>
            <w:shd w:val="clear" w:color="auto" w:fill="auto"/>
            <w:noWrap/>
            <w:vAlign w:val="bottom"/>
            <w:hideMark/>
          </w:tcPr>
          <w:p w14:paraId="7937C62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Arkansas</w:t>
            </w:r>
          </w:p>
        </w:tc>
        <w:tc>
          <w:tcPr>
            <w:tcW w:w="5760" w:type="dxa"/>
            <w:shd w:val="clear" w:color="auto" w:fill="auto"/>
            <w:noWrap/>
            <w:vAlign w:val="bottom"/>
            <w:hideMark/>
          </w:tcPr>
          <w:p w14:paraId="6BB9FAB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Ark. R. Civ. P. 68</w:t>
            </w:r>
          </w:p>
        </w:tc>
        <w:tc>
          <w:tcPr>
            <w:tcW w:w="1710" w:type="dxa"/>
            <w:shd w:val="clear" w:color="auto" w:fill="auto"/>
            <w:noWrap/>
            <w:vAlign w:val="bottom"/>
            <w:hideMark/>
          </w:tcPr>
          <w:p w14:paraId="58D541E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0E95A0AC" w14:textId="77777777" w:rsidTr="009F5618">
        <w:trPr>
          <w:trHeight w:val="300"/>
        </w:trPr>
        <w:tc>
          <w:tcPr>
            <w:tcW w:w="1977" w:type="dxa"/>
            <w:shd w:val="clear" w:color="auto" w:fill="auto"/>
            <w:noWrap/>
            <w:vAlign w:val="bottom"/>
            <w:hideMark/>
          </w:tcPr>
          <w:p w14:paraId="660404D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California</w:t>
            </w:r>
          </w:p>
        </w:tc>
        <w:tc>
          <w:tcPr>
            <w:tcW w:w="5760" w:type="dxa"/>
            <w:shd w:val="clear" w:color="auto" w:fill="auto"/>
            <w:noWrap/>
            <w:vAlign w:val="bottom"/>
            <w:hideMark/>
          </w:tcPr>
          <w:p w14:paraId="433A947B" w14:textId="58944CC6" w:rsidR="00C9482F" w:rsidRPr="00C9482F" w:rsidRDefault="00C9482F" w:rsidP="000868CD">
            <w:pPr>
              <w:spacing w:line="560" w:lineRule="exact"/>
              <w:rPr>
                <w:rFonts w:eastAsia="Times New Roman"/>
                <w:color w:val="000000"/>
                <w:sz w:val="28"/>
                <w:szCs w:val="28"/>
              </w:rPr>
            </w:pPr>
            <w:r w:rsidRPr="00C9482F">
              <w:rPr>
                <w:rFonts w:eastAsia="Times New Roman"/>
                <w:color w:val="000000"/>
                <w:sz w:val="28"/>
                <w:szCs w:val="28"/>
              </w:rPr>
              <w:t>Cal. Civ. Proc. § 998</w:t>
            </w:r>
          </w:p>
        </w:tc>
        <w:tc>
          <w:tcPr>
            <w:tcW w:w="1710" w:type="dxa"/>
            <w:shd w:val="clear" w:color="auto" w:fill="auto"/>
            <w:noWrap/>
            <w:vAlign w:val="bottom"/>
            <w:hideMark/>
          </w:tcPr>
          <w:p w14:paraId="395F0D7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7DD25AD7" w14:textId="77777777" w:rsidTr="009F5618">
        <w:trPr>
          <w:trHeight w:val="600"/>
        </w:trPr>
        <w:tc>
          <w:tcPr>
            <w:tcW w:w="1977" w:type="dxa"/>
            <w:shd w:val="clear" w:color="auto" w:fill="auto"/>
            <w:noWrap/>
            <w:vAlign w:val="bottom"/>
            <w:hideMark/>
          </w:tcPr>
          <w:p w14:paraId="1D41B0A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Colorado</w:t>
            </w:r>
          </w:p>
        </w:tc>
        <w:tc>
          <w:tcPr>
            <w:tcW w:w="5760" w:type="dxa"/>
            <w:shd w:val="clear" w:color="auto" w:fill="auto"/>
            <w:vAlign w:val="bottom"/>
            <w:hideMark/>
          </w:tcPr>
          <w:p w14:paraId="7C233CD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Colo. Rev. Stat. § 13-17-202</w:t>
            </w:r>
            <w:r w:rsidRPr="00C9482F">
              <w:rPr>
                <w:rFonts w:eastAsia="Times New Roman"/>
                <w:color w:val="000000"/>
                <w:sz w:val="28"/>
                <w:szCs w:val="28"/>
              </w:rPr>
              <w:br/>
              <w:t>(Colo. R. Civ. P. 68 repealed eff. July 1, 1990)</w:t>
            </w:r>
          </w:p>
        </w:tc>
        <w:tc>
          <w:tcPr>
            <w:tcW w:w="1710" w:type="dxa"/>
            <w:shd w:val="clear" w:color="auto" w:fill="auto"/>
            <w:noWrap/>
            <w:vAlign w:val="bottom"/>
            <w:hideMark/>
          </w:tcPr>
          <w:p w14:paraId="6EE261E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28F51E88" w14:textId="77777777" w:rsidTr="009F5618">
        <w:trPr>
          <w:trHeight w:val="300"/>
        </w:trPr>
        <w:tc>
          <w:tcPr>
            <w:tcW w:w="1977" w:type="dxa"/>
            <w:shd w:val="clear" w:color="auto" w:fill="auto"/>
            <w:noWrap/>
            <w:vAlign w:val="bottom"/>
            <w:hideMark/>
          </w:tcPr>
          <w:p w14:paraId="09F3E36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Connecticut</w:t>
            </w:r>
          </w:p>
        </w:tc>
        <w:tc>
          <w:tcPr>
            <w:tcW w:w="5760" w:type="dxa"/>
            <w:shd w:val="clear" w:color="auto" w:fill="auto"/>
            <w:noWrap/>
            <w:vAlign w:val="bottom"/>
            <w:hideMark/>
          </w:tcPr>
          <w:p w14:paraId="6C68365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Conn. Gen. Stat. § 52-192a</w:t>
            </w:r>
          </w:p>
        </w:tc>
        <w:tc>
          <w:tcPr>
            <w:tcW w:w="1710" w:type="dxa"/>
            <w:shd w:val="clear" w:color="auto" w:fill="auto"/>
            <w:noWrap/>
            <w:vAlign w:val="bottom"/>
            <w:hideMark/>
          </w:tcPr>
          <w:p w14:paraId="74F9A9D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50C1610E" w14:textId="77777777" w:rsidTr="009F5618">
        <w:trPr>
          <w:trHeight w:val="300"/>
        </w:trPr>
        <w:tc>
          <w:tcPr>
            <w:tcW w:w="1977" w:type="dxa"/>
            <w:shd w:val="clear" w:color="auto" w:fill="auto"/>
            <w:noWrap/>
            <w:vAlign w:val="bottom"/>
            <w:hideMark/>
          </w:tcPr>
          <w:p w14:paraId="5EA10C4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Delaware</w:t>
            </w:r>
          </w:p>
        </w:tc>
        <w:tc>
          <w:tcPr>
            <w:tcW w:w="5760" w:type="dxa"/>
            <w:shd w:val="clear" w:color="auto" w:fill="auto"/>
            <w:noWrap/>
            <w:vAlign w:val="bottom"/>
            <w:hideMark/>
          </w:tcPr>
          <w:p w14:paraId="636063C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Del. R. Civ. P. 68</w:t>
            </w:r>
          </w:p>
        </w:tc>
        <w:tc>
          <w:tcPr>
            <w:tcW w:w="1710" w:type="dxa"/>
            <w:shd w:val="clear" w:color="auto" w:fill="auto"/>
            <w:noWrap/>
            <w:vAlign w:val="bottom"/>
            <w:hideMark/>
          </w:tcPr>
          <w:p w14:paraId="03E058F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73C5361A" w14:textId="77777777" w:rsidTr="009F5618">
        <w:trPr>
          <w:trHeight w:val="300"/>
        </w:trPr>
        <w:tc>
          <w:tcPr>
            <w:tcW w:w="1977" w:type="dxa"/>
            <w:shd w:val="clear" w:color="auto" w:fill="auto"/>
            <w:noWrap/>
            <w:vAlign w:val="bottom"/>
            <w:hideMark/>
          </w:tcPr>
          <w:p w14:paraId="3C43F263" w14:textId="77777777" w:rsidR="000868CD" w:rsidRDefault="000868CD" w:rsidP="000868CD">
            <w:pPr>
              <w:spacing w:line="140" w:lineRule="exact"/>
              <w:rPr>
                <w:rFonts w:eastAsia="Times New Roman"/>
                <w:color w:val="000000"/>
                <w:sz w:val="28"/>
                <w:szCs w:val="28"/>
              </w:rPr>
            </w:pPr>
          </w:p>
          <w:p w14:paraId="25B53CD1" w14:textId="46D6DF5E" w:rsidR="00C9482F" w:rsidRPr="00C9482F" w:rsidRDefault="00C9482F" w:rsidP="000868CD">
            <w:pPr>
              <w:spacing w:line="280" w:lineRule="exact"/>
              <w:rPr>
                <w:rFonts w:eastAsia="Times New Roman"/>
                <w:color w:val="000000"/>
                <w:sz w:val="28"/>
                <w:szCs w:val="28"/>
              </w:rPr>
            </w:pPr>
            <w:r w:rsidRPr="00C9482F">
              <w:rPr>
                <w:rFonts w:eastAsia="Times New Roman"/>
                <w:color w:val="000000"/>
                <w:sz w:val="28"/>
                <w:szCs w:val="28"/>
              </w:rPr>
              <w:t>District of Columbia</w:t>
            </w:r>
          </w:p>
        </w:tc>
        <w:tc>
          <w:tcPr>
            <w:tcW w:w="5760" w:type="dxa"/>
            <w:shd w:val="clear" w:color="auto" w:fill="auto"/>
            <w:noWrap/>
            <w:vAlign w:val="bottom"/>
            <w:hideMark/>
          </w:tcPr>
          <w:p w14:paraId="34EAD28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D.C. Superior Ct. R. 68</w:t>
            </w:r>
          </w:p>
        </w:tc>
        <w:tc>
          <w:tcPr>
            <w:tcW w:w="1710" w:type="dxa"/>
            <w:shd w:val="clear" w:color="auto" w:fill="auto"/>
            <w:noWrap/>
            <w:vAlign w:val="bottom"/>
            <w:hideMark/>
          </w:tcPr>
          <w:p w14:paraId="2F9B4C2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23E8B762" w14:textId="77777777" w:rsidTr="009F5618">
        <w:trPr>
          <w:trHeight w:val="300"/>
        </w:trPr>
        <w:tc>
          <w:tcPr>
            <w:tcW w:w="1977" w:type="dxa"/>
            <w:shd w:val="clear" w:color="auto" w:fill="auto"/>
            <w:noWrap/>
            <w:vAlign w:val="bottom"/>
            <w:hideMark/>
          </w:tcPr>
          <w:p w14:paraId="6FB97DA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Federal Courts</w:t>
            </w:r>
          </w:p>
        </w:tc>
        <w:tc>
          <w:tcPr>
            <w:tcW w:w="5760" w:type="dxa"/>
            <w:shd w:val="clear" w:color="auto" w:fill="auto"/>
            <w:noWrap/>
            <w:vAlign w:val="bottom"/>
            <w:hideMark/>
          </w:tcPr>
          <w:p w14:paraId="3A16536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Fed. R. Civ. P. 68</w:t>
            </w:r>
          </w:p>
        </w:tc>
        <w:tc>
          <w:tcPr>
            <w:tcW w:w="1710" w:type="dxa"/>
            <w:shd w:val="clear" w:color="auto" w:fill="auto"/>
            <w:noWrap/>
            <w:vAlign w:val="bottom"/>
            <w:hideMark/>
          </w:tcPr>
          <w:p w14:paraId="058A40E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7B5D2D3B" w14:textId="77777777" w:rsidTr="009F5618">
        <w:trPr>
          <w:trHeight w:val="300"/>
        </w:trPr>
        <w:tc>
          <w:tcPr>
            <w:tcW w:w="1977" w:type="dxa"/>
            <w:shd w:val="clear" w:color="auto" w:fill="auto"/>
            <w:noWrap/>
            <w:vAlign w:val="bottom"/>
            <w:hideMark/>
          </w:tcPr>
          <w:p w14:paraId="31CFFFC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Florida</w:t>
            </w:r>
          </w:p>
        </w:tc>
        <w:tc>
          <w:tcPr>
            <w:tcW w:w="5760" w:type="dxa"/>
            <w:shd w:val="clear" w:color="auto" w:fill="auto"/>
            <w:noWrap/>
            <w:vAlign w:val="bottom"/>
            <w:hideMark/>
          </w:tcPr>
          <w:p w14:paraId="1394FCB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Fla. Stat. § 768.79</w:t>
            </w:r>
          </w:p>
        </w:tc>
        <w:tc>
          <w:tcPr>
            <w:tcW w:w="1710" w:type="dxa"/>
            <w:shd w:val="clear" w:color="auto" w:fill="auto"/>
            <w:noWrap/>
            <w:vAlign w:val="bottom"/>
            <w:hideMark/>
          </w:tcPr>
          <w:p w14:paraId="55B0D16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3359F256" w14:textId="77777777" w:rsidTr="009F5618">
        <w:trPr>
          <w:trHeight w:val="300"/>
        </w:trPr>
        <w:tc>
          <w:tcPr>
            <w:tcW w:w="1977" w:type="dxa"/>
            <w:shd w:val="clear" w:color="auto" w:fill="auto"/>
            <w:noWrap/>
            <w:vAlign w:val="bottom"/>
            <w:hideMark/>
          </w:tcPr>
          <w:p w14:paraId="409D3D1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Georgia</w:t>
            </w:r>
          </w:p>
        </w:tc>
        <w:tc>
          <w:tcPr>
            <w:tcW w:w="5760" w:type="dxa"/>
            <w:shd w:val="clear" w:color="auto" w:fill="auto"/>
            <w:noWrap/>
            <w:vAlign w:val="bottom"/>
            <w:hideMark/>
          </w:tcPr>
          <w:p w14:paraId="6B3CD97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Ga. Code § 9-11-68</w:t>
            </w:r>
          </w:p>
        </w:tc>
        <w:tc>
          <w:tcPr>
            <w:tcW w:w="1710" w:type="dxa"/>
            <w:shd w:val="clear" w:color="auto" w:fill="auto"/>
            <w:noWrap/>
            <w:vAlign w:val="bottom"/>
            <w:hideMark/>
          </w:tcPr>
          <w:p w14:paraId="18709D9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3C96592B" w14:textId="77777777" w:rsidTr="009F5618">
        <w:trPr>
          <w:trHeight w:val="300"/>
        </w:trPr>
        <w:tc>
          <w:tcPr>
            <w:tcW w:w="1977" w:type="dxa"/>
            <w:shd w:val="clear" w:color="auto" w:fill="auto"/>
            <w:noWrap/>
            <w:vAlign w:val="bottom"/>
            <w:hideMark/>
          </w:tcPr>
          <w:p w14:paraId="1CB2903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Hawaii</w:t>
            </w:r>
          </w:p>
        </w:tc>
        <w:tc>
          <w:tcPr>
            <w:tcW w:w="5760" w:type="dxa"/>
            <w:shd w:val="clear" w:color="auto" w:fill="auto"/>
            <w:noWrap/>
            <w:vAlign w:val="bottom"/>
            <w:hideMark/>
          </w:tcPr>
          <w:p w14:paraId="0953E9C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Haw. R. Civ. P. 68</w:t>
            </w:r>
          </w:p>
        </w:tc>
        <w:tc>
          <w:tcPr>
            <w:tcW w:w="1710" w:type="dxa"/>
            <w:shd w:val="clear" w:color="auto" w:fill="auto"/>
            <w:noWrap/>
            <w:vAlign w:val="bottom"/>
            <w:hideMark/>
          </w:tcPr>
          <w:p w14:paraId="733B14B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534C6786" w14:textId="77777777" w:rsidTr="009F5618">
        <w:trPr>
          <w:trHeight w:val="300"/>
        </w:trPr>
        <w:tc>
          <w:tcPr>
            <w:tcW w:w="1977" w:type="dxa"/>
            <w:shd w:val="clear" w:color="auto" w:fill="auto"/>
            <w:noWrap/>
            <w:vAlign w:val="bottom"/>
            <w:hideMark/>
          </w:tcPr>
          <w:p w14:paraId="6EE7925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Idaho</w:t>
            </w:r>
          </w:p>
        </w:tc>
        <w:tc>
          <w:tcPr>
            <w:tcW w:w="5760" w:type="dxa"/>
            <w:shd w:val="clear" w:color="auto" w:fill="auto"/>
            <w:noWrap/>
            <w:vAlign w:val="bottom"/>
            <w:hideMark/>
          </w:tcPr>
          <w:p w14:paraId="44E738D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Idaho R. Civ. P. 68</w:t>
            </w:r>
          </w:p>
        </w:tc>
        <w:tc>
          <w:tcPr>
            <w:tcW w:w="1710" w:type="dxa"/>
            <w:shd w:val="clear" w:color="auto" w:fill="auto"/>
            <w:noWrap/>
            <w:vAlign w:val="bottom"/>
            <w:hideMark/>
          </w:tcPr>
          <w:p w14:paraId="757CE43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0656E9C4" w14:textId="77777777" w:rsidTr="009F5618">
        <w:trPr>
          <w:trHeight w:val="300"/>
        </w:trPr>
        <w:tc>
          <w:tcPr>
            <w:tcW w:w="1977" w:type="dxa"/>
            <w:shd w:val="clear" w:color="auto" w:fill="auto"/>
            <w:noWrap/>
            <w:vAlign w:val="bottom"/>
            <w:hideMark/>
          </w:tcPr>
          <w:p w14:paraId="352C739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Illinois</w:t>
            </w:r>
          </w:p>
        </w:tc>
        <w:tc>
          <w:tcPr>
            <w:tcW w:w="5760" w:type="dxa"/>
            <w:shd w:val="clear" w:color="auto" w:fill="auto"/>
            <w:noWrap/>
            <w:vAlign w:val="bottom"/>
            <w:hideMark/>
          </w:tcPr>
          <w:p w14:paraId="055B67F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No specific offer-of-judgment rule found</w:t>
            </w:r>
          </w:p>
        </w:tc>
        <w:tc>
          <w:tcPr>
            <w:tcW w:w="1710" w:type="dxa"/>
            <w:shd w:val="clear" w:color="auto" w:fill="auto"/>
            <w:noWrap/>
            <w:vAlign w:val="bottom"/>
            <w:hideMark/>
          </w:tcPr>
          <w:p w14:paraId="1EB0F94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N/A</w:t>
            </w:r>
          </w:p>
        </w:tc>
      </w:tr>
      <w:tr w:rsidR="00C9482F" w:rsidRPr="00C9482F" w14:paraId="7F02A18D" w14:textId="77777777" w:rsidTr="009F5618">
        <w:trPr>
          <w:trHeight w:val="300"/>
        </w:trPr>
        <w:tc>
          <w:tcPr>
            <w:tcW w:w="1977" w:type="dxa"/>
            <w:shd w:val="clear" w:color="auto" w:fill="auto"/>
            <w:noWrap/>
            <w:vAlign w:val="bottom"/>
            <w:hideMark/>
          </w:tcPr>
          <w:p w14:paraId="4F52ABB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Indiana</w:t>
            </w:r>
          </w:p>
        </w:tc>
        <w:tc>
          <w:tcPr>
            <w:tcW w:w="5760" w:type="dxa"/>
            <w:shd w:val="clear" w:color="auto" w:fill="auto"/>
            <w:noWrap/>
            <w:vAlign w:val="bottom"/>
            <w:hideMark/>
          </w:tcPr>
          <w:p w14:paraId="3191749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Ind. St. Tr. P.R. 68</w:t>
            </w:r>
          </w:p>
        </w:tc>
        <w:tc>
          <w:tcPr>
            <w:tcW w:w="1710" w:type="dxa"/>
            <w:shd w:val="clear" w:color="auto" w:fill="auto"/>
            <w:noWrap/>
            <w:vAlign w:val="bottom"/>
            <w:hideMark/>
          </w:tcPr>
          <w:p w14:paraId="34320BF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1BE246E0" w14:textId="77777777" w:rsidTr="009F5618">
        <w:trPr>
          <w:trHeight w:val="300"/>
        </w:trPr>
        <w:tc>
          <w:tcPr>
            <w:tcW w:w="1977" w:type="dxa"/>
            <w:shd w:val="clear" w:color="auto" w:fill="auto"/>
            <w:noWrap/>
            <w:vAlign w:val="bottom"/>
            <w:hideMark/>
          </w:tcPr>
          <w:p w14:paraId="22FCAAB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Iowa</w:t>
            </w:r>
          </w:p>
        </w:tc>
        <w:tc>
          <w:tcPr>
            <w:tcW w:w="5760" w:type="dxa"/>
            <w:shd w:val="clear" w:color="auto" w:fill="auto"/>
            <w:noWrap/>
            <w:vAlign w:val="bottom"/>
            <w:hideMark/>
          </w:tcPr>
          <w:p w14:paraId="522DF82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Iowa Code § 677.7</w:t>
            </w:r>
          </w:p>
        </w:tc>
        <w:tc>
          <w:tcPr>
            <w:tcW w:w="1710" w:type="dxa"/>
            <w:shd w:val="clear" w:color="auto" w:fill="auto"/>
            <w:noWrap/>
            <w:vAlign w:val="bottom"/>
            <w:hideMark/>
          </w:tcPr>
          <w:p w14:paraId="48951F6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6A2C56E3" w14:textId="77777777" w:rsidTr="009F5618">
        <w:trPr>
          <w:trHeight w:val="300"/>
        </w:trPr>
        <w:tc>
          <w:tcPr>
            <w:tcW w:w="1977" w:type="dxa"/>
            <w:shd w:val="clear" w:color="auto" w:fill="auto"/>
            <w:noWrap/>
            <w:vAlign w:val="bottom"/>
            <w:hideMark/>
          </w:tcPr>
          <w:p w14:paraId="52C5C96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Kansas</w:t>
            </w:r>
          </w:p>
        </w:tc>
        <w:tc>
          <w:tcPr>
            <w:tcW w:w="5760" w:type="dxa"/>
            <w:shd w:val="clear" w:color="auto" w:fill="auto"/>
            <w:noWrap/>
            <w:vAlign w:val="bottom"/>
            <w:hideMark/>
          </w:tcPr>
          <w:p w14:paraId="08CC5FF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Kan. Stat. § 60-2002</w:t>
            </w:r>
          </w:p>
        </w:tc>
        <w:tc>
          <w:tcPr>
            <w:tcW w:w="1710" w:type="dxa"/>
            <w:shd w:val="clear" w:color="auto" w:fill="auto"/>
            <w:noWrap/>
            <w:vAlign w:val="bottom"/>
            <w:hideMark/>
          </w:tcPr>
          <w:p w14:paraId="23896D2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3EC77125" w14:textId="77777777" w:rsidTr="009F5618">
        <w:trPr>
          <w:trHeight w:val="300"/>
        </w:trPr>
        <w:tc>
          <w:tcPr>
            <w:tcW w:w="1977" w:type="dxa"/>
            <w:shd w:val="clear" w:color="auto" w:fill="auto"/>
            <w:noWrap/>
            <w:vAlign w:val="bottom"/>
            <w:hideMark/>
          </w:tcPr>
          <w:p w14:paraId="420E42B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Kentucky</w:t>
            </w:r>
          </w:p>
        </w:tc>
        <w:tc>
          <w:tcPr>
            <w:tcW w:w="5760" w:type="dxa"/>
            <w:shd w:val="clear" w:color="auto" w:fill="auto"/>
            <w:noWrap/>
            <w:vAlign w:val="bottom"/>
            <w:hideMark/>
          </w:tcPr>
          <w:p w14:paraId="38234BA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Ky. R. Civ. P. 68</w:t>
            </w:r>
          </w:p>
        </w:tc>
        <w:tc>
          <w:tcPr>
            <w:tcW w:w="1710" w:type="dxa"/>
            <w:shd w:val="clear" w:color="auto" w:fill="auto"/>
            <w:noWrap/>
            <w:vAlign w:val="bottom"/>
            <w:hideMark/>
          </w:tcPr>
          <w:p w14:paraId="3D1A8E0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2F3E175C" w14:textId="77777777" w:rsidTr="009F5618">
        <w:trPr>
          <w:trHeight w:val="300"/>
        </w:trPr>
        <w:tc>
          <w:tcPr>
            <w:tcW w:w="1977" w:type="dxa"/>
            <w:shd w:val="clear" w:color="auto" w:fill="auto"/>
            <w:noWrap/>
            <w:vAlign w:val="bottom"/>
            <w:hideMark/>
          </w:tcPr>
          <w:p w14:paraId="044C60A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Louisiana</w:t>
            </w:r>
          </w:p>
        </w:tc>
        <w:tc>
          <w:tcPr>
            <w:tcW w:w="5760" w:type="dxa"/>
            <w:shd w:val="clear" w:color="auto" w:fill="auto"/>
            <w:noWrap/>
            <w:vAlign w:val="bottom"/>
            <w:hideMark/>
          </w:tcPr>
          <w:p w14:paraId="0125843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La. Code Civ. Proc. art. 970</w:t>
            </w:r>
          </w:p>
        </w:tc>
        <w:tc>
          <w:tcPr>
            <w:tcW w:w="1710" w:type="dxa"/>
            <w:shd w:val="clear" w:color="auto" w:fill="auto"/>
            <w:noWrap/>
            <w:vAlign w:val="bottom"/>
            <w:hideMark/>
          </w:tcPr>
          <w:p w14:paraId="174E3B1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4A5C6F63" w14:textId="77777777" w:rsidTr="009F5618">
        <w:trPr>
          <w:trHeight w:val="300"/>
        </w:trPr>
        <w:tc>
          <w:tcPr>
            <w:tcW w:w="1977" w:type="dxa"/>
            <w:shd w:val="clear" w:color="auto" w:fill="auto"/>
            <w:noWrap/>
            <w:vAlign w:val="bottom"/>
            <w:hideMark/>
          </w:tcPr>
          <w:p w14:paraId="7C12EB4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Maine</w:t>
            </w:r>
          </w:p>
        </w:tc>
        <w:tc>
          <w:tcPr>
            <w:tcW w:w="5760" w:type="dxa"/>
            <w:shd w:val="clear" w:color="auto" w:fill="auto"/>
            <w:noWrap/>
            <w:vAlign w:val="bottom"/>
            <w:hideMark/>
          </w:tcPr>
          <w:p w14:paraId="7CD872C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Me. R. Civ. P. 68</w:t>
            </w:r>
          </w:p>
        </w:tc>
        <w:tc>
          <w:tcPr>
            <w:tcW w:w="1710" w:type="dxa"/>
            <w:shd w:val="clear" w:color="auto" w:fill="auto"/>
            <w:noWrap/>
            <w:vAlign w:val="bottom"/>
            <w:hideMark/>
          </w:tcPr>
          <w:p w14:paraId="16B8CB5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1FAA35A0" w14:textId="77777777" w:rsidTr="009F5618">
        <w:trPr>
          <w:trHeight w:val="300"/>
        </w:trPr>
        <w:tc>
          <w:tcPr>
            <w:tcW w:w="1977" w:type="dxa"/>
            <w:shd w:val="clear" w:color="auto" w:fill="auto"/>
            <w:noWrap/>
            <w:vAlign w:val="bottom"/>
            <w:hideMark/>
          </w:tcPr>
          <w:p w14:paraId="572A131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Maryland</w:t>
            </w:r>
          </w:p>
        </w:tc>
        <w:tc>
          <w:tcPr>
            <w:tcW w:w="5760" w:type="dxa"/>
            <w:shd w:val="clear" w:color="auto" w:fill="auto"/>
            <w:noWrap/>
            <w:vAlign w:val="bottom"/>
            <w:hideMark/>
          </w:tcPr>
          <w:p w14:paraId="042A2E7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Md. Code Ann. Cts. &amp; Jud. Proc. § 3-2A-08A</w:t>
            </w:r>
          </w:p>
        </w:tc>
        <w:tc>
          <w:tcPr>
            <w:tcW w:w="1710" w:type="dxa"/>
            <w:shd w:val="clear" w:color="auto" w:fill="auto"/>
            <w:noWrap/>
            <w:vAlign w:val="bottom"/>
            <w:hideMark/>
          </w:tcPr>
          <w:p w14:paraId="614498E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7C898EC4" w14:textId="77777777" w:rsidTr="009F5618">
        <w:trPr>
          <w:trHeight w:val="300"/>
        </w:trPr>
        <w:tc>
          <w:tcPr>
            <w:tcW w:w="1977" w:type="dxa"/>
            <w:shd w:val="clear" w:color="auto" w:fill="auto"/>
            <w:noWrap/>
            <w:vAlign w:val="bottom"/>
            <w:hideMark/>
          </w:tcPr>
          <w:p w14:paraId="5FD809F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Massachusetts</w:t>
            </w:r>
          </w:p>
        </w:tc>
        <w:tc>
          <w:tcPr>
            <w:tcW w:w="5760" w:type="dxa"/>
            <w:shd w:val="clear" w:color="auto" w:fill="auto"/>
            <w:noWrap/>
            <w:vAlign w:val="bottom"/>
            <w:hideMark/>
          </w:tcPr>
          <w:p w14:paraId="7E028C6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Mass. R. Civ. P. 68</w:t>
            </w:r>
          </w:p>
        </w:tc>
        <w:tc>
          <w:tcPr>
            <w:tcW w:w="1710" w:type="dxa"/>
            <w:shd w:val="clear" w:color="auto" w:fill="auto"/>
            <w:noWrap/>
            <w:vAlign w:val="bottom"/>
            <w:hideMark/>
          </w:tcPr>
          <w:p w14:paraId="42D18FE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F70557E" w14:textId="77777777" w:rsidTr="009F5618">
        <w:trPr>
          <w:trHeight w:val="300"/>
        </w:trPr>
        <w:tc>
          <w:tcPr>
            <w:tcW w:w="1977" w:type="dxa"/>
            <w:shd w:val="clear" w:color="auto" w:fill="auto"/>
            <w:noWrap/>
            <w:vAlign w:val="bottom"/>
            <w:hideMark/>
          </w:tcPr>
          <w:p w14:paraId="4436E1D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Michigan</w:t>
            </w:r>
          </w:p>
        </w:tc>
        <w:tc>
          <w:tcPr>
            <w:tcW w:w="5760" w:type="dxa"/>
            <w:shd w:val="clear" w:color="auto" w:fill="auto"/>
            <w:noWrap/>
            <w:vAlign w:val="bottom"/>
            <w:hideMark/>
          </w:tcPr>
          <w:p w14:paraId="08832A5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Mich. Ct. R. 2.405</w:t>
            </w:r>
          </w:p>
        </w:tc>
        <w:tc>
          <w:tcPr>
            <w:tcW w:w="1710" w:type="dxa"/>
            <w:shd w:val="clear" w:color="auto" w:fill="auto"/>
            <w:noWrap/>
            <w:vAlign w:val="bottom"/>
            <w:hideMark/>
          </w:tcPr>
          <w:p w14:paraId="2AFCCDC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35B9A51" w14:textId="77777777" w:rsidTr="009F5618">
        <w:trPr>
          <w:trHeight w:val="300"/>
        </w:trPr>
        <w:tc>
          <w:tcPr>
            <w:tcW w:w="1977" w:type="dxa"/>
            <w:shd w:val="clear" w:color="auto" w:fill="auto"/>
            <w:noWrap/>
            <w:vAlign w:val="bottom"/>
            <w:hideMark/>
          </w:tcPr>
          <w:p w14:paraId="538C8DB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Minnesota</w:t>
            </w:r>
          </w:p>
        </w:tc>
        <w:tc>
          <w:tcPr>
            <w:tcW w:w="5760" w:type="dxa"/>
            <w:shd w:val="clear" w:color="auto" w:fill="auto"/>
            <w:noWrap/>
            <w:vAlign w:val="bottom"/>
            <w:hideMark/>
          </w:tcPr>
          <w:p w14:paraId="5224FE7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Minn. R. Civ. P. 68.01</w:t>
            </w:r>
          </w:p>
        </w:tc>
        <w:tc>
          <w:tcPr>
            <w:tcW w:w="1710" w:type="dxa"/>
            <w:shd w:val="clear" w:color="auto" w:fill="auto"/>
            <w:noWrap/>
            <w:vAlign w:val="bottom"/>
            <w:hideMark/>
          </w:tcPr>
          <w:p w14:paraId="70421CE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66A5DCB" w14:textId="77777777" w:rsidTr="009F5618">
        <w:trPr>
          <w:trHeight w:val="300"/>
        </w:trPr>
        <w:tc>
          <w:tcPr>
            <w:tcW w:w="1977" w:type="dxa"/>
            <w:shd w:val="clear" w:color="auto" w:fill="auto"/>
            <w:noWrap/>
            <w:vAlign w:val="bottom"/>
            <w:hideMark/>
          </w:tcPr>
          <w:p w14:paraId="5C3BEB8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Mississippi</w:t>
            </w:r>
          </w:p>
        </w:tc>
        <w:tc>
          <w:tcPr>
            <w:tcW w:w="5760" w:type="dxa"/>
            <w:shd w:val="clear" w:color="auto" w:fill="auto"/>
            <w:noWrap/>
            <w:vAlign w:val="bottom"/>
            <w:hideMark/>
          </w:tcPr>
          <w:p w14:paraId="01C71BD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Miss. R. Civ. P. 68</w:t>
            </w:r>
          </w:p>
        </w:tc>
        <w:tc>
          <w:tcPr>
            <w:tcW w:w="1710" w:type="dxa"/>
            <w:shd w:val="clear" w:color="auto" w:fill="auto"/>
            <w:noWrap/>
            <w:vAlign w:val="bottom"/>
            <w:hideMark/>
          </w:tcPr>
          <w:p w14:paraId="4E83EEB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B253214" w14:textId="77777777" w:rsidTr="009F5618">
        <w:trPr>
          <w:trHeight w:val="300"/>
        </w:trPr>
        <w:tc>
          <w:tcPr>
            <w:tcW w:w="1977" w:type="dxa"/>
            <w:shd w:val="clear" w:color="auto" w:fill="auto"/>
            <w:noWrap/>
            <w:vAlign w:val="bottom"/>
            <w:hideMark/>
          </w:tcPr>
          <w:p w14:paraId="299D07C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Missouri</w:t>
            </w:r>
          </w:p>
        </w:tc>
        <w:tc>
          <w:tcPr>
            <w:tcW w:w="5760" w:type="dxa"/>
            <w:shd w:val="clear" w:color="auto" w:fill="auto"/>
            <w:noWrap/>
            <w:vAlign w:val="bottom"/>
            <w:hideMark/>
          </w:tcPr>
          <w:p w14:paraId="083FCDF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Mo. R. Civ. P. 77.04</w:t>
            </w:r>
          </w:p>
        </w:tc>
        <w:tc>
          <w:tcPr>
            <w:tcW w:w="1710" w:type="dxa"/>
            <w:shd w:val="clear" w:color="auto" w:fill="auto"/>
            <w:noWrap/>
            <w:vAlign w:val="bottom"/>
            <w:hideMark/>
          </w:tcPr>
          <w:p w14:paraId="12CC1A9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5DC031DB" w14:textId="77777777" w:rsidTr="009F5618">
        <w:trPr>
          <w:trHeight w:val="300"/>
        </w:trPr>
        <w:tc>
          <w:tcPr>
            <w:tcW w:w="1977" w:type="dxa"/>
            <w:shd w:val="clear" w:color="auto" w:fill="auto"/>
            <w:noWrap/>
            <w:vAlign w:val="bottom"/>
            <w:hideMark/>
          </w:tcPr>
          <w:p w14:paraId="1CFF029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Montana</w:t>
            </w:r>
          </w:p>
        </w:tc>
        <w:tc>
          <w:tcPr>
            <w:tcW w:w="5760" w:type="dxa"/>
            <w:shd w:val="clear" w:color="auto" w:fill="auto"/>
            <w:noWrap/>
            <w:vAlign w:val="bottom"/>
            <w:hideMark/>
          </w:tcPr>
          <w:p w14:paraId="7E12D56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Mont. R. Civ. P. 68</w:t>
            </w:r>
          </w:p>
        </w:tc>
        <w:tc>
          <w:tcPr>
            <w:tcW w:w="1710" w:type="dxa"/>
            <w:shd w:val="clear" w:color="auto" w:fill="auto"/>
            <w:noWrap/>
            <w:vAlign w:val="bottom"/>
            <w:hideMark/>
          </w:tcPr>
          <w:p w14:paraId="339106D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4D24B7E5" w14:textId="77777777" w:rsidTr="009F5618">
        <w:trPr>
          <w:trHeight w:val="300"/>
        </w:trPr>
        <w:tc>
          <w:tcPr>
            <w:tcW w:w="1977" w:type="dxa"/>
            <w:shd w:val="clear" w:color="auto" w:fill="auto"/>
            <w:noWrap/>
            <w:vAlign w:val="bottom"/>
            <w:hideMark/>
          </w:tcPr>
          <w:p w14:paraId="314590E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Nebraska</w:t>
            </w:r>
          </w:p>
        </w:tc>
        <w:tc>
          <w:tcPr>
            <w:tcW w:w="5760" w:type="dxa"/>
            <w:shd w:val="clear" w:color="auto" w:fill="auto"/>
            <w:noWrap/>
            <w:vAlign w:val="bottom"/>
            <w:hideMark/>
          </w:tcPr>
          <w:p w14:paraId="54D4A87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Neb. Rev. Stat. § 25-901</w:t>
            </w:r>
          </w:p>
        </w:tc>
        <w:tc>
          <w:tcPr>
            <w:tcW w:w="1710" w:type="dxa"/>
            <w:shd w:val="clear" w:color="auto" w:fill="auto"/>
            <w:noWrap/>
            <w:vAlign w:val="bottom"/>
            <w:hideMark/>
          </w:tcPr>
          <w:p w14:paraId="7D4EA53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421CB9D5" w14:textId="77777777" w:rsidTr="009F5618">
        <w:trPr>
          <w:trHeight w:val="300"/>
        </w:trPr>
        <w:tc>
          <w:tcPr>
            <w:tcW w:w="1977" w:type="dxa"/>
            <w:shd w:val="clear" w:color="auto" w:fill="auto"/>
            <w:noWrap/>
            <w:vAlign w:val="bottom"/>
            <w:hideMark/>
          </w:tcPr>
          <w:p w14:paraId="14AFBDB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Nevada</w:t>
            </w:r>
          </w:p>
        </w:tc>
        <w:tc>
          <w:tcPr>
            <w:tcW w:w="5760" w:type="dxa"/>
            <w:shd w:val="clear" w:color="auto" w:fill="auto"/>
            <w:noWrap/>
            <w:vAlign w:val="bottom"/>
            <w:hideMark/>
          </w:tcPr>
          <w:p w14:paraId="350DA9B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Nev. R. Civ. P. 68</w:t>
            </w:r>
          </w:p>
        </w:tc>
        <w:tc>
          <w:tcPr>
            <w:tcW w:w="1710" w:type="dxa"/>
            <w:shd w:val="clear" w:color="auto" w:fill="auto"/>
            <w:noWrap/>
            <w:vAlign w:val="bottom"/>
            <w:hideMark/>
          </w:tcPr>
          <w:p w14:paraId="6834869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3EEB7C4" w14:textId="77777777" w:rsidTr="009F5618">
        <w:trPr>
          <w:trHeight w:val="300"/>
        </w:trPr>
        <w:tc>
          <w:tcPr>
            <w:tcW w:w="1977" w:type="dxa"/>
            <w:shd w:val="clear" w:color="auto" w:fill="auto"/>
            <w:noWrap/>
            <w:vAlign w:val="bottom"/>
            <w:hideMark/>
          </w:tcPr>
          <w:p w14:paraId="338996B7" w14:textId="77777777" w:rsidR="009F5618" w:rsidRDefault="00C9482F" w:rsidP="009F5618">
            <w:pPr>
              <w:spacing w:line="560" w:lineRule="exact"/>
              <w:rPr>
                <w:rFonts w:eastAsia="Times New Roman"/>
                <w:color w:val="000000"/>
                <w:sz w:val="28"/>
                <w:szCs w:val="28"/>
              </w:rPr>
            </w:pPr>
            <w:r w:rsidRPr="00C9482F">
              <w:rPr>
                <w:rFonts w:eastAsia="Times New Roman"/>
                <w:color w:val="000000"/>
                <w:sz w:val="28"/>
                <w:szCs w:val="28"/>
              </w:rPr>
              <w:t xml:space="preserve">New </w:t>
            </w:r>
          </w:p>
          <w:p w14:paraId="6311EBD4" w14:textId="5CF4B9D2"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Hampshire</w:t>
            </w:r>
          </w:p>
        </w:tc>
        <w:tc>
          <w:tcPr>
            <w:tcW w:w="5760" w:type="dxa"/>
            <w:shd w:val="clear" w:color="auto" w:fill="auto"/>
            <w:noWrap/>
            <w:vAlign w:val="bottom"/>
            <w:hideMark/>
          </w:tcPr>
          <w:p w14:paraId="419120D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N.H. Ct. R. 39</w:t>
            </w:r>
          </w:p>
        </w:tc>
        <w:tc>
          <w:tcPr>
            <w:tcW w:w="1710" w:type="dxa"/>
            <w:shd w:val="clear" w:color="auto" w:fill="auto"/>
            <w:noWrap/>
            <w:vAlign w:val="bottom"/>
            <w:hideMark/>
          </w:tcPr>
          <w:p w14:paraId="77A5EFD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4EDF4AC3" w14:textId="77777777" w:rsidTr="009F5618">
        <w:trPr>
          <w:trHeight w:val="300"/>
        </w:trPr>
        <w:tc>
          <w:tcPr>
            <w:tcW w:w="1977" w:type="dxa"/>
            <w:shd w:val="clear" w:color="auto" w:fill="auto"/>
            <w:noWrap/>
            <w:vAlign w:val="bottom"/>
            <w:hideMark/>
          </w:tcPr>
          <w:p w14:paraId="680C9791"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New Jersey</w:t>
            </w:r>
          </w:p>
        </w:tc>
        <w:tc>
          <w:tcPr>
            <w:tcW w:w="5760" w:type="dxa"/>
            <w:shd w:val="clear" w:color="auto" w:fill="auto"/>
            <w:noWrap/>
            <w:vAlign w:val="bottom"/>
            <w:hideMark/>
          </w:tcPr>
          <w:p w14:paraId="461F8CD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N.J.R. Ct. 4:58</w:t>
            </w:r>
          </w:p>
        </w:tc>
        <w:tc>
          <w:tcPr>
            <w:tcW w:w="1710" w:type="dxa"/>
            <w:shd w:val="clear" w:color="auto" w:fill="auto"/>
            <w:noWrap/>
            <w:vAlign w:val="bottom"/>
            <w:hideMark/>
          </w:tcPr>
          <w:p w14:paraId="4369DA0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2BC5A888" w14:textId="77777777" w:rsidTr="009F5618">
        <w:trPr>
          <w:trHeight w:val="300"/>
        </w:trPr>
        <w:tc>
          <w:tcPr>
            <w:tcW w:w="1977" w:type="dxa"/>
            <w:shd w:val="clear" w:color="auto" w:fill="auto"/>
            <w:noWrap/>
            <w:vAlign w:val="bottom"/>
            <w:hideMark/>
          </w:tcPr>
          <w:p w14:paraId="6744087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New Mexico</w:t>
            </w:r>
          </w:p>
        </w:tc>
        <w:tc>
          <w:tcPr>
            <w:tcW w:w="5760" w:type="dxa"/>
            <w:shd w:val="clear" w:color="auto" w:fill="auto"/>
            <w:noWrap/>
            <w:vAlign w:val="bottom"/>
            <w:hideMark/>
          </w:tcPr>
          <w:p w14:paraId="380566B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N.M.R. Civ. P. 1-068</w:t>
            </w:r>
          </w:p>
        </w:tc>
        <w:tc>
          <w:tcPr>
            <w:tcW w:w="1710" w:type="dxa"/>
            <w:shd w:val="clear" w:color="auto" w:fill="auto"/>
            <w:noWrap/>
            <w:vAlign w:val="bottom"/>
            <w:hideMark/>
          </w:tcPr>
          <w:p w14:paraId="424352A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682F4560" w14:textId="77777777" w:rsidTr="009F5618">
        <w:trPr>
          <w:trHeight w:val="300"/>
        </w:trPr>
        <w:tc>
          <w:tcPr>
            <w:tcW w:w="1977" w:type="dxa"/>
            <w:shd w:val="clear" w:color="auto" w:fill="auto"/>
            <w:noWrap/>
            <w:vAlign w:val="bottom"/>
            <w:hideMark/>
          </w:tcPr>
          <w:p w14:paraId="58DF2C2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New York</w:t>
            </w:r>
          </w:p>
        </w:tc>
        <w:tc>
          <w:tcPr>
            <w:tcW w:w="5760" w:type="dxa"/>
            <w:shd w:val="clear" w:color="auto" w:fill="auto"/>
            <w:noWrap/>
            <w:vAlign w:val="bottom"/>
            <w:hideMark/>
          </w:tcPr>
          <w:p w14:paraId="04AE416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N.Y.C.P.L.R. 3221</w:t>
            </w:r>
          </w:p>
        </w:tc>
        <w:tc>
          <w:tcPr>
            <w:tcW w:w="1710" w:type="dxa"/>
            <w:shd w:val="clear" w:color="auto" w:fill="auto"/>
            <w:noWrap/>
            <w:vAlign w:val="bottom"/>
            <w:hideMark/>
          </w:tcPr>
          <w:p w14:paraId="2C0F760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71AAD5FF" w14:textId="77777777" w:rsidTr="009F5618">
        <w:trPr>
          <w:trHeight w:val="300"/>
        </w:trPr>
        <w:tc>
          <w:tcPr>
            <w:tcW w:w="1977" w:type="dxa"/>
            <w:shd w:val="clear" w:color="auto" w:fill="auto"/>
            <w:noWrap/>
            <w:vAlign w:val="bottom"/>
            <w:hideMark/>
          </w:tcPr>
          <w:p w14:paraId="7885707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North Carolina</w:t>
            </w:r>
          </w:p>
        </w:tc>
        <w:tc>
          <w:tcPr>
            <w:tcW w:w="5760" w:type="dxa"/>
            <w:shd w:val="clear" w:color="auto" w:fill="auto"/>
            <w:noWrap/>
            <w:vAlign w:val="bottom"/>
            <w:hideMark/>
          </w:tcPr>
          <w:p w14:paraId="3238FB2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N.C. Gen Stat. § 1A-1, Rule 68</w:t>
            </w:r>
          </w:p>
        </w:tc>
        <w:tc>
          <w:tcPr>
            <w:tcW w:w="1710" w:type="dxa"/>
            <w:shd w:val="clear" w:color="auto" w:fill="auto"/>
            <w:noWrap/>
            <w:vAlign w:val="bottom"/>
            <w:hideMark/>
          </w:tcPr>
          <w:p w14:paraId="4F0799F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15D76272" w14:textId="77777777" w:rsidTr="009F5618">
        <w:trPr>
          <w:trHeight w:val="300"/>
        </w:trPr>
        <w:tc>
          <w:tcPr>
            <w:tcW w:w="1977" w:type="dxa"/>
            <w:shd w:val="clear" w:color="auto" w:fill="auto"/>
            <w:noWrap/>
            <w:vAlign w:val="bottom"/>
            <w:hideMark/>
          </w:tcPr>
          <w:p w14:paraId="41E0911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North Dakota</w:t>
            </w:r>
          </w:p>
        </w:tc>
        <w:tc>
          <w:tcPr>
            <w:tcW w:w="5760" w:type="dxa"/>
            <w:shd w:val="clear" w:color="auto" w:fill="auto"/>
            <w:noWrap/>
            <w:vAlign w:val="bottom"/>
            <w:hideMark/>
          </w:tcPr>
          <w:p w14:paraId="5F2B307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N.D.R. Civ. P. 68</w:t>
            </w:r>
          </w:p>
        </w:tc>
        <w:tc>
          <w:tcPr>
            <w:tcW w:w="1710" w:type="dxa"/>
            <w:shd w:val="clear" w:color="auto" w:fill="auto"/>
            <w:vAlign w:val="bottom"/>
            <w:hideMark/>
          </w:tcPr>
          <w:p w14:paraId="16F0256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024A0720" w14:textId="77777777" w:rsidTr="009F5618">
        <w:trPr>
          <w:trHeight w:val="300"/>
        </w:trPr>
        <w:tc>
          <w:tcPr>
            <w:tcW w:w="1977" w:type="dxa"/>
            <w:shd w:val="clear" w:color="auto" w:fill="auto"/>
            <w:noWrap/>
            <w:vAlign w:val="bottom"/>
            <w:hideMark/>
          </w:tcPr>
          <w:p w14:paraId="02E85F3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Ohio</w:t>
            </w:r>
          </w:p>
        </w:tc>
        <w:tc>
          <w:tcPr>
            <w:tcW w:w="5760" w:type="dxa"/>
            <w:shd w:val="clear" w:color="auto" w:fill="auto"/>
            <w:noWrap/>
            <w:vAlign w:val="bottom"/>
            <w:hideMark/>
          </w:tcPr>
          <w:p w14:paraId="2799BCD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Ohio R. Civ. P. 68</w:t>
            </w:r>
          </w:p>
        </w:tc>
        <w:tc>
          <w:tcPr>
            <w:tcW w:w="1710" w:type="dxa"/>
            <w:shd w:val="clear" w:color="auto" w:fill="auto"/>
            <w:vAlign w:val="bottom"/>
            <w:hideMark/>
          </w:tcPr>
          <w:p w14:paraId="4FEE414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5BDC2B53" w14:textId="77777777" w:rsidTr="009F5618">
        <w:trPr>
          <w:trHeight w:val="300"/>
        </w:trPr>
        <w:tc>
          <w:tcPr>
            <w:tcW w:w="1977" w:type="dxa"/>
            <w:shd w:val="clear" w:color="auto" w:fill="auto"/>
            <w:noWrap/>
            <w:vAlign w:val="bottom"/>
            <w:hideMark/>
          </w:tcPr>
          <w:p w14:paraId="6D00060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Oklahoma</w:t>
            </w:r>
          </w:p>
        </w:tc>
        <w:tc>
          <w:tcPr>
            <w:tcW w:w="5760" w:type="dxa"/>
            <w:shd w:val="clear" w:color="auto" w:fill="auto"/>
            <w:noWrap/>
            <w:vAlign w:val="bottom"/>
            <w:hideMark/>
          </w:tcPr>
          <w:p w14:paraId="34F5201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Okla. Stat. tit. 12, § 1101.1</w:t>
            </w:r>
          </w:p>
        </w:tc>
        <w:tc>
          <w:tcPr>
            <w:tcW w:w="1710" w:type="dxa"/>
            <w:shd w:val="clear" w:color="auto" w:fill="auto"/>
            <w:noWrap/>
            <w:vAlign w:val="bottom"/>
            <w:hideMark/>
          </w:tcPr>
          <w:p w14:paraId="3ADD6E4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4AC90CF3" w14:textId="77777777" w:rsidTr="009F5618">
        <w:trPr>
          <w:trHeight w:val="300"/>
        </w:trPr>
        <w:tc>
          <w:tcPr>
            <w:tcW w:w="1977" w:type="dxa"/>
            <w:shd w:val="clear" w:color="auto" w:fill="auto"/>
            <w:noWrap/>
            <w:vAlign w:val="bottom"/>
            <w:hideMark/>
          </w:tcPr>
          <w:p w14:paraId="2876FC5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Oregon</w:t>
            </w:r>
          </w:p>
        </w:tc>
        <w:tc>
          <w:tcPr>
            <w:tcW w:w="5760" w:type="dxa"/>
            <w:shd w:val="clear" w:color="auto" w:fill="auto"/>
            <w:noWrap/>
            <w:vAlign w:val="bottom"/>
            <w:hideMark/>
          </w:tcPr>
          <w:p w14:paraId="77BAC89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Or. R. Civ. P. 54</w:t>
            </w:r>
          </w:p>
        </w:tc>
        <w:tc>
          <w:tcPr>
            <w:tcW w:w="1710" w:type="dxa"/>
            <w:shd w:val="clear" w:color="auto" w:fill="auto"/>
            <w:vAlign w:val="bottom"/>
            <w:hideMark/>
          </w:tcPr>
          <w:p w14:paraId="53ADBA1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704C9C6" w14:textId="77777777" w:rsidTr="009F5618">
        <w:trPr>
          <w:trHeight w:val="300"/>
        </w:trPr>
        <w:tc>
          <w:tcPr>
            <w:tcW w:w="1977" w:type="dxa"/>
            <w:shd w:val="clear" w:color="auto" w:fill="auto"/>
            <w:noWrap/>
            <w:vAlign w:val="bottom"/>
            <w:hideMark/>
          </w:tcPr>
          <w:p w14:paraId="1E02A52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Pennsylvania</w:t>
            </w:r>
          </w:p>
        </w:tc>
        <w:tc>
          <w:tcPr>
            <w:tcW w:w="5760" w:type="dxa"/>
            <w:shd w:val="clear" w:color="auto" w:fill="auto"/>
            <w:noWrap/>
            <w:vAlign w:val="bottom"/>
            <w:hideMark/>
          </w:tcPr>
          <w:p w14:paraId="668607E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Pa. R. Civ. P. 238</w:t>
            </w:r>
          </w:p>
        </w:tc>
        <w:tc>
          <w:tcPr>
            <w:tcW w:w="1710" w:type="dxa"/>
            <w:shd w:val="clear" w:color="auto" w:fill="auto"/>
            <w:vAlign w:val="bottom"/>
            <w:hideMark/>
          </w:tcPr>
          <w:p w14:paraId="3EEA211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21AAD3B8" w14:textId="77777777" w:rsidTr="009F5618">
        <w:trPr>
          <w:trHeight w:val="300"/>
        </w:trPr>
        <w:tc>
          <w:tcPr>
            <w:tcW w:w="1977" w:type="dxa"/>
            <w:shd w:val="clear" w:color="auto" w:fill="auto"/>
            <w:noWrap/>
            <w:vAlign w:val="bottom"/>
            <w:hideMark/>
          </w:tcPr>
          <w:p w14:paraId="4DBD76E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Rhode Island</w:t>
            </w:r>
          </w:p>
        </w:tc>
        <w:tc>
          <w:tcPr>
            <w:tcW w:w="5760" w:type="dxa"/>
            <w:shd w:val="clear" w:color="auto" w:fill="auto"/>
            <w:noWrap/>
            <w:vAlign w:val="bottom"/>
            <w:hideMark/>
          </w:tcPr>
          <w:p w14:paraId="7887BB8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R.I.R. Civ. P. 68</w:t>
            </w:r>
          </w:p>
        </w:tc>
        <w:tc>
          <w:tcPr>
            <w:tcW w:w="1710" w:type="dxa"/>
            <w:shd w:val="clear" w:color="auto" w:fill="auto"/>
            <w:vAlign w:val="bottom"/>
            <w:hideMark/>
          </w:tcPr>
          <w:p w14:paraId="0A31558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749559F1" w14:textId="77777777" w:rsidTr="009F5618">
        <w:trPr>
          <w:trHeight w:val="300"/>
        </w:trPr>
        <w:tc>
          <w:tcPr>
            <w:tcW w:w="1977" w:type="dxa"/>
            <w:shd w:val="clear" w:color="auto" w:fill="auto"/>
            <w:noWrap/>
            <w:vAlign w:val="bottom"/>
            <w:hideMark/>
          </w:tcPr>
          <w:p w14:paraId="3188EBB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South Carolina</w:t>
            </w:r>
          </w:p>
        </w:tc>
        <w:tc>
          <w:tcPr>
            <w:tcW w:w="5760" w:type="dxa"/>
            <w:shd w:val="clear" w:color="auto" w:fill="auto"/>
            <w:noWrap/>
            <w:vAlign w:val="bottom"/>
            <w:hideMark/>
          </w:tcPr>
          <w:p w14:paraId="6CC8D72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S.C.R. Civ. P. 68</w:t>
            </w:r>
          </w:p>
        </w:tc>
        <w:tc>
          <w:tcPr>
            <w:tcW w:w="1710" w:type="dxa"/>
            <w:shd w:val="clear" w:color="auto" w:fill="auto"/>
            <w:vAlign w:val="bottom"/>
            <w:hideMark/>
          </w:tcPr>
          <w:p w14:paraId="6FF3BC8D"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FB17DFE" w14:textId="77777777" w:rsidTr="009F5618">
        <w:trPr>
          <w:trHeight w:val="300"/>
        </w:trPr>
        <w:tc>
          <w:tcPr>
            <w:tcW w:w="1977" w:type="dxa"/>
            <w:shd w:val="clear" w:color="auto" w:fill="auto"/>
            <w:noWrap/>
            <w:vAlign w:val="bottom"/>
            <w:hideMark/>
          </w:tcPr>
          <w:p w14:paraId="20A861F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South Dakota</w:t>
            </w:r>
          </w:p>
        </w:tc>
        <w:tc>
          <w:tcPr>
            <w:tcW w:w="5760" w:type="dxa"/>
            <w:shd w:val="clear" w:color="auto" w:fill="auto"/>
            <w:noWrap/>
            <w:vAlign w:val="bottom"/>
            <w:hideMark/>
          </w:tcPr>
          <w:p w14:paraId="76C344D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S.D. Codified Laws § 15-6-68</w:t>
            </w:r>
          </w:p>
        </w:tc>
        <w:tc>
          <w:tcPr>
            <w:tcW w:w="1710" w:type="dxa"/>
            <w:shd w:val="clear" w:color="auto" w:fill="auto"/>
            <w:noWrap/>
            <w:vAlign w:val="bottom"/>
            <w:hideMark/>
          </w:tcPr>
          <w:p w14:paraId="3C345BC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274A465B" w14:textId="77777777" w:rsidTr="009F5618">
        <w:trPr>
          <w:trHeight w:val="300"/>
        </w:trPr>
        <w:tc>
          <w:tcPr>
            <w:tcW w:w="1977" w:type="dxa"/>
            <w:shd w:val="clear" w:color="auto" w:fill="auto"/>
            <w:noWrap/>
            <w:vAlign w:val="bottom"/>
            <w:hideMark/>
          </w:tcPr>
          <w:p w14:paraId="173B428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Tennessee</w:t>
            </w:r>
          </w:p>
        </w:tc>
        <w:tc>
          <w:tcPr>
            <w:tcW w:w="5760" w:type="dxa"/>
            <w:shd w:val="clear" w:color="auto" w:fill="auto"/>
            <w:noWrap/>
            <w:vAlign w:val="bottom"/>
            <w:hideMark/>
          </w:tcPr>
          <w:p w14:paraId="57750DC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Tenn. R. Civ. P. 68</w:t>
            </w:r>
          </w:p>
        </w:tc>
        <w:tc>
          <w:tcPr>
            <w:tcW w:w="1710" w:type="dxa"/>
            <w:shd w:val="clear" w:color="auto" w:fill="auto"/>
            <w:vAlign w:val="bottom"/>
            <w:hideMark/>
          </w:tcPr>
          <w:p w14:paraId="409ECDC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776BA9C7" w14:textId="77777777" w:rsidTr="009F5618">
        <w:trPr>
          <w:trHeight w:val="300"/>
        </w:trPr>
        <w:tc>
          <w:tcPr>
            <w:tcW w:w="1977" w:type="dxa"/>
            <w:shd w:val="clear" w:color="auto" w:fill="auto"/>
            <w:noWrap/>
            <w:vAlign w:val="bottom"/>
            <w:hideMark/>
          </w:tcPr>
          <w:p w14:paraId="6779E7D3"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Texas</w:t>
            </w:r>
          </w:p>
        </w:tc>
        <w:tc>
          <w:tcPr>
            <w:tcW w:w="5760" w:type="dxa"/>
            <w:shd w:val="clear" w:color="auto" w:fill="auto"/>
            <w:noWrap/>
            <w:vAlign w:val="bottom"/>
            <w:hideMark/>
          </w:tcPr>
          <w:p w14:paraId="4ABF708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Tex. R. Civ. P. 167.4</w:t>
            </w:r>
          </w:p>
        </w:tc>
        <w:tc>
          <w:tcPr>
            <w:tcW w:w="1710" w:type="dxa"/>
            <w:shd w:val="clear" w:color="auto" w:fill="auto"/>
            <w:vAlign w:val="bottom"/>
            <w:hideMark/>
          </w:tcPr>
          <w:p w14:paraId="2D4CD3F2"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167A6E15" w14:textId="77777777" w:rsidTr="009F5618">
        <w:trPr>
          <w:trHeight w:val="300"/>
        </w:trPr>
        <w:tc>
          <w:tcPr>
            <w:tcW w:w="1977" w:type="dxa"/>
            <w:shd w:val="clear" w:color="auto" w:fill="auto"/>
            <w:noWrap/>
            <w:vAlign w:val="bottom"/>
            <w:hideMark/>
          </w:tcPr>
          <w:p w14:paraId="785D2057"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Utah</w:t>
            </w:r>
          </w:p>
        </w:tc>
        <w:tc>
          <w:tcPr>
            <w:tcW w:w="5760" w:type="dxa"/>
            <w:shd w:val="clear" w:color="auto" w:fill="auto"/>
            <w:noWrap/>
            <w:vAlign w:val="bottom"/>
            <w:hideMark/>
          </w:tcPr>
          <w:p w14:paraId="27AE9CE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Utah R. Civ. P. 68</w:t>
            </w:r>
          </w:p>
        </w:tc>
        <w:tc>
          <w:tcPr>
            <w:tcW w:w="1710" w:type="dxa"/>
            <w:shd w:val="clear" w:color="auto" w:fill="auto"/>
            <w:vAlign w:val="bottom"/>
            <w:hideMark/>
          </w:tcPr>
          <w:p w14:paraId="70C6D230"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3F7855F3" w14:textId="77777777" w:rsidTr="009F5618">
        <w:trPr>
          <w:trHeight w:val="300"/>
        </w:trPr>
        <w:tc>
          <w:tcPr>
            <w:tcW w:w="1977" w:type="dxa"/>
            <w:shd w:val="clear" w:color="auto" w:fill="auto"/>
            <w:noWrap/>
            <w:vAlign w:val="bottom"/>
            <w:hideMark/>
          </w:tcPr>
          <w:p w14:paraId="71DDCBCE"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Vermont</w:t>
            </w:r>
          </w:p>
        </w:tc>
        <w:tc>
          <w:tcPr>
            <w:tcW w:w="5760" w:type="dxa"/>
            <w:shd w:val="clear" w:color="auto" w:fill="auto"/>
            <w:noWrap/>
            <w:vAlign w:val="bottom"/>
            <w:hideMark/>
          </w:tcPr>
          <w:p w14:paraId="64E0962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Vt. R. Civ. P. 68</w:t>
            </w:r>
          </w:p>
        </w:tc>
        <w:tc>
          <w:tcPr>
            <w:tcW w:w="1710" w:type="dxa"/>
            <w:shd w:val="clear" w:color="auto" w:fill="auto"/>
            <w:vAlign w:val="bottom"/>
            <w:hideMark/>
          </w:tcPr>
          <w:p w14:paraId="16EDE50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2EA64CD2" w14:textId="77777777" w:rsidTr="009F5618">
        <w:trPr>
          <w:trHeight w:val="300"/>
        </w:trPr>
        <w:tc>
          <w:tcPr>
            <w:tcW w:w="1977" w:type="dxa"/>
            <w:shd w:val="clear" w:color="auto" w:fill="auto"/>
            <w:noWrap/>
            <w:vAlign w:val="bottom"/>
            <w:hideMark/>
          </w:tcPr>
          <w:p w14:paraId="0686104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Virginia</w:t>
            </w:r>
          </w:p>
        </w:tc>
        <w:tc>
          <w:tcPr>
            <w:tcW w:w="5760" w:type="dxa"/>
            <w:shd w:val="clear" w:color="auto" w:fill="auto"/>
            <w:noWrap/>
            <w:vAlign w:val="bottom"/>
            <w:hideMark/>
          </w:tcPr>
          <w:p w14:paraId="602BA58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Va. Code Ann. § 8.01-421</w:t>
            </w:r>
          </w:p>
        </w:tc>
        <w:tc>
          <w:tcPr>
            <w:tcW w:w="1710" w:type="dxa"/>
            <w:shd w:val="clear" w:color="auto" w:fill="auto"/>
            <w:noWrap/>
            <w:vAlign w:val="bottom"/>
            <w:hideMark/>
          </w:tcPr>
          <w:p w14:paraId="0579D9D4"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225FB23F" w14:textId="77777777" w:rsidTr="009F5618">
        <w:trPr>
          <w:trHeight w:val="300"/>
        </w:trPr>
        <w:tc>
          <w:tcPr>
            <w:tcW w:w="1977" w:type="dxa"/>
            <w:shd w:val="clear" w:color="auto" w:fill="auto"/>
            <w:noWrap/>
            <w:vAlign w:val="bottom"/>
            <w:hideMark/>
          </w:tcPr>
          <w:p w14:paraId="3CDDCD9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Washington</w:t>
            </w:r>
          </w:p>
        </w:tc>
        <w:tc>
          <w:tcPr>
            <w:tcW w:w="5760" w:type="dxa"/>
            <w:shd w:val="clear" w:color="auto" w:fill="auto"/>
            <w:noWrap/>
            <w:vAlign w:val="bottom"/>
            <w:hideMark/>
          </w:tcPr>
          <w:p w14:paraId="2425B1C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Wa. Superior Ct. Civ. R. 68</w:t>
            </w:r>
          </w:p>
        </w:tc>
        <w:tc>
          <w:tcPr>
            <w:tcW w:w="1710" w:type="dxa"/>
            <w:shd w:val="clear" w:color="auto" w:fill="auto"/>
            <w:vAlign w:val="bottom"/>
            <w:hideMark/>
          </w:tcPr>
          <w:p w14:paraId="55225D3C"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6D8DBC7C" w14:textId="77777777" w:rsidTr="009F5618">
        <w:trPr>
          <w:trHeight w:val="300"/>
        </w:trPr>
        <w:tc>
          <w:tcPr>
            <w:tcW w:w="1977" w:type="dxa"/>
            <w:shd w:val="clear" w:color="auto" w:fill="auto"/>
            <w:noWrap/>
            <w:vAlign w:val="bottom"/>
            <w:hideMark/>
          </w:tcPr>
          <w:p w14:paraId="4C45E07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West Virginia</w:t>
            </w:r>
          </w:p>
        </w:tc>
        <w:tc>
          <w:tcPr>
            <w:tcW w:w="5760" w:type="dxa"/>
            <w:shd w:val="clear" w:color="auto" w:fill="auto"/>
            <w:noWrap/>
            <w:vAlign w:val="bottom"/>
            <w:hideMark/>
          </w:tcPr>
          <w:p w14:paraId="2FC23829"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 Va. R. Civ. P. 68</w:t>
            </w:r>
          </w:p>
        </w:tc>
        <w:tc>
          <w:tcPr>
            <w:tcW w:w="1710" w:type="dxa"/>
            <w:shd w:val="clear" w:color="auto" w:fill="auto"/>
            <w:vAlign w:val="bottom"/>
            <w:hideMark/>
          </w:tcPr>
          <w:p w14:paraId="48F1566F"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r w:rsidR="00C9482F" w:rsidRPr="00C9482F" w14:paraId="1CF38F31" w14:textId="77777777" w:rsidTr="009F5618">
        <w:trPr>
          <w:trHeight w:val="300"/>
        </w:trPr>
        <w:tc>
          <w:tcPr>
            <w:tcW w:w="1977" w:type="dxa"/>
            <w:shd w:val="clear" w:color="auto" w:fill="auto"/>
            <w:noWrap/>
            <w:vAlign w:val="bottom"/>
            <w:hideMark/>
          </w:tcPr>
          <w:p w14:paraId="7184CAEB"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Wisconsin</w:t>
            </w:r>
          </w:p>
        </w:tc>
        <w:tc>
          <w:tcPr>
            <w:tcW w:w="5760" w:type="dxa"/>
            <w:shd w:val="clear" w:color="auto" w:fill="auto"/>
            <w:noWrap/>
            <w:vAlign w:val="bottom"/>
            <w:hideMark/>
          </w:tcPr>
          <w:p w14:paraId="0E698C8A" w14:textId="668F8958"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Wis. Stat. § 807.01</w:t>
            </w:r>
          </w:p>
        </w:tc>
        <w:tc>
          <w:tcPr>
            <w:tcW w:w="1710" w:type="dxa"/>
            <w:shd w:val="clear" w:color="auto" w:fill="auto"/>
            <w:noWrap/>
            <w:vAlign w:val="bottom"/>
            <w:hideMark/>
          </w:tcPr>
          <w:p w14:paraId="024144A8"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Statute</w:t>
            </w:r>
          </w:p>
        </w:tc>
      </w:tr>
      <w:tr w:rsidR="00C9482F" w:rsidRPr="00C9482F" w14:paraId="2D061C11" w14:textId="77777777" w:rsidTr="009F5618">
        <w:trPr>
          <w:trHeight w:val="300"/>
        </w:trPr>
        <w:tc>
          <w:tcPr>
            <w:tcW w:w="1977" w:type="dxa"/>
            <w:shd w:val="clear" w:color="auto" w:fill="auto"/>
            <w:noWrap/>
            <w:vAlign w:val="bottom"/>
            <w:hideMark/>
          </w:tcPr>
          <w:p w14:paraId="46C8FA15"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Wyoming</w:t>
            </w:r>
          </w:p>
        </w:tc>
        <w:tc>
          <w:tcPr>
            <w:tcW w:w="5760" w:type="dxa"/>
            <w:shd w:val="clear" w:color="auto" w:fill="auto"/>
            <w:noWrap/>
            <w:vAlign w:val="bottom"/>
            <w:hideMark/>
          </w:tcPr>
          <w:p w14:paraId="272ED9B6"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Wy. R. Civ. P. 68</w:t>
            </w:r>
          </w:p>
        </w:tc>
        <w:tc>
          <w:tcPr>
            <w:tcW w:w="1710" w:type="dxa"/>
            <w:shd w:val="clear" w:color="auto" w:fill="auto"/>
            <w:vAlign w:val="bottom"/>
            <w:hideMark/>
          </w:tcPr>
          <w:p w14:paraId="4B62EC0A" w14:textId="77777777" w:rsidR="00C9482F" w:rsidRPr="00C9482F" w:rsidRDefault="00C9482F" w:rsidP="009F5618">
            <w:pPr>
              <w:spacing w:line="560" w:lineRule="exact"/>
              <w:rPr>
                <w:rFonts w:eastAsia="Times New Roman"/>
                <w:color w:val="000000"/>
                <w:sz w:val="28"/>
                <w:szCs w:val="28"/>
              </w:rPr>
            </w:pPr>
            <w:r w:rsidRPr="00C9482F">
              <w:rPr>
                <w:rFonts w:eastAsia="Times New Roman"/>
                <w:color w:val="000000"/>
                <w:sz w:val="28"/>
                <w:szCs w:val="28"/>
              </w:rPr>
              <w:t>Court rule</w:t>
            </w:r>
          </w:p>
        </w:tc>
      </w:tr>
    </w:tbl>
    <w:p w14:paraId="07795E21" w14:textId="63EE24C1" w:rsidR="00C110CB" w:rsidRDefault="00C110CB" w:rsidP="00C110CB">
      <w:pPr>
        <w:spacing w:after="160" w:line="259" w:lineRule="auto"/>
        <w:rPr>
          <w:sz w:val="28"/>
        </w:rPr>
      </w:pPr>
    </w:p>
    <w:p w14:paraId="4204FBF8" w14:textId="77777777" w:rsidR="00C9482F" w:rsidRPr="00C110CB" w:rsidRDefault="00C9482F" w:rsidP="00C110CB">
      <w:pPr>
        <w:spacing w:after="160" w:line="259" w:lineRule="auto"/>
        <w:rPr>
          <w:sz w:val="28"/>
        </w:rPr>
      </w:pPr>
    </w:p>
    <w:p w14:paraId="616C99FE" w14:textId="77777777" w:rsidR="00C110CB" w:rsidRDefault="00C110CB">
      <w:pPr>
        <w:spacing w:after="160" w:line="259" w:lineRule="auto"/>
        <w:rPr>
          <w:sz w:val="28"/>
        </w:rPr>
      </w:pPr>
    </w:p>
    <w:p w14:paraId="0AA80A87" w14:textId="77777777" w:rsidR="00981950" w:rsidRPr="00981950" w:rsidRDefault="00981950" w:rsidP="00AE3E2F">
      <w:pPr>
        <w:jc w:val="both"/>
        <w:rPr>
          <w:sz w:val="28"/>
          <w:szCs w:val="28"/>
        </w:rPr>
      </w:pPr>
    </w:p>
    <w:sectPr w:rsidR="00981950" w:rsidRPr="00981950" w:rsidSect="00373F4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4F30" w14:textId="77777777" w:rsidR="005219D7" w:rsidRDefault="005219D7">
      <w:r>
        <w:separator/>
      </w:r>
    </w:p>
  </w:endnote>
  <w:endnote w:type="continuationSeparator" w:id="0">
    <w:p w14:paraId="14EF1911" w14:textId="77777777" w:rsidR="005219D7" w:rsidRDefault="0052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E7BE" w14:textId="77777777" w:rsidR="000868CD" w:rsidRDefault="000868CD">
    <w:pPr>
      <w:pStyle w:val="Footer"/>
      <w:jc w:val="center"/>
      <w:rPr>
        <w:sz w:val="28"/>
      </w:rPr>
    </w:pPr>
  </w:p>
  <w:p w14:paraId="35F857DD" w14:textId="3EB561CD" w:rsidR="000868CD" w:rsidRPr="00075C10" w:rsidRDefault="000868CD">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AF548B">
      <w:rPr>
        <w:noProof/>
        <w:sz w:val="26"/>
        <w:szCs w:val="26"/>
      </w:rPr>
      <w:t>8</w:t>
    </w:r>
    <w:r w:rsidRPr="00075C10">
      <w:rPr>
        <w:noProof/>
        <w:sz w:val="26"/>
        <w:szCs w:val="26"/>
      </w:rPr>
      <w:fldChar w:fldCharType="end"/>
    </w:r>
  </w:p>
  <w:p w14:paraId="134F8C15" w14:textId="77777777" w:rsidR="000868CD" w:rsidRPr="00130840" w:rsidRDefault="000868CD"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6B793" w14:textId="77777777" w:rsidR="005219D7" w:rsidRDefault="005219D7">
      <w:r>
        <w:separator/>
      </w:r>
    </w:p>
  </w:footnote>
  <w:footnote w:type="continuationSeparator" w:id="0">
    <w:p w14:paraId="005E2295" w14:textId="77777777" w:rsidR="005219D7" w:rsidRDefault="005219D7">
      <w:r>
        <w:continuationSeparator/>
      </w:r>
    </w:p>
  </w:footnote>
  <w:footnote w:id="1">
    <w:p w14:paraId="777944FC" w14:textId="0F16E1AF" w:rsidR="000868CD" w:rsidRPr="000222A6" w:rsidRDefault="000868CD" w:rsidP="000222A6">
      <w:pPr>
        <w:pStyle w:val="FootnoteText"/>
        <w:jc w:val="both"/>
        <w:rPr>
          <w:rFonts w:ascii="Times New Roman" w:hAnsi="Times New Roman" w:cs="Times New Roman"/>
          <w:sz w:val="28"/>
          <w:szCs w:val="28"/>
        </w:rPr>
      </w:pPr>
      <w:r w:rsidRPr="000222A6">
        <w:rPr>
          <w:rStyle w:val="FootnoteReference"/>
          <w:rFonts w:ascii="Times New Roman" w:hAnsi="Times New Roman" w:cs="Times New Roman"/>
          <w:sz w:val="28"/>
          <w:szCs w:val="28"/>
        </w:rPr>
        <w:footnoteRef/>
      </w:r>
      <w:r w:rsidRPr="000222A6">
        <w:rPr>
          <w:rFonts w:ascii="Times New Roman" w:hAnsi="Times New Roman" w:cs="Times New Roman"/>
          <w:sz w:val="28"/>
          <w:szCs w:val="28"/>
        </w:rPr>
        <w:t xml:space="preserve"> </w:t>
      </w:r>
      <w:r w:rsidRPr="000222A6">
        <w:rPr>
          <w:rFonts w:ascii="Times New Roman" w:hAnsi="Times New Roman" w:cs="Times New Roman"/>
          <w:sz w:val="28"/>
          <w:szCs w:val="28"/>
        </w:rPr>
        <w:tab/>
        <w:t xml:space="preserve">Alaska, California, Colorado, Connecticut, Florida, Georgia, Iowa, Kansas, Louisiana, Maryland, Nebraska, New York, North Carolina, Oklahoma, South Dakota, Virginia, Wisconsin. </w:t>
      </w:r>
      <w:r w:rsidRPr="000222A6">
        <w:rPr>
          <w:rFonts w:ascii="Times New Roman" w:hAnsi="Times New Roman" w:cs="Times New Roman"/>
          <w:i/>
          <w:sz w:val="28"/>
          <w:szCs w:val="28"/>
        </w:rPr>
        <w:t xml:space="preserve">See </w:t>
      </w:r>
      <w:r w:rsidRPr="000222A6">
        <w:rPr>
          <w:rFonts w:ascii="Times New Roman" w:hAnsi="Times New Roman" w:cs="Times New Roman"/>
          <w:sz w:val="28"/>
          <w:szCs w:val="28"/>
        </w:rPr>
        <w:t>Appendix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9818E0"/>
    <w:multiLevelType w:val="hybridMultilevel"/>
    <w:tmpl w:val="D0E47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xsTQwtDAwszAyMTVV0lEKTi0uzszPAykwqQUAFp/0WCwAAAA="/>
  </w:docVars>
  <w:rsids>
    <w:rsidRoot w:val="00B33AE4"/>
    <w:rsid w:val="0001030D"/>
    <w:rsid w:val="000130DF"/>
    <w:rsid w:val="000222A6"/>
    <w:rsid w:val="000242AB"/>
    <w:rsid w:val="000401FE"/>
    <w:rsid w:val="000409D3"/>
    <w:rsid w:val="00050BB7"/>
    <w:rsid w:val="000730AD"/>
    <w:rsid w:val="000868CD"/>
    <w:rsid w:val="000B2DFC"/>
    <w:rsid w:val="000C2475"/>
    <w:rsid w:val="000D1811"/>
    <w:rsid w:val="000D29E0"/>
    <w:rsid w:val="00110A47"/>
    <w:rsid w:val="00110AB3"/>
    <w:rsid w:val="00111609"/>
    <w:rsid w:val="00115AE3"/>
    <w:rsid w:val="0013237F"/>
    <w:rsid w:val="00141999"/>
    <w:rsid w:val="0016681A"/>
    <w:rsid w:val="001A4500"/>
    <w:rsid w:val="001A6EFA"/>
    <w:rsid w:val="001D7136"/>
    <w:rsid w:val="001E665C"/>
    <w:rsid w:val="001F0FEF"/>
    <w:rsid w:val="00214B9B"/>
    <w:rsid w:val="002574EC"/>
    <w:rsid w:val="00274E75"/>
    <w:rsid w:val="0029603E"/>
    <w:rsid w:val="00297C79"/>
    <w:rsid w:val="002B1A70"/>
    <w:rsid w:val="002C4C5D"/>
    <w:rsid w:val="002D766C"/>
    <w:rsid w:val="0030574E"/>
    <w:rsid w:val="0033163E"/>
    <w:rsid w:val="003404F7"/>
    <w:rsid w:val="00341116"/>
    <w:rsid w:val="00373F48"/>
    <w:rsid w:val="00381930"/>
    <w:rsid w:val="003B4073"/>
    <w:rsid w:val="003B4A9F"/>
    <w:rsid w:val="003B4BD5"/>
    <w:rsid w:val="003E1445"/>
    <w:rsid w:val="00417949"/>
    <w:rsid w:val="004505A4"/>
    <w:rsid w:val="00452FCC"/>
    <w:rsid w:val="004602ED"/>
    <w:rsid w:val="004855AB"/>
    <w:rsid w:val="0049000C"/>
    <w:rsid w:val="00491A82"/>
    <w:rsid w:val="00496E6F"/>
    <w:rsid w:val="004A2175"/>
    <w:rsid w:val="004E0322"/>
    <w:rsid w:val="004F0D17"/>
    <w:rsid w:val="004F7187"/>
    <w:rsid w:val="00517969"/>
    <w:rsid w:val="005219D7"/>
    <w:rsid w:val="005740D3"/>
    <w:rsid w:val="005817F4"/>
    <w:rsid w:val="00585547"/>
    <w:rsid w:val="00597E6C"/>
    <w:rsid w:val="005A3B13"/>
    <w:rsid w:val="005A4970"/>
    <w:rsid w:val="005B6ECF"/>
    <w:rsid w:val="005D0224"/>
    <w:rsid w:val="005D0510"/>
    <w:rsid w:val="005D05F3"/>
    <w:rsid w:val="005D6C2E"/>
    <w:rsid w:val="005E6D59"/>
    <w:rsid w:val="00603DD9"/>
    <w:rsid w:val="006133F0"/>
    <w:rsid w:val="00613582"/>
    <w:rsid w:val="00614DD1"/>
    <w:rsid w:val="00630373"/>
    <w:rsid w:val="006323E1"/>
    <w:rsid w:val="006328CA"/>
    <w:rsid w:val="00637C25"/>
    <w:rsid w:val="00643699"/>
    <w:rsid w:val="00655970"/>
    <w:rsid w:val="00661648"/>
    <w:rsid w:val="00662E7E"/>
    <w:rsid w:val="00674815"/>
    <w:rsid w:val="006750DD"/>
    <w:rsid w:val="00675C28"/>
    <w:rsid w:val="0069397D"/>
    <w:rsid w:val="006B0919"/>
    <w:rsid w:val="006B1524"/>
    <w:rsid w:val="006B6688"/>
    <w:rsid w:val="006C14E1"/>
    <w:rsid w:val="006C1678"/>
    <w:rsid w:val="006C5BB2"/>
    <w:rsid w:val="006C6588"/>
    <w:rsid w:val="006D7435"/>
    <w:rsid w:val="006F0E2E"/>
    <w:rsid w:val="00731BC3"/>
    <w:rsid w:val="00733835"/>
    <w:rsid w:val="007470C6"/>
    <w:rsid w:val="00772148"/>
    <w:rsid w:val="00785E52"/>
    <w:rsid w:val="00792967"/>
    <w:rsid w:val="00796DC9"/>
    <w:rsid w:val="007A3DD3"/>
    <w:rsid w:val="007B5A08"/>
    <w:rsid w:val="007F173E"/>
    <w:rsid w:val="008470E8"/>
    <w:rsid w:val="0085728B"/>
    <w:rsid w:val="00862F8C"/>
    <w:rsid w:val="008706CB"/>
    <w:rsid w:val="00874F8D"/>
    <w:rsid w:val="00882BF1"/>
    <w:rsid w:val="008877BA"/>
    <w:rsid w:val="00890F97"/>
    <w:rsid w:val="008A1FA8"/>
    <w:rsid w:val="008D2DE7"/>
    <w:rsid w:val="008E0B59"/>
    <w:rsid w:val="008F1934"/>
    <w:rsid w:val="008F641E"/>
    <w:rsid w:val="00951E3D"/>
    <w:rsid w:val="00981950"/>
    <w:rsid w:val="009A7832"/>
    <w:rsid w:val="009B5233"/>
    <w:rsid w:val="009B73C3"/>
    <w:rsid w:val="009E1F49"/>
    <w:rsid w:val="009E493B"/>
    <w:rsid w:val="009F5618"/>
    <w:rsid w:val="00A02510"/>
    <w:rsid w:val="00A06637"/>
    <w:rsid w:val="00A16BF2"/>
    <w:rsid w:val="00A438C5"/>
    <w:rsid w:val="00A44870"/>
    <w:rsid w:val="00A478FC"/>
    <w:rsid w:val="00AB6DA4"/>
    <w:rsid w:val="00AC7704"/>
    <w:rsid w:val="00AD591D"/>
    <w:rsid w:val="00AE3E2F"/>
    <w:rsid w:val="00AF548B"/>
    <w:rsid w:val="00B33AE4"/>
    <w:rsid w:val="00BA26A2"/>
    <w:rsid w:val="00BA2C36"/>
    <w:rsid w:val="00BD0534"/>
    <w:rsid w:val="00BF34C6"/>
    <w:rsid w:val="00BF7B04"/>
    <w:rsid w:val="00C07B47"/>
    <w:rsid w:val="00C110CB"/>
    <w:rsid w:val="00C34232"/>
    <w:rsid w:val="00C62FFE"/>
    <w:rsid w:val="00C67158"/>
    <w:rsid w:val="00C83C60"/>
    <w:rsid w:val="00C9482F"/>
    <w:rsid w:val="00CA7CC5"/>
    <w:rsid w:val="00CB7BC6"/>
    <w:rsid w:val="00CC1E71"/>
    <w:rsid w:val="00CC2A6C"/>
    <w:rsid w:val="00CC3CC3"/>
    <w:rsid w:val="00CC7CA5"/>
    <w:rsid w:val="00D05D2F"/>
    <w:rsid w:val="00D31CF4"/>
    <w:rsid w:val="00D3250D"/>
    <w:rsid w:val="00D37429"/>
    <w:rsid w:val="00D65999"/>
    <w:rsid w:val="00D74212"/>
    <w:rsid w:val="00D74A84"/>
    <w:rsid w:val="00D92355"/>
    <w:rsid w:val="00D97A87"/>
    <w:rsid w:val="00DB0758"/>
    <w:rsid w:val="00DD6829"/>
    <w:rsid w:val="00DE7298"/>
    <w:rsid w:val="00E55228"/>
    <w:rsid w:val="00E6424F"/>
    <w:rsid w:val="00E71064"/>
    <w:rsid w:val="00E72F38"/>
    <w:rsid w:val="00E864AA"/>
    <w:rsid w:val="00E91F55"/>
    <w:rsid w:val="00EA5DFD"/>
    <w:rsid w:val="00EB331A"/>
    <w:rsid w:val="00EC2F8C"/>
    <w:rsid w:val="00ED477A"/>
    <w:rsid w:val="00EE2DEF"/>
    <w:rsid w:val="00EF156E"/>
    <w:rsid w:val="00F10FB8"/>
    <w:rsid w:val="00F216E0"/>
    <w:rsid w:val="00F349C6"/>
    <w:rsid w:val="00F509C9"/>
    <w:rsid w:val="00F52D02"/>
    <w:rsid w:val="00F542E5"/>
    <w:rsid w:val="00F55B5B"/>
    <w:rsid w:val="00F77D62"/>
    <w:rsid w:val="00F904D7"/>
    <w:rsid w:val="00F96AC7"/>
    <w:rsid w:val="00F97B05"/>
    <w:rsid w:val="00FA5C74"/>
    <w:rsid w:val="00FD04C9"/>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A4D8-A61E-41EF-BCF9-F140EF92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Fox, Yolanda</cp:lastModifiedBy>
  <cp:revision>2</cp:revision>
  <cp:lastPrinted>2019-04-30T19:09:00Z</cp:lastPrinted>
  <dcterms:created xsi:type="dcterms:W3CDTF">2019-05-01T20:59:00Z</dcterms:created>
  <dcterms:modified xsi:type="dcterms:W3CDTF">2019-05-01T20:59:00Z</dcterms:modified>
</cp:coreProperties>
</file>