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3DA6" w14:textId="77777777" w:rsidR="00DC38DE" w:rsidRDefault="00AC2190" w:rsidP="002E545E">
      <w:pPr>
        <w:pStyle w:val="AttorneyName"/>
        <w:spacing w:line="240" w:lineRule="auto"/>
        <w:rPr>
          <w:b/>
        </w:rPr>
      </w:pPr>
      <w:bookmarkStart w:id="0" w:name="_GoBack"/>
      <w:bookmarkEnd w:id="0"/>
      <w:r>
        <w:rPr>
          <w:b/>
        </w:rPr>
        <w:t>ARIZONA CAPITAL REPRESENTATION PROJECT</w:t>
      </w:r>
    </w:p>
    <w:p w14:paraId="6A52E70A" w14:textId="455275E1" w:rsidR="00AC2190" w:rsidRDefault="00107DC5" w:rsidP="002E545E">
      <w:pPr>
        <w:pStyle w:val="AttorneyName"/>
        <w:spacing w:line="240" w:lineRule="auto"/>
        <w:rPr>
          <w:b/>
        </w:rPr>
      </w:pPr>
      <w:r>
        <w:rPr>
          <w:b/>
        </w:rPr>
        <w:t>25 South Grande Avenue</w:t>
      </w:r>
    </w:p>
    <w:p w14:paraId="09764D64" w14:textId="07811222" w:rsidR="00AC2190" w:rsidRDefault="00AC2190" w:rsidP="002E545E">
      <w:pPr>
        <w:pStyle w:val="AttorneyName"/>
        <w:spacing w:line="240" w:lineRule="auto"/>
        <w:rPr>
          <w:b/>
        </w:rPr>
      </w:pPr>
      <w:r>
        <w:rPr>
          <w:b/>
        </w:rPr>
        <w:t xml:space="preserve">Tucson, AZ </w:t>
      </w:r>
      <w:r w:rsidR="00107DC5">
        <w:rPr>
          <w:b/>
        </w:rPr>
        <w:t>85745</w:t>
      </w:r>
    </w:p>
    <w:p w14:paraId="1A83B83E" w14:textId="77777777" w:rsidR="00AC2190" w:rsidRDefault="00AC2190" w:rsidP="002E545E">
      <w:pPr>
        <w:pStyle w:val="AttorneyName"/>
        <w:spacing w:line="240" w:lineRule="auto"/>
        <w:rPr>
          <w:b/>
        </w:rPr>
      </w:pPr>
      <w:r>
        <w:rPr>
          <w:b/>
        </w:rPr>
        <w:t>TEL: (520) 229-8550</w:t>
      </w:r>
    </w:p>
    <w:p w14:paraId="4A3FDDDE" w14:textId="55D4E9A0" w:rsidR="00AC2190" w:rsidRDefault="00AC2190" w:rsidP="002E545E">
      <w:pPr>
        <w:pStyle w:val="AttorneyName"/>
        <w:spacing w:line="240" w:lineRule="auto"/>
        <w:rPr>
          <w:b/>
          <w:i/>
        </w:rPr>
      </w:pPr>
      <w:r>
        <w:rPr>
          <w:b/>
          <w:i/>
        </w:rPr>
        <w:t>NATMAN SCHAYE, SB# 007</w:t>
      </w:r>
      <w:r w:rsidR="00696A86">
        <w:rPr>
          <w:b/>
          <w:i/>
        </w:rPr>
        <w:t>0</w:t>
      </w:r>
      <w:r>
        <w:rPr>
          <w:b/>
          <w:i/>
        </w:rPr>
        <w:t>95</w:t>
      </w:r>
    </w:p>
    <w:p w14:paraId="0F2F6219" w14:textId="77777777" w:rsidR="00AC2190" w:rsidRDefault="00603D28" w:rsidP="002E545E">
      <w:pPr>
        <w:pStyle w:val="AttorneyName"/>
        <w:spacing w:line="240" w:lineRule="auto"/>
      </w:pPr>
      <w:hyperlink r:id="rId8" w:history="1">
        <w:r w:rsidR="00AC2190" w:rsidRPr="00420CA1">
          <w:rPr>
            <w:rStyle w:val="Hyperlink"/>
            <w:b/>
            <w:i/>
          </w:rPr>
          <w:t>natman@azcapitalproject.org</w:t>
        </w:r>
      </w:hyperlink>
    </w:p>
    <w:p w14:paraId="27D30165" w14:textId="77777777" w:rsidR="00AC2190" w:rsidRDefault="00AC2190" w:rsidP="002E545E">
      <w:pPr>
        <w:pStyle w:val="AttorneyName"/>
        <w:spacing w:line="240" w:lineRule="auto"/>
      </w:pPr>
    </w:p>
    <w:p w14:paraId="39859C96" w14:textId="77777777" w:rsidR="00696A86" w:rsidRPr="00F252E5" w:rsidRDefault="00A204A8" w:rsidP="002E545E">
      <w:pPr>
        <w:pStyle w:val="AttorneyName"/>
        <w:spacing w:line="240" w:lineRule="auto"/>
        <w:rPr>
          <w:b/>
        </w:rPr>
      </w:pPr>
      <w:r w:rsidRPr="00F252E5">
        <w:rPr>
          <w:b/>
        </w:rPr>
        <w:t>MARICOPA COUNTY PUBLIC DEFENDER</w:t>
      </w:r>
    </w:p>
    <w:p w14:paraId="2A7900E5" w14:textId="5AC7AEB1" w:rsidR="00DF0282" w:rsidRPr="00F252E5" w:rsidRDefault="00DF0282" w:rsidP="002E545E">
      <w:pPr>
        <w:pStyle w:val="AttorneyName"/>
        <w:spacing w:line="240" w:lineRule="auto"/>
        <w:rPr>
          <w:b/>
        </w:rPr>
      </w:pPr>
      <w:r w:rsidRPr="00F252E5">
        <w:rPr>
          <w:b/>
        </w:rPr>
        <w:t>620 W. Jackson, Suite 4015</w:t>
      </w:r>
    </w:p>
    <w:p w14:paraId="24E4F982" w14:textId="641395BC" w:rsidR="00DF0282" w:rsidRPr="00F252E5" w:rsidRDefault="00DF0282" w:rsidP="002E545E">
      <w:pPr>
        <w:pStyle w:val="AttorneyName"/>
        <w:spacing w:line="240" w:lineRule="auto"/>
        <w:rPr>
          <w:b/>
        </w:rPr>
      </w:pPr>
      <w:r w:rsidRPr="00F252E5">
        <w:rPr>
          <w:b/>
        </w:rPr>
        <w:t>Phoenix, AZ 85003</w:t>
      </w:r>
    </w:p>
    <w:p w14:paraId="0BCC8E14" w14:textId="73FA1C26" w:rsidR="00DF0282" w:rsidRPr="00F252E5" w:rsidRDefault="00DF0282" w:rsidP="002E545E">
      <w:pPr>
        <w:pStyle w:val="AttorneyName"/>
        <w:spacing w:line="240" w:lineRule="auto"/>
        <w:rPr>
          <w:b/>
          <w:i/>
        </w:rPr>
      </w:pPr>
      <w:r w:rsidRPr="00F252E5">
        <w:rPr>
          <w:b/>
          <w:i/>
        </w:rPr>
        <w:t>JOHN CANBY, SB#010574</w:t>
      </w:r>
    </w:p>
    <w:p w14:paraId="5D16C38E" w14:textId="7B42BF6A" w:rsidR="00DF0282" w:rsidRPr="00C823D6" w:rsidRDefault="00603D28" w:rsidP="002E545E">
      <w:pPr>
        <w:pStyle w:val="AttorneyName"/>
        <w:spacing w:line="240" w:lineRule="auto"/>
        <w:rPr>
          <w:b/>
          <w:i/>
          <w:color w:val="0033CC"/>
        </w:rPr>
      </w:pPr>
      <w:hyperlink r:id="rId9" w:history="1">
        <w:r w:rsidR="00DF0282" w:rsidRPr="00C823D6">
          <w:rPr>
            <w:rStyle w:val="Hyperlink"/>
            <w:b/>
            <w:i/>
            <w:color w:val="0033CC"/>
          </w:rPr>
          <w:t>john.canby@mail.maricopa.gov</w:t>
        </w:r>
      </w:hyperlink>
    </w:p>
    <w:p w14:paraId="64E94EE4" w14:textId="7DA14A36" w:rsidR="00107DC5" w:rsidRPr="00FF5E32" w:rsidRDefault="00107DC5" w:rsidP="002E545E">
      <w:pPr>
        <w:pStyle w:val="AttorneyName"/>
        <w:spacing w:line="240" w:lineRule="auto"/>
        <w:rPr>
          <w:color w:val="FF0000"/>
        </w:rPr>
      </w:pPr>
    </w:p>
    <w:p w14:paraId="2DB36433" w14:textId="77777777" w:rsidR="00A204A8" w:rsidRPr="00F72E82" w:rsidRDefault="00A204A8" w:rsidP="00A204A8">
      <w:pPr>
        <w:pStyle w:val="AttorneyName"/>
        <w:spacing w:line="240" w:lineRule="auto"/>
        <w:rPr>
          <w:b/>
        </w:rPr>
      </w:pPr>
      <w:r w:rsidRPr="00F72E82">
        <w:rPr>
          <w:b/>
        </w:rPr>
        <w:t>ARIZONA ATTORNEYS FOR CRIMINAL JUSTICE</w:t>
      </w:r>
    </w:p>
    <w:p w14:paraId="5617C2DB" w14:textId="77777777" w:rsidR="00A204A8" w:rsidRPr="00132861" w:rsidRDefault="00A204A8" w:rsidP="00A204A8">
      <w:pPr>
        <w:pStyle w:val="AttorneyName"/>
        <w:spacing w:line="240" w:lineRule="auto"/>
        <w:rPr>
          <w:b/>
        </w:rPr>
      </w:pPr>
      <w:r w:rsidRPr="00132861">
        <w:rPr>
          <w:b/>
        </w:rPr>
        <w:t>PO Box 41213</w:t>
      </w:r>
    </w:p>
    <w:p w14:paraId="689B2C97" w14:textId="77777777" w:rsidR="00A204A8" w:rsidRPr="00F72E82" w:rsidRDefault="00A204A8" w:rsidP="00A204A8">
      <w:pPr>
        <w:pStyle w:val="AttorneyName"/>
        <w:spacing w:line="240" w:lineRule="auto"/>
        <w:rPr>
          <w:b/>
        </w:rPr>
      </w:pPr>
      <w:r w:rsidRPr="00132861">
        <w:rPr>
          <w:b/>
        </w:rPr>
        <w:t>Phoenix, AZ 85080-1213</w:t>
      </w:r>
    </w:p>
    <w:p w14:paraId="240A7F50" w14:textId="77777777" w:rsidR="00A204A8" w:rsidRPr="00F72E82" w:rsidRDefault="00A204A8" w:rsidP="00A204A8">
      <w:pPr>
        <w:pStyle w:val="AttorneyName"/>
        <w:spacing w:line="240" w:lineRule="auto"/>
        <w:rPr>
          <w:b/>
        </w:rPr>
      </w:pPr>
      <w:r w:rsidRPr="00F72E82">
        <w:rPr>
          <w:b/>
        </w:rPr>
        <w:t>TEL: (480) 812-1700</w:t>
      </w:r>
    </w:p>
    <w:p w14:paraId="41C2ED77" w14:textId="77777777" w:rsidR="00A204A8" w:rsidRDefault="00A204A8" w:rsidP="00A204A8">
      <w:pPr>
        <w:pStyle w:val="AttorneyName"/>
        <w:spacing w:line="240" w:lineRule="auto"/>
        <w:rPr>
          <w:b/>
          <w:i/>
        </w:rPr>
      </w:pPr>
      <w:r>
        <w:rPr>
          <w:b/>
          <w:i/>
        </w:rPr>
        <w:t>DAVID J. EUCHNER, SB#021768</w:t>
      </w:r>
    </w:p>
    <w:p w14:paraId="6E1CBA0E" w14:textId="77777777" w:rsidR="00A204A8" w:rsidRPr="007C0BB7" w:rsidRDefault="00603D28" w:rsidP="00A204A8">
      <w:pPr>
        <w:pStyle w:val="AttorneyName"/>
        <w:spacing w:line="240" w:lineRule="auto"/>
        <w:rPr>
          <w:b/>
          <w:i/>
        </w:rPr>
      </w:pPr>
      <w:hyperlink r:id="rId10" w:history="1">
        <w:r w:rsidR="00A204A8" w:rsidRPr="007C0BB7">
          <w:rPr>
            <w:rStyle w:val="Hyperlink"/>
            <w:b/>
            <w:i/>
          </w:rPr>
          <w:t>David.Euchner@pima.gov</w:t>
        </w:r>
      </w:hyperlink>
      <w:r w:rsidR="00A204A8" w:rsidRPr="007C0BB7">
        <w:rPr>
          <w:b/>
          <w:i/>
        </w:rPr>
        <w:t xml:space="preserve"> </w:t>
      </w:r>
    </w:p>
    <w:p w14:paraId="5F1AA465" w14:textId="77777777" w:rsidR="00A204A8" w:rsidRPr="0014499B" w:rsidRDefault="00A204A8" w:rsidP="00A204A8">
      <w:pPr>
        <w:pStyle w:val="AttorneyName"/>
        <w:spacing w:line="240" w:lineRule="auto"/>
        <w:rPr>
          <w:b/>
          <w:i/>
        </w:rPr>
      </w:pPr>
    </w:p>
    <w:p w14:paraId="65845A71" w14:textId="77777777" w:rsidR="00107DC5" w:rsidRPr="00AC2190" w:rsidRDefault="00107DC5" w:rsidP="002E545E">
      <w:pPr>
        <w:pStyle w:val="AttorneyName"/>
        <w:spacing w:line="240" w:lineRule="auto"/>
      </w:pPr>
    </w:p>
    <w:p w14:paraId="218E842F" w14:textId="77777777" w:rsidR="00DC38DE" w:rsidRPr="0014499B" w:rsidRDefault="00DC38DE" w:rsidP="002E545E">
      <w:pPr>
        <w:pStyle w:val="AttorneyName"/>
        <w:spacing w:line="240" w:lineRule="auto"/>
        <w:jc w:val="center"/>
        <w:rPr>
          <w:b/>
        </w:rPr>
      </w:pPr>
      <w:r w:rsidRPr="0014499B">
        <w:rPr>
          <w:b/>
        </w:rPr>
        <w:t>IN THE SUPREME COURT OF THE STATE OF ARIZONA</w:t>
      </w:r>
    </w:p>
    <w:p w14:paraId="7371BE76" w14:textId="77777777" w:rsidR="00DC38DE" w:rsidRPr="0014499B" w:rsidRDefault="00DC38DE" w:rsidP="00DC38DE">
      <w:pPr>
        <w:pStyle w:val="AttorneyName"/>
        <w:jc w:val="center"/>
        <w:rPr>
          <w:b/>
        </w:rPr>
      </w:pPr>
    </w:p>
    <w:p w14:paraId="6DA4A854" w14:textId="77777777" w:rsidR="00DC38DE" w:rsidRPr="0014499B" w:rsidRDefault="00DC38DE" w:rsidP="00DC38DE">
      <w:pPr>
        <w:pStyle w:val="AttorneyName"/>
        <w:rPr>
          <w:b/>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38BDA0C3" w14:textId="77777777" w:rsidTr="00DB2614">
        <w:tc>
          <w:tcPr>
            <w:tcW w:w="4542" w:type="dxa"/>
            <w:tcBorders>
              <w:bottom w:val="single" w:sz="4" w:space="0" w:color="auto"/>
            </w:tcBorders>
            <w:shd w:val="clear" w:color="auto" w:fill="auto"/>
          </w:tcPr>
          <w:p w14:paraId="60DA9B45" w14:textId="77777777" w:rsidR="00DC38DE" w:rsidRPr="0014499B" w:rsidRDefault="00DC38DE" w:rsidP="00DB2614">
            <w:pPr>
              <w:tabs>
                <w:tab w:val="left" w:pos="1500"/>
              </w:tabs>
              <w:spacing w:line="240" w:lineRule="auto"/>
            </w:pPr>
            <w:bookmarkStart w:id="1" w:name="Parties"/>
            <w:bookmarkEnd w:id="1"/>
            <w:r w:rsidRPr="0014499B">
              <w:t>In the Matter of:</w:t>
            </w:r>
          </w:p>
          <w:p w14:paraId="3D83908A" w14:textId="77777777" w:rsidR="00DC38DE" w:rsidRPr="0014499B" w:rsidRDefault="00DC38DE" w:rsidP="00DB2614">
            <w:pPr>
              <w:tabs>
                <w:tab w:val="left" w:pos="1500"/>
              </w:tabs>
              <w:spacing w:line="240" w:lineRule="auto"/>
            </w:pPr>
          </w:p>
          <w:p w14:paraId="7B4CDC3D" w14:textId="77777777" w:rsidR="00DC38DE" w:rsidRPr="0014499B" w:rsidRDefault="00DC38DE" w:rsidP="00DB2614">
            <w:pPr>
              <w:tabs>
                <w:tab w:val="left" w:pos="1500"/>
              </w:tabs>
              <w:spacing w:line="240" w:lineRule="auto"/>
            </w:pPr>
          </w:p>
          <w:p w14:paraId="6E118838" w14:textId="64A8B136" w:rsidR="00DC38DE" w:rsidRPr="0014499B" w:rsidRDefault="00DC38DE" w:rsidP="00572E4B">
            <w:pPr>
              <w:tabs>
                <w:tab w:val="left" w:pos="1500"/>
              </w:tabs>
              <w:spacing w:line="240" w:lineRule="auto"/>
            </w:pPr>
            <w:r w:rsidRPr="0014499B">
              <w:t xml:space="preserve">Petition to </w:t>
            </w:r>
            <w:r w:rsidR="00572E4B">
              <w:t>Modify</w:t>
            </w:r>
            <w:r w:rsidRPr="0014499B">
              <w:t xml:space="preserve"> </w:t>
            </w:r>
            <w:r w:rsidR="00F4743E">
              <w:t>Rule</w:t>
            </w:r>
            <w:r w:rsidR="00572E4B">
              <w:t>s</w:t>
            </w:r>
            <w:r w:rsidR="00F4743E">
              <w:t xml:space="preserve"> </w:t>
            </w:r>
            <w:r w:rsidR="00572E4B">
              <w:t xml:space="preserve">18.5, </w:t>
            </w:r>
            <w:r w:rsidR="000F4B6A">
              <w:t>2</w:t>
            </w:r>
            <w:r w:rsidR="00572E4B">
              <w:t>2</w:t>
            </w:r>
            <w:r w:rsidR="000F4B6A">
              <w:t>.5</w:t>
            </w:r>
            <w:r w:rsidR="00572E4B">
              <w:t xml:space="preserve"> and 32.1, </w:t>
            </w:r>
            <w:r>
              <w:t xml:space="preserve">Arizona Rules of </w:t>
            </w:r>
            <w:r w:rsidRPr="0014499B">
              <w:t>Criminal Procedure</w:t>
            </w:r>
          </w:p>
        </w:tc>
        <w:tc>
          <w:tcPr>
            <w:tcW w:w="276" w:type="dxa"/>
            <w:shd w:val="clear" w:color="auto" w:fill="auto"/>
          </w:tcPr>
          <w:p w14:paraId="31A3B6E5" w14:textId="77777777" w:rsidR="00DC38DE" w:rsidRPr="0014499B" w:rsidRDefault="00DC38DE" w:rsidP="00DB2614">
            <w:pPr>
              <w:pStyle w:val="SingleSpacing"/>
              <w:spacing w:line="240" w:lineRule="auto"/>
            </w:pPr>
            <w:r w:rsidRPr="0014499B">
              <w:t>)</w:t>
            </w:r>
          </w:p>
          <w:p w14:paraId="70AC2E0E" w14:textId="77777777" w:rsidR="00DC38DE" w:rsidRPr="0014499B" w:rsidRDefault="00DC38DE" w:rsidP="00DB2614">
            <w:pPr>
              <w:pStyle w:val="SingleSpacing"/>
              <w:spacing w:line="240" w:lineRule="auto"/>
            </w:pPr>
            <w:r w:rsidRPr="0014499B">
              <w:t>)</w:t>
            </w:r>
          </w:p>
          <w:p w14:paraId="186FB823" w14:textId="77777777" w:rsidR="00DC38DE" w:rsidRPr="0014499B" w:rsidRDefault="00DC38DE" w:rsidP="00DB2614">
            <w:pPr>
              <w:pStyle w:val="SingleSpacing"/>
              <w:spacing w:line="240" w:lineRule="auto"/>
            </w:pPr>
            <w:r w:rsidRPr="0014499B">
              <w:t>)</w:t>
            </w:r>
          </w:p>
          <w:p w14:paraId="10F7E3AB" w14:textId="77777777" w:rsidR="00DC38DE" w:rsidRPr="0014499B" w:rsidRDefault="00DC38DE" w:rsidP="00DB2614">
            <w:pPr>
              <w:pStyle w:val="SingleSpacing"/>
              <w:spacing w:line="240" w:lineRule="auto"/>
            </w:pPr>
            <w:r w:rsidRPr="0014499B">
              <w:t>)</w:t>
            </w:r>
          </w:p>
          <w:p w14:paraId="10E5DF81" w14:textId="77777777" w:rsidR="00DC38DE" w:rsidRPr="0014499B" w:rsidRDefault="00DC38DE" w:rsidP="00DB2614">
            <w:pPr>
              <w:pStyle w:val="SingleSpacing"/>
              <w:spacing w:line="240" w:lineRule="auto"/>
            </w:pPr>
            <w:r w:rsidRPr="0014499B">
              <w:t>)</w:t>
            </w:r>
          </w:p>
          <w:p w14:paraId="5DBC1D2C" w14:textId="77777777" w:rsidR="00DC38DE" w:rsidRPr="0014499B" w:rsidRDefault="00DC38DE" w:rsidP="00DB2614">
            <w:pPr>
              <w:pStyle w:val="SingleSpacing"/>
              <w:spacing w:line="240" w:lineRule="auto"/>
            </w:pPr>
            <w:r w:rsidRPr="0014499B">
              <w:t>)</w:t>
            </w:r>
          </w:p>
          <w:p w14:paraId="14B7FB80" w14:textId="77777777" w:rsidR="00DC38DE" w:rsidRPr="0014499B" w:rsidRDefault="00DC38DE" w:rsidP="00DB2614">
            <w:pPr>
              <w:pStyle w:val="SingleSpacing"/>
              <w:spacing w:line="240" w:lineRule="auto"/>
            </w:pPr>
            <w:r w:rsidRPr="0014499B">
              <w:t>)</w:t>
            </w:r>
          </w:p>
          <w:p w14:paraId="71382128" w14:textId="77777777" w:rsidR="00DC38DE" w:rsidRPr="0014499B" w:rsidRDefault="00DC38DE" w:rsidP="00DB2614">
            <w:pPr>
              <w:pStyle w:val="SingleSpacing"/>
              <w:spacing w:line="240" w:lineRule="auto"/>
            </w:pPr>
            <w:r w:rsidRPr="0014499B">
              <w:t>)</w:t>
            </w:r>
          </w:p>
          <w:p w14:paraId="115CFC90" w14:textId="77777777" w:rsidR="00DC38DE" w:rsidRPr="0014499B" w:rsidRDefault="00DC38DE" w:rsidP="00DB2614">
            <w:pPr>
              <w:pStyle w:val="SingleSpacing"/>
              <w:spacing w:line="240" w:lineRule="auto"/>
            </w:pPr>
            <w:r w:rsidRPr="0014499B">
              <w:t>)</w:t>
            </w:r>
          </w:p>
          <w:p w14:paraId="6F3955DE" w14:textId="77777777" w:rsidR="00DC38DE" w:rsidRDefault="00DC38DE" w:rsidP="00DB2614">
            <w:pPr>
              <w:pStyle w:val="SingleSpacing"/>
              <w:spacing w:line="240" w:lineRule="auto"/>
            </w:pPr>
            <w:r w:rsidRPr="0014499B">
              <w:t>)</w:t>
            </w:r>
          </w:p>
          <w:p w14:paraId="0E440458" w14:textId="77777777" w:rsidR="00572E4B" w:rsidRDefault="00572E4B" w:rsidP="00DB2614">
            <w:pPr>
              <w:pStyle w:val="SingleSpacing"/>
              <w:spacing w:line="240" w:lineRule="auto"/>
            </w:pPr>
            <w:r>
              <w:t>)</w:t>
            </w:r>
          </w:p>
          <w:p w14:paraId="3751CBB2" w14:textId="62674B01" w:rsidR="00572E4B" w:rsidRPr="0014499B" w:rsidRDefault="00572E4B" w:rsidP="00DB2614">
            <w:pPr>
              <w:pStyle w:val="SingleSpacing"/>
              <w:spacing w:line="240" w:lineRule="auto"/>
            </w:pPr>
            <w:r>
              <w:t>)</w:t>
            </w:r>
          </w:p>
        </w:tc>
        <w:tc>
          <w:tcPr>
            <w:tcW w:w="4542" w:type="dxa"/>
            <w:shd w:val="clear" w:color="auto" w:fill="auto"/>
          </w:tcPr>
          <w:p w14:paraId="58004C05" w14:textId="2FA8EBBC" w:rsidR="00DC38DE" w:rsidRPr="0014499B" w:rsidRDefault="00DC38DE" w:rsidP="00DB2614">
            <w:pPr>
              <w:pStyle w:val="SingleSpacing"/>
              <w:spacing w:line="240" w:lineRule="auto"/>
            </w:pPr>
            <w:bookmarkStart w:id="2" w:name="CaseNumber"/>
            <w:bookmarkEnd w:id="2"/>
            <w:r w:rsidRPr="00342232">
              <w:t>No. R-</w:t>
            </w:r>
            <w:r w:rsidR="00342232" w:rsidRPr="00342232">
              <w:t>1</w:t>
            </w:r>
            <w:r w:rsidR="00107DC5">
              <w:t>9</w:t>
            </w:r>
            <w:r w:rsidR="00342232" w:rsidRPr="00342232">
              <w:t>-0008</w:t>
            </w:r>
          </w:p>
          <w:p w14:paraId="1E714C49" w14:textId="77777777" w:rsidR="00DC38DE" w:rsidRPr="0014499B" w:rsidRDefault="00DC38DE" w:rsidP="00DB2614">
            <w:pPr>
              <w:pStyle w:val="SingleSpacing"/>
              <w:spacing w:line="240" w:lineRule="auto"/>
            </w:pPr>
          </w:p>
          <w:p w14:paraId="7B8858A5" w14:textId="7791955C" w:rsidR="00DC38DE" w:rsidRPr="00F84E06" w:rsidRDefault="00DC38DE" w:rsidP="00A204A8">
            <w:pPr>
              <w:pStyle w:val="SingleSpacing"/>
              <w:spacing w:line="240" w:lineRule="auto"/>
              <w:rPr>
                <w:b/>
                <w:i/>
              </w:rPr>
            </w:pPr>
            <w:r w:rsidRPr="0014499B">
              <w:rPr>
                <w:b/>
              </w:rPr>
              <w:t xml:space="preserve">COMMENT </w:t>
            </w:r>
            <w:r>
              <w:rPr>
                <w:b/>
              </w:rPr>
              <w:t xml:space="preserve">OF </w:t>
            </w:r>
            <w:r w:rsidR="0085755C">
              <w:rPr>
                <w:b/>
              </w:rPr>
              <w:t>ARIZONA CAPITAL REPRESENTATION PROJECT</w:t>
            </w:r>
            <w:r w:rsidR="00107DC5">
              <w:rPr>
                <w:b/>
              </w:rPr>
              <w:t>, MARICOPA COUNTY PUBLIC DEFENDER</w:t>
            </w:r>
            <w:r w:rsidR="00A204A8">
              <w:rPr>
                <w:b/>
              </w:rPr>
              <w:t>, AND ARIZONA ATTORNEYS FOR CRIMINAL JUSTICE</w:t>
            </w:r>
            <w:r w:rsidR="0085755C">
              <w:rPr>
                <w:b/>
              </w:rPr>
              <w:t xml:space="preserve"> </w:t>
            </w:r>
            <w:r>
              <w:rPr>
                <w:b/>
              </w:rPr>
              <w:t>REGARDING</w:t>
            </w:r>
            <w:r w:rsidRPr="0014499B">
              <w:rPr>
                <w:b/>
              </w:rPr>
              <w:t xml:space="preserve"> PETITION TO </w:t>
            </w:r>
            <w:r w:rsidR="009370AD">
              <w:rPr>
                <w:b/>
              </w:rPr>
              <w:t>MODIFY</w:t>
            </w:r>
            <w:r w:rsidRPr="0014499B">
              <w:rPr>
                <w:b/>
              </w:rPr>
              <w:t xml:space="preserve"> </w:t>
            </w:r>
            <w:r w:rsidR="00A204A8">
              <w:rPr>
                <w:b/>
              </w:rPr>
              <w:t>ARIZ. R. CRIM. P.</w:t>
            </w:r>
            <w:r w:rsidR="00A204A8" w:rsidRPr="0014499B">
              <w:rPr>
                <w:b/>
              </w:rPr>
              <w:t xml:space="preserve"> </w:t>
            </w:r>
            <w:r w:rsidR="009370AD">
              <w:rPr>
                <w:b/>
              </w:rPr>
              <w:t>18.5</w:t>
            </w:r>
            <w:r w:rsidRPr="0014499B">
              <w:rPr>
                <w:b/>
              </w:rPr>
              <w:t>,</w:t>
            </w:r>
            <w:r w:rsidR="009370AD">
              <w:rPr>
                <w:b/>
              </w:rPr>
              <w:t xml:space="preserve"> 22.5 AND 32.1</w:t>
            </w:r>
          </w:p>
        </w:tc>
      </w:tr>
    </w:tbl>
    <w:p w14:paraId="5DCD2531" w14:textId="77777777" w:rsidR="00DC38DE" w:rsidRPr="0014499B" w:rsidRDefault="00DC38DE" w:rsidP="007F091F">
      <w:pPr>
        <w:spacing w:line="480" w:lineRule="auto"/>
        <w:jc w:val="both"/>
      </w:pPr>
    </w:p>
    <w:p w14:paraId="4B822F10" w14:textId="7D3CC1EC" w:rsidR="00A204A8" w:rsidRDefault="00DC38DE" w:rsidP="007F091F">
      <w:pPr>
        <w:spacing w:line="480" w:lineRule="auto"/>
        <w:jc w:val="both"/>
      </w:pPr>
      <w:r>
        <w:lastRenderedPageBreak/>
        <w:tab/>
      </w:r>
      <w:r w:rsidRPr="0014499B">
        <w:t xml:space="preserve">Pursuant to Rule 28 of the Arizona Rules of Supreme Court, </w:t>
      </w:r>
      <w:r w:rsidR="000E309A">
        <w:t>the Arizona Capital Representation Project (“ACRP”)</w:t>
      </w:r>
      <w:r w:rsidR="001D7FC4">
        <w:t>, the Maricopa County Public Defender</w:t>
      </w:r>
      <w:r w:rsidR="00A204A8">
        <w:t xml:space="preserve">’s Office (“MCPD”), and </w:t>
      </w:r>
      <w:r w:rsidR="00A204A8" w:rsidRPr="0014499B">
        <w:t>Arizona Attorneys for Criminal Justice (“AACJ”)</w:t>
      </w:r>
      <w:r w:rsidRPr="0014499B">
        <w:t xml:space="preserve"> hereby submit the following comment to the above-referenced petition</w:t>
      </w:r>
      <w:r w:rsidR="0078270D">
        <w:t xml:space="preserve"> </w:t>
      </w:r>
      <w:r w:rsidR="00053F59">
        <w:t xml:space="preserve">to </w:t>
      </w:r>
      <w:r w:rsidR="001D7FC4">
        <w:t>modify</w:t>
      </w:r>
      <w:r w:rsidR="00053F59">
        <w:t xml:space="preserve"> </w:t>
      </w:r>
      <w:r w:rsidR="00A204A8">
        <w:t xml:space="preserve">Ariz. R. Crim. P. </w:t>
      </w:r>
      <w:r w:rsidR="001D7FC4">
        <w:t>18.5, 22.5 and 32.1</w:t>
      </w:r>
      <w:r w:rsidR="006207F9">
        <w:t>submitted  by the Maricopa County Attorney’s Office (“MCAO”)</w:t>
      </w:r>
      <w:r w:rsidRPr="0014499B">
        <w:t xml:space="preserve">. </w:t>
      </w:r>
      <w:r w:rsidR="00132861">
        <w:t xml:space="preserve"> </w:t>
      </w:r>
    </w:p>
    <w:p w14:paraId="2622AA3F" w14:textId="40987562" w:rsidR="00A204A8" w:rsidRDefault="00A204A8" w:rsidP="00696A86">
      <w:pPr>
        <w:pStyle w:val="NormalWeb"/>
        <w:spacing w:before="2" w:line="480" w:lineRule="auto"/>
        <w:jc w:val="both"/>
        <w:rPr>
          <w:rFonts w:ascii="Times New Roman" w:hAnsi="Times New Roman"/>
          <w:color w:val="000000"/>
          <w:sz w:val="28"/>
        </w:rPr>
      </w:pPr>
      <w:r>
        <w:rPr>
          <w:rFonts w:ascii="Times New Roman" w:hAnsi="Times New Roman"/>
          <w:sz w:val="28"/>
        </w:rPr>
        <w:tab/>
        <w:t>ACRP is</w:t>
      </w:r>
      <w:r>
        <w:rPr>
          <w:rFonts w:ascii="Times New Roman" w:hAnsi="Times New Roman"/>
          <w:color w:val="000000"/>
          <w:sz w:val="28"/>
        </w:rPr>
        <w:t xml:space="preserve"> a non-profit</w:t>
      </w:r>
      <w:r w:rsidR="00696A86">
        <w:rPr>
          <w:rFonts w:ascii="Times New Roman" w:hAnsi="Times New Roman"/>
          <w:color w:val="000000"/>
          <w:sz w:val="28"/>
        </w:rPr>
        <w:t xml:space="preserve"> legal</w:t>
      </w:r>
      <w:r>
        <w:rPr>
          <w:rFonts w:ascii="Times New Roman" w:hAnsi="Times New Roman"/>
          <w:color w:val="000000"/>
          <w:sz w:val="28"/>
        </w:rPr>
        <w:t xml:space="preserve"> organization that </w:t>
      </w:r>
      <w:r w:rsidRPr="003C65DC">
        <w:rPr>
          <w:rFonts w:ascii="Times New Roman" w:hAnsi="Times New Roman"/>
          <w:color w:val="000000"/>
          <w:sz w:val="28"/>
        </w:rPr>
        <w:t>represent</w:t>
      </w:r>
      <w:r>
        <w:rPr>
          <w:rFonts w:ascii="Times New Roman" w:hAnsi="Times New Roman"/>
          <w:color w:val="000000"/>
          <w:sz w:val="28"/>
        </w:rPr>
        <w:t>s</w:t>
      </w:r>
      <w:r w:rsidRPr="003C65DC">
        <w:rPr>
          <w:rFonts w:ascii="Times New Roman" w:hAnsi="Times New Roman"/>
          <w:color w:val="000000"/>
          <w:sz w:val="28"/>
        </w:rPr>
        <w:t xml:space="preserve"> capital defendants</w:t>
      </w:r>
      <w:r>
        <w:rPr>
          <w:rFonts w:ascii="Times New Roman" w:hAnsi="Times New Roman"/>
          <w:color w:val="000000"/>
          <w:sz w:val="28"/>
        </w:rPr>
        <w:t xml:space="preserve"> and provides </w:t>
      </w:r>
      <w:r w:rsidR="00696A86">
        <w:rPr>
          <w:rFonts w:ascii="Times New Roman" w:hAnsi="Times New Roman"/>
          <w:color w:val="000000"/>
          <w:sz w:val="28"/>
        </w:rPr>
        <w:t xml:space="preserve">pro bono </w:t>
      </w:r>
      <w:r>
        <w:rPr>
          <w:rFonts w:ascii="Times New Roman" w:hAnsi="Times New Roman"/>
          <w:color w:val="000000"/>
          <w:sz w:val="28"/>
        </w:rPr>
        <w:t>training and consultation to</w:t>
      </w:r>
      <w:r w:rsidRPr="003C65DC">
        <w:rPr>
          <w:rFonts w:ascii="Times New Roman" w:hAnsi="Times New Roman"/>
          <w:color w:val="000000"/>
          <w:sz w:val="28"/>
        </w:rPr>
        <w:t xml:space="preserve"> teams defending capital clients</w:t>
      </w:r>
      <w:r>
        <w:rPr>
          <w:rFonts w:ascii="Times New Roman" w:hAnsi="Times New Roman"/>
          <w:color w:val="000000"/>
          <w:sz w:val="28"/>
        </w:rPr>
        <w:t xml:space="preserve"> throughout the State of Arizona</w:t>
      </w:r>
      <w:r w:rsidRPr="003C65DC">
        <w:rPr>
          <w:rFonts w:ascii="Times New Roman" w:hAnsi="Times New Roman"/>
          <w:color w:val="000000"/>
          <w:sz w:val="28"/>
        </w:rPr>
        <w:t>.</w:t>
      </w:r>
      <w:r>
        <w:rPr>
          <w:rFonts w:ascii="Times New Roman" w:hAnsi="Times New Roman"/>
          <w:color w:val="000000"/>
          <w:sz w:val="28"/>
        </w:rPr>
        <w:t xml:space="preserve">  ACRP</w:t>
      </w:r>
      <w:r w:rsidR="00F252E5">
        <w:rPr>
          <w:rFonts w:ascii="Times New Roman" w:hAnsi="Times New Roman"/>
          <w:color w:val="000000"/>
          <w:sz w:val="28"/>
        </w:rPr>
        <w:t xml:space="preserve"> tracks and monitors all capital cases at all stages state-wide. Its</w:t>
      </w:r>
      <w:r>
        <w:rPr>
          <w:rFonts w:ascii="Times New Roman" w:hAnsi="Times New Roman"/>
          <w:color w:val="000000"/>
          <w:sz w:val="28"/>
        </w:rPr>
        <w:t xml:space="preserve"> mission is to improve the quality of representation afforded to capital defendants in Arizona.</w:t>
      </w:r>
    </w:p>
    <w:p w14:paraId="1AE9FA5F" w14:textId="74CBDE97" w:rsidR="00A204A8" w:rsidRPr="00F760DD" w:rsidRDefault="00A204A8" w:rsidP="00696A86">
      <w:pPr>
        <w:pStyle w:val="NormalWeb"/>
        <w:spacing w:before="2" w:line="480" w:lineRule="auto"/>
        <w:jc w:val="both"/>
      </w:pPr>
      <w:r>
        <w:rPr>
          <w:rFonts w:ascii="Times New Roman" w:hAnsi="Times New Roman"/>
          <w:color w:val="000000"/>
          <w:sz w:val="28"/>
        </w:rPr>
        <w:tab/>
        <w:t>MCPD</w:t>
      </w:r>
      <w:r w:rsidRPr="00DF0282">
        <w:rPr>
          <w:color w:val="000000"/>
        </w:rPr>
        <w:t xml:space="preserve"> </w:t>
      </w:r>
      <w:r w:rsidRPr="00FF5E32">
        <w:rPr>
          <w:color w:val="000000"/>
          <w:sz w:val="28"/>
        </w:rPr>
        <w:t xml:space="preserve">is the largest indigent </w:t>
      </w:r>
      <w:proofErr w:type="spellStart"/>
      <w:r w:rsidRPr="00FF5E32">
        <w:rPr>
          <w:color w:val="000000"/>
          <w:sz w:val="28"/>
        </w:rPr>
        <w:t>defense</w:t>
      </w:r>
      <w:proofErr w:type="spellEnd"/>
      <w:r w:rsidRPr="00FF5E32">
        <w:rPr>
          <w:color w:val="000000"/>
          <w:sz w:val="28"/>
        </w:rPr>
        <w:t xml:space="preserve"> law firm in the State of Arizona and handles a majority of all felonies, and is the presumptive agency of assignment for all designated or anticipated death penalty cases in Maricopa County.</w:t>
      </w:r>
      <w:r w:rsidRPr="00DF0282">
        <w:rPr>
          <w:color w:val="000000"/>
        </w:rPr>
        <w:tab/>
      </w:r>
    </w:p>
    <w:p w14:paraId="2218A62A" w14:textId="2BF71D71" w:rsidR="00DC38DE" w:rsidRDefault="00A204A8" w:rsidP="007F091F">
      <w:pPr>
        <w:spacing w:line="480" w:lineRule="auto"/>
        <w:jc w:val="both"/>
      </w:pPr>
      <w:r>
        <w:tab/>
      </w:r>
      <w:r w:rsidR="00132861" w:rsidRPr="00132861">
        <w:t>AACJ</w:t>
      </w:r>
      <w:r>
        <w:t xml:space="preserve">, </w:t>
      </w:r>
      <w:r w:rsidRPr="00343162">
        <w:t>the Arizona state affiliate of the National Association of Criminal Defense Lawyers, was founded in 1986 in order to give a voice to the rights of the criminally accused and to those attorneys who defend the accused.</w:t>
      </w:r>
      <w:r w:rsidR="00B22094">
        <w:t xml:space="preserve"> </w:t>
      </w:r>
      <w:r w:rsidRPr="00343162">
        <w:t xml:space="preserve"> AACJ is a statewide not-for-profit membership organization of criminal defense lawyers, law students, and associated professionals dedicated to protecting the rights of the accused in the courts and in the legislature, promoting excellence in the practice of </w:t>
      </w:r>
      <w:r w:rsidRPr="00343162">
        <w:lastRenderedPageBreak/>
        <w:t>criminal law through education, training and mutual assistance, and fostering public awareness of citizens’ rights, the criminal justice system, and the role of the defense lawyer.</w:t>
      </w:r>
    </w:p>
    <w:p w14:paraId="17E74256" w14:textId="0ED9CCB4" w:rsidR="00342232" w:rsidRPr="00F760DD" w:rsidRDefault="00DC38DE" w:rsidP="00696A86">
      <w:pPr>
        <w:pStyle w:val="NormalWeb"/>
        <w:spacing w:before="2" w:line="480" w:lineRule="auto"/>
        <w:jc w:val="both"/>
      </w:pPr>
      <w:r w:rsidRPr="00FF5E32">
        <w:rPr>
          <w:sz w:val="28"/>
        </w:rPr>
        <w:tab/>
      </w:r>
      <w:r w:rsidR="001D7FC4" w:rsidRPr="00FF5E32">
        <w:rPr>
          <w:sz w:val="28"/>
        </w:rPr>
        <w:t xml:space="preserve">The proposed amendments would substantially and unnecessarily interfere with post-conviction litigants’ ability to investigate and </w:t>
      </w:r>
      <w:r w:rsidR="0093721A" w:rsidRPr="00FF5E32">
        <w:rPr>
          <w:sz w:val="28"/>
        </w:rPr>
        <w:t>reveal</w:t>
      </w:r>
      <w:r w:rsidR="001D7FC4" w:rsidRPr="00FF5E32">
        <w:rPr>
          <w:sz w:val="28"/>
        </w:rPr>
        <w:t xml:space="preserve"> </w:t>
      </w:r>
      <w:r w:rsidR="0093721A" w:rsidRPr="00FF5E32">
        <w:rPr>
          <w:sz w:val="28"/>
        </w:rPr>
        <w:t xml:space="preserve">prosecutorial misconduct and </w:t>
      </w:r>
      <w:r w:rsidR="001D7FC4" w:rsidRPr="00FF5E32">
        <w:rPr>
          <w:sz w:val="28"/>
        </w:rPr>
        <w:t xml:space="preserve">constitutional violations.  The proposed </w:t>
      </w:r>
      <w:r w:rsidR="00104C2D" w:rsidRPr="00FF5E32">
        <w:rPr>
          <w:sz w:val="28"/>
        </w:rPr>
        <w:t>modifications</w:t>
      </w:r>
      <w:r w:rsidR="001D7FC4" w:rsidRPr="00FF5E32">
        <w:rPr>
          <w:sz w:val="28"/>
        </w:rPr>
        <w:t xml:space="preserve"> are </w:t>
      </w:r>
      <w:r w:rsidR="0093721A" w:rsidRPr="00FF5E32">
        <w:rPr>
          <w:sz w:val="28"/>
        </w:rPr>
        <w:t>inconsistent with precedent and contrary to the expansion of inquiries into juror misconduct.  Similar proposals were rejected by this Court in 2014 and by the Arizona Legislature earlier this year.  The interests of justice require that they again be rejected.</w:t>
      </w:r>
    </w:p>
    <w:p w14:paraId="1DE89CEF" w14:textId="69CFB740" w:rsidR="006E7C92" w:rsidRDefault="00587EF9" w:rsidP="006E7C92">
      <w:pPr>
        <w:pStyle w:val="ListParagraph"/>
        <w:numPr>
          <w:ilvl w:val="0"/>
          <w:numId w:val="3"/>
        </w:numPr>
        <w:spacing w:line="240" w:lineRule="auto"/>
        <w:jc w:val="both"/>
        <w:rPr>
          <w:b/>
          <w:u w:val="single"/>
        </w:rPr>
      </w:pPr>
      <w:r>
        <w:rPr>
          <w:b/>
          <w:u w:val="single"/>
        </w:rPr>
        <w:t>The proposed modifications</w:t>
      </w:r>
      <w:r w:rsidR="004A124E" w:rsidRPr="006E7C92">
        <w:rPr>
          <w:b/>
          <w:u w:val="single"/>
        </w:rPr>
        <w:t xml:space="preserve"> would impede defense attorneys’ ability to </w:t>
      </w:r>
      <w:r w:rsidR="005A78B5">
        <w:rPr>
          <w:b/>
          <w:u w:val="single"/>
        </w:rPr>
        <w:t xml:space="preserve">thoroughly and </w:t>
      </w:r>
      <w:r w:rsidR="004A124E" w:rsidRPr="006E7C92">
        <w:rPr>
          <w:b/>
          <w:u w:val="single"/>
        </w:rPr>
        <w:t>competently</w:t>
      </w:r>
      <w:r w:rsidR="006E7C92" w:rsidRPr="006E7C92">
        <w:rPr>
          <w:b/>
          <w:u w:val="single"/>
        </w:rPr>
        <w:t xml:space="preserve"> represent their clients.</w:t>
      </w:r>
    </w:p>
    <w:p w14:paraId="7FD93F6F" w14:textId="77777777" w:rsidR="006E7C92" w:rsidRPr="006E7C92" w:rsidRDefault="006E7C92" w:rsidP="006E7C92">
      <w:pPr>
        <w:pStyle w:val="ListParagraph"/>
        <w:spacing w:line="240" w:lineRule="auto"/>
        <w:jc w:val="both"/>
        <w:rPr>
          <w:b/>
          <w:u w:val="single"/>
        </w:rPr>
      </w:pPr>
    </w:p>
    <w:p w14:paraId="4C637185" w14:textId="066BEAED" w:rsidR="005123E4" w:rsidRDefault="00342232" w:rsidP="00000252">
      <w:pPr>
        <w:spacing w:line="480" w:lineRule="auto"/>
        <w:jc w:val="both"/>
      </w:pPr>
      <w:r>
        <w:tab/>
      </w:r>
      <w:r w:rsidR="0059629B">
        <w:t>Proposed Rule 2</w:t>
      </w:r>
      <w:r w:rsidR="00B22094">
        <w:t>2</w:t>
      </w:r>
      <w:r w:rsidR="0059629B">
        <w:t xml:space="preserve">.5 </w:t>
      </w:r>
      <w:r>
        <w:t>would impede defense attorneys’</w:t>
      </w:r>
      <w:r w:rsidR="00000252" w:rsidRPr="00000252">
        <w:t xml:space="preserve"> ability to </w:t>
      </w:r>
      <w:r>
        <w:t>competently</w:t>
      </w:r>
      <w:r w:rsidR="00000252" w:rsidRPr="00000252">
        <w:t xml:space="preserve"> represent their clients </w:t>
      </w:r>
      <w:r w:rsidR="004570ED">
        <w:t xml:space="preserve">by </w:t>
      </w:r>
      <w:r w:rsidR="00520D53">
        <w:t>interfering with counsel’s ability to</w:t>
      </w:r>
      <w:r w:rsidR="004570ED">
        <w:t xml:space="preserve"> </w:t>
      </w:r>
      <w:r>
        <w:t>investigate potential</w:t>
      </w:r>
      <w:r w:rsidR="00000252" w:rsidRPr="00000252">
        <w:t xml:space="preserve"> claims</w:t>
      </w:r>
      <w:r>
        <w:t xml:space="preserve"> for </w:t>
      </w:r>
      <w:r w:rsidR="00E84B24">
        <w:t xml:space="preserve">new trial and </w:t>
      </w:r>
      <w:r>
        <w:t>post-conviction relief</w:t>
      </w:r>
      <w:r w:rsidR="007F78B2">
        <w:t xml:space="preserve">.  To provide competent representation, counsel must investigate his or her client’s constitutional claims.  </w:t>
      </w:r>
      <w:r w:rsidR="007F78B2" w:rsidRPr="007F78B2">
        <w:rPr>
          <w:i/>
        </w:rPr>
        <w:t>See</w:t>
      </w:r>
      <w:r w:rsidR="00E65244">
        <w:rPr>
          <w:i/>
        </w:rPr>
        <w:t>,</w:t>
      </w:r>
      <w:r w:rsidR="007F78B2">
        <w:rPr>
          <w:i/>
        </w:rPr>
        <w:t xml:space="preserve"> e.g.</w:t>
      </w:r>
      <w:r w:rsidR="007F78B2">
        <w:t xml:space="preserve">, </w:t>
      </w:r>
      <w:r w:rsidR="002F587D" w:rsidRPr="007D65F4">
        <w:rPr>
          <w:i/>
        </w:rPr>
        <w:t xml:space="preserve">McCleskey v. </w:t>
      </w:r>
      <w:proofErr w:type="spellStart"/>
      <w:r w:rsidR="002F587D" w:rsidRPr="007D65F4">
        <w:rPr>
          <w:i/>
        </w:rPr>
        <w:t>Zant</w:t>
      </w:r>
      <w:proofErr w:type="spellEnd"/>
      <w:r w:rsidR="002F587D" w:rsidRPr="002F587D">
        <w:t>, 499 U.S. 467, 498 (1991)</w:t>
      </w:r>
      <w:r w:rsidR="00746FCD">
        <w:t xml:space="preserve"> </w:t>
      </w:r>
      <w:r w:rsidR="002F587D" w:rsidRPr="002F587D">
        <w:t>(“</w:t>
      </w:r>
      <w:r w:rsidR="00746FCD">
        <w:t>[P]</w:t>
      </w:r>
      <w:proofErr w:type="spellStart"/>
      <w:r w:rsidR="002F587D" w:rsidRPr="002F587D">
        <w:t>etitioner</w:t>
      </w:r>
      <w:proofErr w:type="spellEnd"/>
      <w:r w:rsidR="002F587D" w:rsidRPr="002F587D">
        <w:t xml:space="preserve"> must conduct a reasonable and diligent investigation aimed at including all relevant claims and grounds for relief in the first federal habeas petition</w:t>
      </w:r>
      <w:r w:rsidR="00746FCD">
        <w:t>.</w:t>
      </w:r>
      <w:r w:rsidR="002F587D" w:rsidRPr="002F587D">
        <w:t>”);</w:t>
      </w:r>
      <w:r w:rsidR="000E309A">
        <w:t xml:space="preserve"> </w:t>
      </w:r>
      <w:r w:rsidR="000E309A" w:rsidRPr="000E309A">
        <w:t>ABA Criminal Justice Standards, Defense Function (3</w:t>
      </w:r>
      <w:r w:rsidR="00AD0B3D">
        <w:t>d</w:t>
      </w:r>
      <w:r w:rsidR="000E309A" w:rsidRPr="000E309A">
        <w:t xml:space="preserve"> ed.), Standard 4-4.1 (defense counsel has a duty to “conduct a prompt investigation of the circumstances of the case and explore </w:t>
      </w:r>
      <w:r w:rsidR="000E309A" w:rsidRPr="000E309A">
        <w:lastRenderedPageBreak/>
        <w:t xml:space="preserve">all  avenues leading to facts relevant to the merits”); Standard 4-8.5, </w:t>
      </w:r>
      <w:r w:rsidR="00DE6EF2" w:rsidRPr="00DE6EF2">
        <w:rPr>
          <w:iCs/>
        </w:rPr>
        <w:t>Commentary</w:t>
      </w:r>
      <w:r w:rsidR="000E309A" w:rsidRPr="000E309A">
        <w:t xml:space="preserve"> (“Since a postconviction proceeding is fundamentally an original judicial proceeding, involving problems of investigation, preparation, and trial, the Standards governing lawyers in these tasks are essentially the same as those outlined in these Standards for the defense of a criminal case.”)</w:t>
      </w:r>
      <w:r w:rsidR="000E309A">
        <w:t>;</w:t>
      </w:r>
      <w:r w:rsidR="00F869AF">
        <w:t xml:space="preserve"> </w:t>
      </w:r>
      <w:r w:rsidR="002F587D" w:rsidRPr="002F587D">
        <w:t xml:space="preserve">ABA </w:t>
      </w:r>
      <w:r w:rsidR="003F366C">
        <w:t>Guidelines for the Appointment and Performance of Defense Counsel in Death Penalty Cases,</w:t>
      </w:r>
      <w:r w:rsidR="008B3751" w:rsidRPr="002F587D">
        <w:t xml:space="preserve"> </w:t>
      </w:r>
      <w:r w:rsidR="002F587D" w:rsidRPr="002F587D">
        <w:t>Guideline 10.15.1 and Commentary (2003)</w:t>
      </w:r>
      <w:r w:rsidR="00746FCD">
        <w:t xml:space="preserve"> </w:t>
      </w:r>
      <w:r w:rsidR="002F587D" w:rsidRPr="002F587D">
        <w:t>(“Post-conviction counsel should seek to litigate all issue</w:t>
      </w:r>
      <w:r w:rsidR="007D65F4">
        <w:t>s</w:t>
      </w:r>
      <w:r w:rsidR="007F78B2">
        <w:t xml:space="preserve"> . . . that are arguably meritorious . . . [and] </w:t>
      </w:r>
      <w:r w:rsidR="002F587D" w:rsidRPr="002F587D">
        <w:t>preserve them for subsequent review.”)</w:t>
      </w:r>
      <w:r w:rsidR="0004305F">
        <w:t xml:space="preserve">; ABA Guideline 10.7(A) (attorneys at each stage are obliged </w:t>
      </w:r>
      <w:r w:rsidR="0004305F" w:rsidRPr="005123E4">
        <w:t>“to conduct thorough and independent investigations relating to the issues of both guilt and penalty</w:t>
      </w:r>
      <w:r w:rsidR="0004305F">
        <w:t>”)</w:t>
      </w:r>
      <w:r w:rsidR="002F587D" w:rsidRPr="002F587D">
        <w:t xml:space="preserve">. </w:t>
      </w:r>
      <w:r w:rsidR="007D65F4">
        <w:t xml:space="preserve"> </w:t>
      </w:r>
      <w:r w:rsidR="002F587D" w:rsidRPr="002F587D">
        <w:t xml:space="preserve">The ABA Guidelines </w:t>
      </w:r>
      <w:r w:rsidR="007D65F4">
        <w:t xml:space="preserve">further </w:t>
      </w:r>
      <w:r w:rsidR="002F587D" w:rsidRPr="002F587D">
        <w:t>impose a professional obligation to contact jurors in post</w:t>
      </w:r>
      <w:r w:rsidR="007F78B2">
        <w:t>-</w:t>
      </w:r>
      <w:r w:rsidR="002F587D" w:rsidRPr="002F587D">
        <w:t xml:space="preserve">conviction proceedings. </w:t>
      </w:r>
      <w:r w:rsidR="007D65F4">
        <w:t xml:space="preserve"> </w:t>
      </w:r>
      <w:r w:rsidR="007D65F4">
        <w:rPr>
          <w:i/>
        </w:rPr>
        <w:t>See, e.g.</w:t>
      </w:r>
      <w:r w:rsidR="007D65F4">
        <w:t xml:space="preserve">, </w:t>
      </w:r>
      <w:r w:rsidR="002F587D" w:rsidRPr="002F587D">
        <w:t>Guideline 10.15.1(E)(4)</w:t>
      </w:r>
      <w:r w:rsidR="00E65244">
        <w:t xml:space="preserve"> </w:t>
      </w:r>
      <w:r w:rsidR="002F587D" w:rsidRPr="002F587D">
        <w:t>(“Post-conviction counsel should</w:t>
      </w:r>
      <w:r w:rsidR="00E65244">
        <w:t xml:space="preserve"> </w:t>
      </w:r>
      <w:r w:rsidR="002F587D" w:rsidRPr="002F587D">
        <w:t>…</w:t>
      </w:r>
      <w:r w:rsidR="00E65244">
        <w:t xml:space="preserve"> </w:t>
      </w:r>
      <w:r w:rsidR="002F587D" w:rsidRPr="002F587D">
        <w:t>continue an aggressive investigation of all aspects of the case</w:t>
      </w:r>
      <w:r w:rsidR="00E65244">
        <w:t>.</w:t>
      </w:r>
      <w:r w:rsidR="002F587D" w:rsidRPr="002F587D">
        <w:t>”); 10.10.2, Commentary n.260 (“</w:t>
      </w:r>
      <w:r w:rsidR="00E65244">
        <w:t>[C]</w:t>
      </w:r>
      <w:proofErr w:type="spellStart"/>
      <w:r w:rsidR="002F587D" w:rsidRPr="002F587D">
        <w:t>ounsel</w:t>
      </w:r>
      <w:proofErr w:type="spellEnd"/>
      <w:r w:rsidR="002F587D" w:rsidRPr="002F587D">
        <w:t xml:space="preserve"> investigating a capital case should be particularly alert to the possibility that, notwithstanding surface appearances, one or more jurors were unqualified to sit at either phase of the trial and make every effort to develop the relevant facts, whether by interviewing jurors or otherwise. Such inquiries can be critical in discovering constitutional errors</w:t>
      </w:r>
      <w:r w:rsidR="00E65244">
        <w:t>.</w:t>
      </w:r>
      <w:r w:rsidR="002F587D" w:rsidRPr="002F587D">
        <w:t>”</w:t>
      </w:r>
      <w:r w:rsidR="00F869AF">
        <w:t xml:space="preserve">) </w:t>
      </w:r>
      <w:r w:rsidR="002F587D" w:rsidRPr="002F587D">
        <w:t>(citation and in</w:t>
      </w:r>
      <w:r w:rsidR="000A3157">
        <w:t>ternal quotation marks omitted)</w:t>
      </w:r>
      <w:r w:rsidR="002F587D" w:rsidRPr="002F587D">
        <w:t>.</w:t>
      </w:r>
    </w:p>
    <w:p w14:paraId="68C198AF" w14:textId="46291299" w:rsidR="004A2A47" w:rsidRPr="004A2A47" w:rsidRDefault="004A2A47" w:rsidP="00000252">
      <w:pPr>
        <w:spacing w:line="480" w:lineRule="auto"/>
        <w:jc w:val="both"/>
      </w:pPr>
      <w:r>
        <w:lastRenderedPageBreak/>
        <w:tab/>
      </w:r>
      <w:r w:rsidR="00FC51B3">
        <w:t xml:space="preserve">Post-trial juror misconduct claims are governed by </w:t>
      </w:r>
      <w:r w:rsidR="00B22094">
        <w:t xml:space="preserve">Ariz. R. Crim. P. </w:t>
      </w:r>
      <w:r w:rsidR="00FC51B3">
        <w:t>24.1(c)(3).  A defendant has only ten days from return of the verdict to file</w:t>
      </w:r>
      <w:r w:rsidR="00104C2D">
        <w:t xml:space="preserve"> such a claim; t</w:t>
      </w:r>
      <w:r w:rsidR="00FC51B3">
        <w:t>his time limit is jurisdictional and cannot be extended.  Rule 24.1(b)</w:t>
      </w:r>
      <w:r w:rsidR="00B22094">
        <w:t xml:space="preserve">; </w:t>
      </w:r>
      <w:r w:rsidR="00B22094" w:rsidRPr="00696A86">
        <w:rPr>
          <w:i/>
        </w:rPr>
        <w:t xml:space="preserve">see also </w:t>
      </w:r>
      <w:r w:rsidR="00B22094" w:rsidRPr="00B22094">
        <w:rPr>
          <w:i/>
        </w:rPr>
        <w:t>State v. Fitzgerald</w:t>
      </w:r>
      <w:r w:rsidR="00B22094">
        <w:t>, 232 Ariz. 208, 212 ¶ 20 (2013) (“Rule 24 contains no ‘discovery rule’ exception to the ten-day requirement in Rule 24.1(b).”)</w:t>
      </w:r>
      <w:r w:rsidR="00FC51B3">
        <w:t xml:space="preserve">.  </w:t>
      </w:r>
      <w:r w:rsidR="00104C2D">
        <w:t xml:space="preserve">Further, </w:t>
      </w:r>
      <w:r w:rsidR="00FC51B3">
        <w:t>“</w:t>
      </w:r>
      <w:r w:rsidR="00FC51B3" w:rsidRPr="00FC51B3">
        <w:t xml:space="preserve">Because claims of juror misconduct can be raised on post-trial motion under Rule 24, </w:t>
      </w:r>
      <w:r w:rsidR="00104C2D">
        <w:t>[a defendant]</w:t>
      </w:r>
      <w:r w:rsidR="00FC51B3" w:rsidRPr="00FC51B3">
        <w:t xml:space="preserve"> generally is precluded from raising them in a petition for post-conviction relief.</w:t>
      </w:r>
      <w:r w:rsidR="00FC51B3">
        <w:t>”</w:t>
      </w:r>
      <w:r w:rsidR="00104C2D">
        <w:t xml:space="preserve"> </w:t>
      </w:r>
      <w:r>
        <w:t xml:space="preserve"> </w:t>
      </w:r>
      <w:r>
        <w:rPr>
          <w:i/>
        </w:rPr>
        <w:t xml:space="preserve">State v. </w:t>
      </w:r>
      <w:proofErr w:type="spellStart"/>
      <w:r>
        <w:rPr>
          <w:i/>
        </w:rPr>
        <w:t>K</w:t>
      </w:r>
      <w:r w:rsidR="004B6919">
        <w:rPr>
          <w:i/>
        </w:rPr>
        <w:t>o</w:t>
      </w:r>
      <w:r>
        <w:rPr>
          <w:i/>
        </w:rPr>
        <w:t>lma</w:t>
      </w:r>
      <w:r w:rsidR="004B6919">
        <w:rPr>
          <w:i/>
        </w:rPr>
        <w:t>n</w:t>
      </w:r>
      <w:r>
        <w:rPr>
          <w:i/>
        </w:rPr>
        <w:t>n</w:t>
      </w:r>
      <w:proofErr w:type="spellEnd"/>
      <w:r>
        <w:t xml:space="preserve">, 239 Ariz. 157, </w:t>
      </w:r>
      <w:r w:rsidR="00FC51B3">
        <w:t xml:space="preserve">163 </w:t>
      </w:r>
      <w:r w:rsidR="00B22094">
        <w:t xml:space="preserve">¶ </w:t>
      </w:r>
      <w:r w:rsidR="00FC51B3">
        <w:t>25 (2016)</w:t>
      </w:r>
      <w:r w:rsidR="00104C2D">
        <w:t xml:space="preserve">.  </w:t>
      </w:r>
      <w:r w:rsidR="004B6919">
        <w:t xml:space="preserve">By requiring a court order to approach jurors who indicate a refusal to speak with litigants, </w:t>
      </w:r>
      <w:r w:rsidR="00104C2D">
        <w:t>MCAO’s proposed Rule 22.5(c)(3)</w:t>
      </w:r>
      <w:r w:rsidR="004B6919">
        <w:t xml:space="preserve"> places an almost impossible burden on defendants seeking to meet the ten-day deadline.  The proposed modification is further unworkable because it requires that a motion for leave to contact such jurors be placed within Rule 32, thus providing no avenue under Rule 24.</w:t>
      </w:r>
    </w:p>
    <w:p w14:paraId="1E06E03F" w14:textId="4668930F" w:rsidR="00850E1C" w:rsidRDefault="0085755C" w:rsidP="005123E4">
      <w:pPr>
        <w:spacing w:line="480" w:lineRule="auto"/>
        <w:ind w:firstLine="720"/>
        <w:jc w:val="both"/>
      </w:pPr>
      <w:r>
        <w:t>ACRP,</w:t>
      </w:r>
      <w:r w:rsidR="005B6B42" w:rsidRPr="005123E4">
        <w:t xml:space="preserve"> </w:t>
      </w:r>
      <w:r w:rsidR="00587EF9">
        <w:t>MCPD</w:t>
      </w:r>
      <w:r w:rsidR="00B22094">
        <w:t>,</w:t>
      </w:r>
      <w:r w:rsidR="00587EF9">
        <w:t xml:space="preserve"> </w:t>
      </w:r>
      <w:r w:rsidR="00B22094" w:rsidRPr="005123E4">
        <w:t>AACJ members</w:t>
      </w:r>
      <w:r w:rsidR="00B22094">
        <w:t xml:space="preserve">, </w:t>
      </w:r>
      <w:r w:rsidR="005B6B42" w:rsidRPr="005123E4">
        <w:t>and other members of the criminal defense community who practice post-appeal litigation in capital</w:t>
      </w:r>
      <w:r w:rsidR="000F2B04">
        <w:t xml:space="preserve"> and non-capital</w:t>
      </w:r>
      <w:r w:rsidR="005B6B42" w:rsidRPr="005123E4">
        <w:t xml:space="preserve"> cases consider it essential to investigate all potential avenues for relief for their clients, including investigating the possibility of juror misconduct</w:t>
      </w:r>
      <w:r w:rsidR="008B3751">
        <w:t xml:space="preserve"> or misconduct witnessed by jurors</w:t>
      </w:r>
      <w:r w:rsidR="005B6B42" w:rsidRPr="005123E4">
        <w:t>.</w:t>
      </w:r>
      <w:r w:rsidR="005B6B42">
        <w:t xml:space="preserve">  </w:t>
      </w:r>
      <w:r w:rsidR="00664D81">
        <w:t xml:space="preserve">Due to the </w:t>
      </w:r>
      <w:r w:rsidR="00F74E60">
        <w:t xml:space="preserve">secretive </w:t>
      </w:r>
      <w:r w:rsidR="00664D81">
        <w:t xml:space="preserve">nature of jury </w:t>
      </w:r>
      <w:r w:rsidR="00F74E60">
        <w:t>deliberations</w:t>
      </w:r>
      <w:r w:rsidR="00664D81" w:rsidRPr="005123E4">
        <w:t xml:space="preserve">, and the fact that there is no ability to record or otherwise document their processes, there is simply no other way to learn </w:t>
      </w:r>
      <w:r w:rsidR="008B3751">
        <w:t>of such</w:t>
      </w:r>
      <w:r w:rsidR="00664D81" w:rsidRPr="005123E4">
        <w:t xml:space="preserve"> misconduct without asking members of the panel.</w:t>
      </w:r>
      <w:r w:rsidR="00664D81">
        <w:t xml:space="preserve">  </w:t>
      </w:r>
      <w:r w:rsidR="007D65F4">
        <w:t xml:space="preserve">Thus, </w:t>
      </w:r>
      <w:r w:rsidR="007D65F4">
        <w:lastRenderedPageBreak/>
        <w:t>r</w:t>
      </w:r>
      <w:r w:rsidR="00000252" w:rsidRPr="00000252">
        <w:t>equiring counsel to demonstrate good cause-</w:t>
      </w:r>
      <w:r w:rsidR="00407228">
        <w:t>-</w:t>
      </w:r>
      <w:r w:rsidR="00000252" w:rsidRPr="00000252">
        <w:t>or to meet any standard-</w:t>
      </w:r>
      <w:r w:rsidR="00407228">
        <w:t>-</w:t>
      </w:r>
      <w:r w:rsidR="00000252" w:rsidRPr="00000252">
        <w:t xml:space="preserve">before </w:t>
      </w:r>
      <w:r w:rsidR="002F587D">
        <w:t>contacting</w:t>
      </w:r>
      <w:r w:rsidR="00000252" w:rsidRPr="00000252">
        <w:t xml:space="preserve"> jurors </w:t>
      </w:r>
      <w:r w:rsidR="002F587D">
        <w:t>to investigate misconduct impedes counsel’s ability to provide thorough and adequate representation</w:t>
      </w:r>
      <w:r w:rsidR="005E14D9">
        <w:t xml:space="preserve">.  </w:t>
      </w:r>
    </w:p>
    <w:p w14:paraId="08D59E11" w14:textId="17A7E3BE" w:rsidR="006E7C92" w:rsidRDefault="006E7C92" w:rsidP="006E7C92">
      <w:pPr>
        <w:pStyle w:val="ListParagraph"/>
        <w:numPr>
          <w:ilvl w:val="0"/>
          <w:numId w:val="3"/>
        </w:numPr>
        <w:spacing w:line="240" w:lineRule="auto"/>
        <w:jc w:val="both"/>
        <w:rPr>
          <w:b/>
          <w:u w:val="single"/>
        </w:rPr>
      </w:pPr>
      <w:r w:rsidRPr="006E7C92">
        <w:rPr>
          <w:b/>
          <w:u w:val="single"/>
        </w:rPr>
        <w:t xml:space="preserve">Proposed Rule </w:t>
      </w:r>
      <w:r w:rsidR="000F39D6">
        <w:rPr>
          <w:b/>
          <w:u w:val="single"/>
        </w:rPr>
        <w:t>32.1(c)</w:t>
      </w:r>
      <w:r w:rsidRPr="006E7C92">
        <w:rPr>
          <w:b/>
          <w:u w:val="single"/>
        </w:rPr>
        <w:t xml:space="preserve"> would prevent discovery and presentation of valid constitutional claims</w:t>
      </w:r>
      <w:r w:rsidR="0008321E">
        <w:rPr>
          <w:b/>
          <w:u w:val="single"/>
        </w:rPr>
        <w:t xml:space="preserve"> in violation of the rights of criminal defendants</w:t>
      </w:r>
      <w:r w:rsidRPr="006E7C92">
        <w:rPr>
          <w:b/>
          <w:u w:val="single"/>
        </w:rPr>
        <w:t xml:space="preserve">.  </w:t>
      </w:r>
    </w:p>
    <w:p w14:paraId="061DA91A" w14:textId="77777777" w:rsidR="006E7C92" w:rsidRPr="004A124E" w:rsidRDefault="006E7C92" w:rsidP="006E7C92">
      <w:pPr>
        <w:pStyle w:val="ListParagraph"/>
        <w:spacing w:line="240" w:lineRule="auto"/>
        <w:jc w:val="both"/>
      </w:pPr>
    </w:p>
    <w:p w14:paraId="3AED0364" w14:textId="581A3AF9" w:rsidR="0008321E" w:rsidRDefault="00850E1C" w:rsidP="00000252">
      <w:pPr>
        <w:spacing w:line="480" w:lineRule="auto"/>
        <w:jc w:val="both"/>
      </w:pPr>
      <w:r>
        <w:tab/>
      </w:r>
      <w:r w:rsidR="0008321E">
        <w:t>Further</w:t>
      </w:r>
      <w:r w:rsidR="00FA61DF">
        <w:t xml:space="preserve">, </w:t>
      </w:r>
      <w:r w:rsidR="00407228">
        <w:t xml:space="preserve">Proposed Rule </w:t>
      </w:r>
      <w:r w:rsidR="000F39D6">
        <w:t>32.1(c)</w:t>
      </w:r>
      <w:r w:rsidR="00000252" w:rsidRPr="00000252">
        <w:t xml:space="preserve"> </w:t>
      </w:r>
      <w:r w:rsidR="00407228">
        <w:t>would</w:t>
      </w:r>
      <w:r w:rsidR="00000252" w:rsidRPr="00000252">
        <w:t xml:space="preserve"> prevent valid constitutional claims from being discovered or</w:t>
      </w:r>
      <w:r w:rsidR="0067350A">
        <w:t>, at best,</w:t>
      </w:r>
      <w:r w:rsidR="00000252" w:rsidRPr="00000252">
        <w:t xml:space="preserve"> delay discovery until federal habeas proceedings.  </w:t>
      </w:r>
      <w:r w:rsidR="004F16A7">
        <w:t xml:space="preserve">As enshrined in our state and federal Constitutions, criminal defendants are entitled a fair and impartial jury.  U.S. Const. amends. V, VI, XIV; Ariz. Const. art. </w:t>
      </w:r>
      <w:r w:rsidR="007C0BB7">
        <w:t>2</w:t>
      </w:r>
      <w:r w:rsidR="004F16A7">
        <w:t>, §§</w:t>
      </w:r>
      <w:r w:rsidR="005B6B42">
        <w:t xml:space="preserve"> </w:t>
      </w:r>
      <w:r w:rsidR="0084624A">
        <w:t xml:space="preserve">4, 23, 24.  </w:t>
      </w:r>
      <w:r w:rsidR="008A0573">
        <w:t xml:space="preserve">In capital cases, the right to an impartial jury is further protected by prohibitions against cruel and unusual punishment.  U.S. Const. amend. VIII; Ariz. Const. art. </w:t>
      </w:r>
      <w:r w:rsidR="007C0BB7">
        <w:t>2</w:t>
      </w:r>
      <w:r w:rsidR="008A0573">
        <w:t>, §</w:t>
      </w:r>
      <w:r w:rsidR="005B6B42">
        <w:t xml:space="preserve"> </w:t>
      </w:r>
      <w:r w:rsidR="00431929">
        <w:t>1</w:t>
      </w:r>
      <w:r w:rsidR="008A0573">
        <w:t xml:space="preserve">5; </w:t>
      </w:r>
      <w:r w:rsidR="008A0573">
        <w:rPr>
          <w:i/>
        </w:rPr>
        <w:t>Eddings v. Oklahoma</w:t>
      </w:r>
      <w:r w:rsidR="008A0573">
        <w:t xml:space="preserve">, 455 U.S. 104, 114 (1982).  </w:t>
      </w:r>
      <w:r w:rsidR="00B54D9F">
        <w:t xml:space="preserve">The Supreme Court has insisted that the right to an impartial jury be scrupulously protected, </w:t>
      </w:r>
      <w:r w:rsidR="00B54D9F">
        <w:rPr>
          <w:i/>
        </w:rPr>
        <w:t>see</w:t>
      </w:r>
      <w:r w:rsidR="005B6B42">
        <w:rPr>
          <w:i/>
        </w:rPr>
        <w:t>,</w:t>
      </w:r>
      <w:r w:rsidR="00B54D9F">
        <w:rPr>
          <w:i/>
        </w:rPr>
        <w:t xml:space="preserve"> e.g.</w:t>
      </w:r>
      <w:r w:rsidR="00B54D9F">
        <w:t xml:space="preserve">, </w:t>
      </w:r>
      <w:r w:rsidR="00B54D9F">
        <w:rPr>
          <w:i/>
        </w:rPr>
        <w:t>Parker v. Gladden</w:t>
      </w:r>
      <w:r w:rsidR="00B54D9F">
        <w:t>,</w:t>
      </w:r>
      <w:r w:rsidR="00B54D9F">
        <w:rPr>
          <w:i/>
        </w:rPr>
        <w:t xml:space="preserve"> </w:t>
      </w:r>
      <w:r w:rsidR="00B54D9F">
        <w:t>385 U.S. 363, 364-66 (1966)</w:t>
      </w:r>
      <w:r w:rsidR="00FE0479">
        <w:t xml:space="preserve">, and state and federal collateral proceedings are the proper venues for pursuing relief when this paramount right </w:t>
      </w:r>
      <w:r w:rsidR="0008321E">
        <w:t>has been violated.</w:t>
      </w:r>
    </w:p>
    <w:p w14:paraId="12875931" w14:textId="35FA4EBA" w:rsidR="00D569DB" w:rsidRPr="00D569DB" w:rsidRDefault="00617CD9" w:rsidP="00BE1C39">
      <w:pPr>
        <w:spacing w:line="480" w:lineRule="auto"/>
        <w:jc w:val="both"/>
        <w:rPr>
          <w:u w:val="single"/>
        </w:rPr>
      </w:pPr>
      <w:r>
        <w:tab/>
        <w:t>Arizona post-conviction petitioners are required to “include every ground known to him or her for vacating, reducing, correcting or otherwise changing all judgments or sentences imposed upon him or her” and to provide “[a]</w:t>
      </w:r>
      <w:proofErr w:type="spellStart"/>
      <w:r>
        <w:t>ffidavits</w:t>
      </w:r>
      <w:proofErr w:type="spellEnd"/>
      <w:r>
        <w:t xml:space="preserve">, records, or other evidence currently available to the defendant supporting the allegations of the petition . . . .”  Ariz. R. Crim. P. 32.5.  In order to obtain </w:t>
      </w:r>
      <w:r>
        <w:rPr>
          <w:i/>
        </w:rPr>
        <w:t xml:space="preserve">formal </w:t>
      </w:r>
      <w:r>
        <w:rPr>
          <w:i/>
        </w:rPr>
        <w:lastRenderedPageBreak/>
        <w:t xml:space="preserve">discovery </w:t>
      </w:r>
      <w:r>
        <w:t xml:space="preserve">in post-conviction proceedings, a petitioner is first required to file his or her petition and establish good cause therein.  </w:t>
      </w:r>
      <w:proofErr w:type="spellStart"/>
      <w:r>
        <w:rPr>
          <w:i/>
        </w:rPr>
        <w:t>Canion</w:t>
      </w:r>
      <w:proofErr w:type="spellEnd"/>
      <w:r>
        <w:rPr>
          <w:i/>
        </w:rPr>
        <w:t xml:space="preserve"> v. Cole</w:t>
      </w:r>
      <w:r>
        <w:t xml:space="preserve">, 210 Ariz. 598 (2005).  Proposed Rule </w:t>
      </w:r>
      <w:r w:rsidR="005F6D81">
        <w:t>32.1(c)</w:t>
      </w:r>
      <w:r>
        <w:t xml:space="preserve"> would impose a “good cause”</w:t>
      </w:r>
      <w:r w:rsidR="0067350A">
        <w:t xml:space="preserve"> threshold</w:t>
      </w:r>
      <w:r>
        <w:t xml:space="preserve"> and </w:t>
      </w:r>
      <w:r w:rsidR="005F6D81">
        <w:t>require trial courts to micromanage the defense investigation by “</w:t>
      </w:r>
      <w:proofErr w:type="spellStart"/>
      <w:r w:rsidR="005F6D81">
        <w:t>defin</w:t>
      </w:r>
      <w:proofErr w:type="spellEnd"/>
      <w:r w:rsidR="005F6D81">
        <w:t>[</w:t>
      </w:r>
      <w:proofErr w:type="spellStart"/>
      <w:r w:rsidR="005F6D81">
        <w:t>ing</w:t>
      </w:r>
      <w:proofErr w:type="spellEnd"/>
      <w:r w:rsidR="005F6D81">
        <w:t>] the scope of permissible contact” with each juror</w:t>
      </w:r>
      <w:r w:rsidR="002F587D">
        <w:t xml:space="preserve">.  </w:t>
      </w:r>
      <w:r w:rsidR="005F6D81">
        <w:t>I</w:t>
      </w:r>
      <w:r w:rsidR="00C24E2D" w:rsidRPr="00000252">
        <w:t xml:space="preserve">t is </w:t>
      </w:r>
      <w:r w:rsidR="00785721">
        <w:t>virtually</w:t>
      </w:r>
      <w:r w:rsidR="00C24E2D" w:rsidRPr="00000252">
        <w:t xml:space="preserve"> impossible to determine whether any juror misconduct occurred </w:t>
      </w:r>
      <w:r w:rsidR="008B3751">
        <w:t xml:space="preserve">or whether a juror witnessed misconduct </w:t>
      </w:r>
      <w:r w:rsidR="00C24E2D" w:rsidRPr="00000252">
        <w:t>without reaching out to jurors themselves.</w:t>
      </w:r>
      <w:r w:rsidR="005B6B42">
        <w:t xml:space="preserve">  Arizona jurisprudence is rife with examples of instances where misconduct came to light via juror contact after conviction.  Even where juror misconduct was discovered by happenstance, juror contact would have provided the best assurance that juror misconduct was discovered.</w:t>
      </w:r>
      <w:r w:rsidR="00C24E2D" w:rsidRPr="00000252">
        <w:t xml:space="preserve"> </w:t>
      </w:r>
      <w:r w:rsidR="00FE0479">
        <w:t xml:space="preserve"> </w:t>
      </w:r>
    </w:p>
    <w:p w14:paraId="6D757002" w14:textId="48A506ED" w:rsidR="00D569DB" w:rsidRPr="0067350A" w:rsidRDefault="00D569DB" w:rsidP="00D569DB">
      <w:pPr>
        <w:spacing w:line="480" w:lineRule="auto"/>
        <w:ind w:firstLine="720"/>
        <w:jc w:val="both"/>
      </w:pPr>
      <w:r>
        <w:t xml:space="preserve">In </w:t>
      </w:r>
      <w:r w:rsidRPr="00D569DB">
        <w:rPr>
          <w:i/>
        </w:rPr>
        <w:t>State v. Hall</w:t>
      </w:r>
      <w:r>
        <w:t>, 204 Ariz. 442</w:t>
      </w:r>
      <w:r w:rsidR="0067350A">
        <w:t xml:space="preserve">, 446 </w:t>
      </w:r>
      <w:r w:rsidR="0067350A" w:rsidRPr="00105DEB">
        <w:t>¶</w:t>
      </w:r>
      <w:r w:rsidR="00431929">
        <w:t xml:space="preserve"> </w:t>
      </w:r>
      <w:r w:rsidR="0067350A">
        <w:t>12</w:t>
      </w:r>
      <w:r>
        <w:t xml:space="preserve"> (2003), the defense contacted jurors post-verdict and discovered that the bailiff had inappropriately discussed prejudicial facts surrounding defendant’s tattoos with the jury, and that the jury had discussed those facts among themselves.  The</w:t>
      </w:r>
      <w:r w:rsidR="009A1439">
        <w:t xml:space="preserve"> defense</w:t>
      </w:r>
      <w:r>
        <w:t xml:space="preserve"> presented this information to the court in the form of affidavits.  Additionally, their investigative interviews with the jurors were used to impeach jurors who testified at the evidentiary hearing that they had not heard or considered the information.</w:t>
      </w:r>
      <w:r w:rsidR="0067350A">
        <w:t xml:space="preserve">  </w:t>
      </w:r>
      <w:r w:rsidR="0067350A">
        <w:rPr>
          <w:i/>
        </w:rPr>
        <w:t>Id</w:t>
      </w:r>
      <w:r w:rsidR="0067350A">
        <w:t xml:space="preserve">. at 447 </w:t>
      </w:r>
      <w:r w:rsidR="0067350A" w:rsidRPr="00105DEB">
        <w:t>¶</w:t>
      </w:r>
      <w:r w:rsidR="00431929">
        <w:t xml:space="preserve"> </w:t>
      </w:r>
      <w:r w:rsidR="0067350A">
        <w:t>13.</w:t>
      </w:r>
      <w:r>
        <w:t xml:space="preserve">  Because the jurors had considered extrinsic evidence, </w:t>
      </w:r>
      <w:r w:rsidR="000F39D6">
        <w:t>this</w:t>
      </w:r>
      <w:r>
        <w:t xml:space="preserve"> Court </w:t>
      </w:r>
      <w:r w:rsidR="000F39D6">
        <w:t>reversed</w:t>
      </w:r>
      <w:r>
        <w:t xml:space="preserve"> the trial court</w:t>
      </w:r>
      <w:r w:rsidR="000F39D6">
        <w:t xml:space="preserve">’s denial of relief, </w:t>
      </w:r>
      <w:r>
        <w:t xml:space="preserve">and reversed </w:t>
      </w:r>
      <w:r w:rsidR="000F39D6">
        <w:t>Hall’s</w:t>
      </w:r>
      <w:r>
        <w:t xml:space="preserve"> murder conviction</w:t>
      </w:r>
      <w:r w:rsidR="00581732">
        <w:t xml:space="preserve"> and death sentence. </w:t>
      </w:r>
      <w:r w:rsidR="0067350A">
        <w:t xml:space="preserve"> </w:t>
      </w:r>
      <w:r w:rsidR="0067350A">
        <w:rPr>
          <w:i/>
        </w:rPr>
        <w:t>Id</w:t>
      </w:r>
      <w:r w:rsidR="0067350A">
        <w:t xml:space="preserve">. at 449 </w:t>
      </w:r>
      <w:r w:rsidR="0067350A" w:rsidRPr="00105DEB">
        <w:t>¶</w:t>
      </w:r>
      <w:r w:rsidR="00431929">
        <w:t xml:space="preserve"> </w:t>
      </w:r>
      <w:r w:rsidR="0067350A">
        <w:t>25.</w:t>
      </w:r>
    </w:p>
    <w:p w14:paraId="4D56FA4E" w14:textId="352C169D" w:rsidR="00581732" w:rsidRPr="00D201BD" w:rsidRDefault="00581732" w:rsidP="00D569DB">
      <w:pPr>
        <w:spacing w:line="480" w:lineRule="auto"/>
        <w:ind w:firstLine="720"/>
        <w:jc w:val="both"/>
      </w:pPr>
      <w:r>
        <w:lastRenderedPageBreak/>
        <w:t xml:space="preserve">In </w:t>
      </w:r>
      <w:r w:rsidRPr="00581732">
        <w:rPr>
          <w:i/>
        </w:rPr>
        <w:t>State v. Glover</w:t>
      </w:r>
      <w:r>
        <w:t>, 159 Ariz. 291</w:t>
      </w:r>
      <w:r w:rsidR="00D201BD">
        <w:t>, 292-293</w:t>
      </w:r>
      <w:r>
        <w:t xml:space="preserve"> (1988), </w:t>
      </w:r>
      <w:r w:rsidR="00F869AF">
        <w:t xml:space="preserve">the </w:t>
      </w:r>
      <w:r w:rsidR="00F52198">
        <w:t xml:space="preserve">defense presented </w:t>
      </w:r>
      <w:r w:rsidR="00F869AF">
        <w:t xml:space="preserve">an </w:t>
      </w:r>
      <w:r w:rsidR="00F52198">
        <w:t xml:space="preserve">affidavit from the </w:t>
      </w:r>
      <w:r w:rsidR="00F869AF">
        <w:t xml:space="preserve">jury </w:t>
      </w:r>
      <w:r w:rsidR="00F52198">
        <w:t xml:space="preserve">foreman </w:t>
      </w:r>
      <w:r w:rsidR="000F39D6">
        <w:t>revealing</w:t>
      </w:r>
      <w:r w:rsidR="00F52198">
        <w:t xml:space="preserve"> two instances of significant juror misconduct.  One juror had asked his wife, a person </w:t>
      </w:r>
      <w:r w:rsidR="00F869AF">
        <w:t xml:space="preserve">with </w:t>
      </w:r>
      <w:r w:rsidR="00F52198">
        <w:t xml:space="preserve">medical training, for information regarding the crucial fact at issue, namely the effect that the defendant’s consumption of alcohol and prescription drugs would have had on him (the defense was accident).  Another had asked a person in law enforcement regarding the effect of a hung jury and was incorrectly advised that the defendant would “walk out a free man.”  </w:t>
      </w:r>
      <w:r w:rsidR="000F39D6">
        <w:t>This</w:t>
      </w:r>
      <w:r w:rsidR="00F52198">
        <w:t xml:space="preserve"> Court </w:t>
      </w:r>
      <w:r w:rsidR="000F39D6">
        <w:t>reversed the aggravated assault</w:t>
      </w:r>
      <w:r w:rsidR="00F52198">
        <w:t xml:space="preserve"> conviction and remanded for a new trial.  </w:t>
      </w:r>
      <w:r w:rsidR="00D201BD">
        <w:rPr>
          <w:i/>
        </w:rPr>
        <w:t>Id</w:t>
      </w:r>
      <w:r w:rsidR="00D201BD">
        <w:t>. at 294.</w:t>
      </w:r>
    </w:p>
    <w:p w14:paraId="1CCD6CA9" w14:textId="7A15AF62" w:rsidR="00E0202A" w:rsidRDefault="00E0202A" w:rsidP="00D569DB">
      <w:pPr>
        <w:spacing w:line="480" w:lineRule="auto"/>
        <w:ind w:firstLine="720"/>
        <w:jc w:val="both"/>
      </w:pPr>
      <w:r>
        <w:t xml:space="preserve">In </w:t>
      </w:r>
      <w:r w:rsidRPr="00E0202A">
        <w:rPr>
          <w:i/>
        </w:rPr>
        <w:t>State v. Compton</w:t>
      </w:r>
      <w:r>
        <w:t xml:space="preserve">, 127 Ariz. 420, </w:t>
      </w:r>
      <w:r w:rsidR="0081392B">
        <w:t>421</w:t>
      </w:r>
      <w:r>
        <w:t xml:space="preserve"> (App. 1980),</w:t>
      </w:r>
      <w:r w:rsidR="009A1439">
        <w:t xml:space="preserve"> the</w:t>
      </w:r>
      <w:r w:rsidR="0081392B">
        <w:t xml:space="preserve"> defendants were convicted of conspiracy to commit murder.  The</w:t>
      </w:r>
      <w:r>
        <w:t xml:space="preserve"> </w:t>
      </w:r>
      <w:r w:rsidR="0081392B">
        <w:t xml:space="preserve">trial court conducted an evidentiary hearing on the </w:t>
      </w:r>
      <w:r>
        <w:t xml:space="preserve">defense </w:t>
      </w:r>
      <w:r w:rsidR="0081392B">
        <w:t xml:space="preserve">motion </w:t>
      </w:r>
      <w:r>
        <w:t xml:space="preserve">for a new trial </w:t>
      </w:r>
      <w:r w:rsidR="00F869AF">
        <w:t>based on</w:t>
      </w:r>
      <w:r>
        <w:t xml:space="preserve"> the bailiff’s improper statement to </w:t>
      </w:r>
      <w:r w:rsidR="000F39D6">
        <w:t>jurors</w:t>
      </w:r>
      <w:r>
        <w:t xml:space="preserve"> that the judge </w:t>
      </w:r>
      <w:r w:rsidR="00F869AF">
        <w:t>would not allow</w:t>
      </w:r>
      <w:r>
        <w:t xml:space="preserve"> </w:t>
      </w:r>
      <w:r w:rsidR="005B6B42">
        <w:t>the</w:t>
      </w:r>
      <w:r w:rsidR="000F39D6">
        <w:t>m</w:t>
      </w:r>
      <w:r w:rsidR="005B6B42">
        <w:t xml:space="preserve"> </w:t>
      </w:r>
      <w:r>
        <w:t xml:space="preserve">to go home that evening without reaching a </w:t>
      </w:r>
      <w:r w:rsidR="009A1439">
        <w:t>verdict</w:t>
      </w:r>
      <w:r>
        <w:t xml:space="preserve">.  </w:t>
      </w:r>
      <w:r w:rsidR="0081392B">
        <w:t>Over the prosecution’s objection, j</w:t>
      </w:r>
      <w:r w:rsidR="000F2B04">
        <w:t>urors testified</w:t>
      </w:r>
      <w:r w:rsidR="0081392B">
        <w:t xml:space="preserve"> in support of the motion</w:t>
      </w:r>
      <w:r w:rsidR="00A214EF">
        <w:t xml:space="preserve">, and, given that the bailiff denied making the statement, those contacts were instrumental in supporting the </w:t>
      </w:r>
      <w:r w:rsidR="0081392B">
        <w:t>defense motion.  The trial court</w:t>
      </w:r>
      <w:r w:rsidR="00A214EF">
        <w:t xml:space="preserve"> order</w:t>
      </w:r>
      <w:r w:rsidR="0081392B">
        <w:t>ed</w:t>
      </w:r>
      <w:r w:rsidR="00A214EF">
        <w:t xml:space="preserve"> </w:t>
      </w:r>
      <w:r w:rsidR="0081392B">
        <w:t>a</w:t>
      </w:r>
      <w:r w:rsidR="00A214EF">
        <w:t xml:space="preserve"> new trial.  </w:t>
      </w:r>
      <w:r w:rsidR="0081392B">
        <w:t xml:space="preserve">The appellate court overruled the prosecution’s objection and affirmed the </w:t>
      </w:r>
      <w:r w:rsidR="00F65C1C">
        <w:t>trial court’s order.</w:t>
      </w:r>
    </w:p>
    <w:p w14:paraId="0FCE5F92" w14:textId="17153A62" w:rsidR="00231484" w:rsidRDefault="00231484" w:rsidP="00D569DB">
      <w:pPr>
        <w:spacing w:line="480" w:lineRule="auto"/>
        <w:ind w:firstLine="720"/>
        <w:jc w:val="both"/>
      </w:pPr>
      <w:r>
        <w:t xml:space="preserve">In fact, Arizona’s courts not only accept declarations from jurors, but require them to support post-trial claims.  </w:t>
      </w:r>
      <w:r w:rsidRPr="00231484">
        <w:t xml:space="preserve">In </w:t>
      </w:r>
      <w:r w:rsidRPr="00231484">
        <w:rPr>
          <w:i/>
        </w:rPr>
        <w:t>State v. Pearson</w:t>
      </w:r>
      <w:r w:rsidRPr="00231484">
        <w:t xml:space="preserve">, </w:t>
      </w:r>
      <w:r w:rsidR="00BB2149" w:rsidRPr="00231484">
        <w:rPr>
          <w:lang w:val="en-CA"/>
        </w:rPr>
        <w:fldChar w:fldCharType="begin"/>
      </w:r>
      <w:r w:rsidRPr="00231484">
        <w:rPr>
          <w:lang w:val="en-CA"/>
        </w:rPr>
        <w:instrText xml:space="preserve"> SEQ CHAPTER \h \r 1</w:instrText>
      </w:r>
      <w:r w:rsidR="00BB2149" w:rsidRPr="00231484">
        <w:fldChar w:fldCharType="end"/>
      </w:r>
      <w:r w:rsidRPr="00231484">
        <w:t xml:space="preserve">98 Ariz. 133, 135 (1965), the </w:t>
      </w:r>
      <w:r w:rsidRPr="00231484">
        <w:lastRenderedPageBreak/>
        <w:t xml:space="preserve">defendant sought a new trial based on the judge’s alleged improper statements to jurors. The motion was supported by defense counsel’s affidavit relating a juror’s statement—not the juror’s affidavit. </w:t>
      </w:r>
      <w:r w:rsidR="00F869AF">
        <w:t xml:space="preserve"> </w:t>
      </w:r>
      <w:r w:rsidR="00DE6EF2" w:rsidRPr="00DE6EF2">
        <w:rPr>
          <w:i/>
        </w:rPr>
        <w:t>Id.</w:t>
      </w:r>
      <w:r w:rsidRPr="00231484">
        <w:t xml:space="preserve"> at 135-36</w:t>
      </w:r>
      <w:r w:rsidR="0067350A">
        <w:t>.</w:t>
      </w:r>
      <w:r w:rsidR="000F2B04">
        <w:t xml:space="preserve"> </w:t>
      </w:r>
      <w:r w:rsidR="0067350A">
        <w:t xml:space="preserve"> </w:t>
      </w:r>
      <w:r w:rsidRPr="00231484">
        <w:t xml:space="preserve">This Court held that a juror’s affidavit is a prerequisite to relief. </w:t>
      </w:r>
      <w:r w:rsidRPr="00231484">
        <w:rPr>
          <w:i/>
        </w:rPr>
        <w:t>Id</w:t>
      </w:r>
      <w:r w:rsidRPr="00231484">
        <w:t xml:space="preserve">. at 136. </w:t>
      </w:r>
      <w:r w:rsidRPr="00231484">
        <w:rPr>
          <w:i/>
        </w:rPr>
        <w:t xml:space="preserve">Accord State v. </w:t>
      </w:r>
      <w:proofErr w:type="spellStart"/>
      <w:r w:rsidRPr="00231484">
        <w:rPr>
          <w:i/>
        </w:rPr>
        <w:t>McMurtrey</w:t>
      </w:r>
      <w:proofErr w:type="spellEnd"/>
      <w:r w:rsidRPr="00231484">
        <w:t>, 136 Ariz. 93, 98 (1983)</w:t>
      </w:r>
      <w:r w:rsidR="00F869AF">
        <w:t xml:space="preserve"> </w:t>
      </w:r>
      <w:r w:rsidR="00870A00">
        <w:t>(rejecting claim that jurors saw defendant in shackles,</w:t>
      </w:r>
      <w:r w:rsidR="00823358">
        <w:t xml:space="preserve"> and stating,</w:t>
      </w:r>
      <w:r w:rsidR="00870A00">
        <w:t xml:space="preserve"> “</w:t>
      </w:r>
      <w:r w:rsidR="00870A00" w:rsidRPr="00870A00">
        <w:t>It is well settled that affidavits of third parties as to unsworn statements of jurors are not competent evidence of juror misconduct.</w:t>
      </w:r>
      <w:r w:rsidR="00870A00">
        <w:t>”</w:t>
      </w:r>
      <w:r w:rsidR="00823358">
        <w:t>)</w:t>
      </w:r>
      <w:r w:rsidR="00431929">
        <w:t xml:space="preserve"> </w:t>
      </w:r>
      <w:r w:rsidR="00870A00">
        <w:t>(citations omitted)</w:t>
      </w:r>
      <w:r w:rsidR="0067350A">
        <w:t xml:space="preserve">; </w:t>
      </w:r>
      <w:r w:rsidR="0067350A" w:rsidRPr="00231484">
        <w:rPr>
          <w:i/>
        </w:rPr>
        <w:t>State v. Wassenaar</w:t>
      </w:r>
      <w:r w:rsidR="0067350A" w:rsidRPr="00231484">
        <w:t>, 215 Ariz. 565, 576</w:t>
      </w:r>
      <w:r w:rsidR="0067350A">
        <w:t xml:space="preserve"> ¶ 44 </w:t>
      </w:r>
      <w:r w:rsidR="0067350A" w:rsidRPr="00231484">
        <w:t>(App. 2007)</w:t>
      </w:r>
      <w:r w:rsidRPr="00231484">
        <w:t>.</w:t>
      </w:r>
    </w:p>
    <w:p w14:paraId="18D1DAE2" w14:textId="5C886915" w:rsidR="00561FC4" w:rsidRDefault="00105DEB" w:rsidP="00561FC4">
      <w:pPr>
        <w:spacing w:line="480" w:lineRule="auto"/>
        <w:ind w:firstLine="720"/>
        <w:jc w:val="both"/>
      </w:pPr>
      <w:r>
        <w:t xml:space="preserve">The foregoing decisions are merely examples.  </w:t>
      </w:r>
      <w:r w:rsidR="00231484">
        <w:t>Arizona case law</w:t>
      </w:r>
      <w:r w:rsidRPr="00105DEB">
        <w:t xml:space="preserve">, </w:t>
      </w:r>
      <w:r w:rsidR="00823358">
        <w:t>both</w:t>
      </w:r>
      <w:r w:rsidR="00823358" w:rsidRPr="00105DEB">
        <w:t xml:space="preserve"> </w:t>
      </w:r>
      <w:r w:rsidRPr="00105DEB">
        <w:t xml:space="preserve">recent and dating to the earliest days of statehood, is replete with parties’ reliance on juror affidavits obtained through post-trial investigation.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State v. Nelson</w:t>
      </w:r>
      <w:r w:rsidRPr="00105DEB">
        <w:t>, 229 Ariz. 180, 190-91 ¶</w:t>
      </w:r>
      <w:r w:rsidR="00431929">
        <w:t xml:space="preserve"> </w:t>
      </w:r>
      <w:r w:rsidRPr="00105DEB">
        <w:t xml:space="preserve">47 (2012);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State v. Dickens</w:t>
      </w:r>
      <w:r w:rsidRPr="00105DEB">
        <w:t xml:space="preserve">, 187 Ariz. 1, 15 (1996);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Dunn v. Maras</w:t>
      </w:r>
      <w:r w:rsidRPr="00105DEB">
        <w:t xml:space="preserve">, 182 Ariz. 412, 419-20 (App. 1995);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State v. Walker</w:t>
      </w:r>
      <w:r w:rsidRPr="00105DEB">
        <w:t>, 181 Ariz. 475, 483-</w:t>
      </w:r>
      <w:r w:rsidR="00823358">
        <w:t>8</w:t>
      </w:r>
      <w:r w:rsidRPr="00105DEB">
        <w:t xml:space="preserve">4 (App. 1995); </w:t>
      </w:r>
      <w:r w:rsidR="00BB2149" w:rsidRPr="00105DEB">
        <w:rPr>
          <w:lang w:val="en-CA"/>
        </w:rPr>
        <w:fldChar w:fldCharType="begin"/>
      </w:r>
      <w:r w:rsidRPr="00105DEB">
        <w:rPr>
          <w:lang w:val="en-CA"/>
        </w:rPr>
        <w:instrText xml:space="preserve"> SEQ CHAPTER \h \r 1</w:instrText>
      </w:r>
      <w:r w:rsidR="00BB2149" w:rsidRPr="00105DEB">
        <w:fldChar w:fldCharType="end"/>
      </w:r>
      <w:proofErr w:type="spellStart"/>
      <w:r w:rsidRPr="00105DEB">
        <w:rPr>
          <w:i/>
          <w:iCs/>
        </w:rPr>
        <w:t>Richtmyre</w:t>
      </w:r>
      <w:proofErr w:type="spellEnd"/>
      <w:r w:rsidRPr="00105DEB">
        <w:rPr>
          <w:i/>
          <w:iCs/>
        </w:rPr>
        <w:t xml:space="preserve"> v. State</w:t>
      </w:r>
      <w:r w:rsidRPr="00105DEB">
        <w:t xml:space="preserve">, 175 Ariz. 489, 491 (App. 1993);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Brooks v. Zahn</w:t>
      </w:r>
      <w:r w:rsidRPr="00105DEB">
        <w:t xml:space="preserve">, 170 Ariz. 545, 548 (App. 1991);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 xml:space="preserve">Kirby v. </w:t>
      </w:r>
      <w:proofErr w:type="spellStart"/>
      <w:r w:rsidRPr="00105DEB">
        <w:rPr>
          <w:i/>
          <w:iCs/>
        </w:rPr>
        <w:t>Rosell</w:t>
      </w:r>
      <w:proofErr w:type="spellEnd"/>
      <w:r w:rsidRPr="00105DEB">
        <w:t xml:space="preserve">, 133 Ariz. 42, 43 (App. 1982); </w:t>
      </w:r>
      <w:r w:rsidR="00BB2149" w:rsidRPr="00105DEB">
        <w:rPr>
          <w:lang w:val="en-CA"/>
        </w:rPr>
        <w:fldChar w:fldCharType="begin"/>
      </w:r>
      <w:r w:rsidRPr="00105DEB">
        <w:rPr>
          <w:lang w:val="en-CA"/>
        </w:rPr>
        <w:instrText xml:space="preserve"> SEQ CHAPTER \h \r 1</w:instrText>
      </w:r>
      <w:r w:rsidR="00BB2149" w:rsidRPr="00105DEB">
        <w:fldChar w:fldCharType="end"/>
      </w:r>
      <w:r w:rsidRPr="00105DEB">
        <w:rPr>
          <w:i/>
          <w:iCs/>
        </w:rPr>
        <w:t>State v. Poland</w:t>
      </w:r>
      <w:r w:rsidRPr="00105DEB">
        <w:t xml:space="preserve">, 132 Ariz. 269, 282 (1982); </w:t>
      </w:r>
      <w:r w:rsidRPr="00105DEB">
        <w:rPr>
          <w:i/>
        </w:rPr>
        <w:t>Valley Nat</w:t>
      </w:r>
      <w:r w:rsidR="00823358">
        <w:rPr>
          <w:i/>
        </w:rPr>
        <w:t>’</w:t>
      </w:r>
      <w:r w:rsidRPr="00105DEB">
        <w:rPr>
          <w:i/>
        </w:rPr>
        <w:t>l Bank v. Haney</w:t>
      </w:r>
      <w:r w:rsidRPr="00105DEB">
        <w:t>, 27 Ariz.</w:t>
      </w:r>
      <w:r w:rsidR="00823358">
        <w:t xml:space="preserve"> </w:t>
      </w:r>
      <w:r w:rsidRPr="00105DEB">
        <w:t xml:space="preserve">App. 692, 693 (1976); </w:t>
      </w:r>
      <w:r w:rsidRPr="00105DEB">
        <w:rPr>
          <w:i/>
        </w:rPr>
        <w:t>Board of Trustees Eloy Elementary Sch</w:t>
      </w:r>
      <w:r w:rsidR="00823358">
        <w:rPr>
          <w:i/>
        </w:rPr>
        <w:t>.</w:t>
      </w:r>
      <w:r w:rsidRPr="00105DEB">
        <w:rPr>
          <w:i/>
        </w:rPr>
        <w:t xml:space="preserve"> Dist. v. McEwen</w:t>
      </w:r>
      <w:r w:rsidRPr="00105DEB">
        <w:t xml:space="preserve">, 6 Ariz. App. 148, 149 (1967); </w:t>
      </w:r>
      <w:r w:rsidRPr="00105DEB">
        <w:rPr>
          <w:i/>
        </w:rPr>
        <w:t>Webb v. Hardin</w:t>
      </w:r>
      <w:r w:rsidRPr="00105DEB">
        <w:t xml:space="preserve">, 53 Ariz. 310, 312 (1939); </w:t>
      </w:r>
      <w:r w:rsidRPr="00105DEB">
        <w:rPr>
          <w:i/>
        </w:rPr>
        <w:t>S</w:t>
      </w:r>
      <w:r w:rsidR="00F65C1C">
        <w:rPr>
          <w:i/>
        </w:rPr>
        <w:t>outhwest</w:t>
      </w:r>
      <w:r w:rsidR="00823358">
        <w:rPr>
          <w:i/>
        </w:rPr>
        <w:t>.</w:t>
      </w:r>
      <w:r w:rsidRPr="00105DEB">
        <w:rPr>
          <w:i/>
        </w:rPr>
        <w:t xml:space="preserve"> Cotton Co. v. Ryan</w:t>
      </w:r>
      <w:r w:rsidRPr="00105DEB">
        <w:t xml:space="preserve">, 22 Ariz. 520, 524 (1921); </w:t>
      </w:r>
      <w:r w:rsidRPr="00105DEB">
        <w:rPr>
          <w:i/>
        </w:rPr>
        <w:t>Hull v. Larson</w:t>
      </w:r>
      <w:r w:rsidRPr="00105DEB">
        <w:t>, 14 Ariz. 492, 495 (1913).</w:t>
      </w:r>
      <w:r w:rsidR="003605DE">
        <w:t xml:space="preserve">  </w:t>
      </w:r>
      <w:r w:rsidR="003605DE">
        <w:rPr>
          <w:i/>
        </w:rPr>
        <w:t>See also State v. Aguilar</w:t>
      </w:r>
      <w:r w:rsidR="003605DE">
        <w:t>, 224 Ariz. 299</w:t>
      </w:r>
      <w:r w:rsidR="00572E4B">
        <w:t xml:space="preserve">-300 </w:t>
      </w:r>
      <w:r w:rsidR="00BE1C39" w:rsidRPr="00105DEB">
        <w:t>¶¶</w:t>
      </w:r>
      <w:r w:rsidR="00431929">
        <w:t xml:space="preserve"> </w:t>
      </w:r>
      <w:r w:rsidR="00BE1C39">
        <w:t xml:space="preserve">1-3 </w:t>
      </w:r>
      <w:r w:rsidR="00572E4B">
        <w:t xml:space="preserve">(App. 2010) (ordering new trial where bailiff </w:t>
      </w:r>
      <w:r w:rsidR="00572E4B">
        <w:lastRenderedPageBreak/>
        <w:t>stumbled upon evidence of juror misconduct that could have been discovered through post-trial juror interviews).</w:t>
      </w:r>
    </w:p>
    <w:p w14:paraId="71806986" w14:textId="6A92E7B7" w:rsidR="00444EDB" w:rsidRPr="00561FC4" w:rsidRDefault="003605DE" w:rsidP="00561FC4">
      <w:pPr>
        <w:pStyle w:val="ListParagraph"/>
        <w:numPr>
          <w:ilvl w:val="0"/>
          <w:numId w:val="3"/>
        </w:numPr>
        <w:spacing w:line="240" w:lineRule="auto"/>
        <w:jc w:val="both"/>
        <w:rPr>
          <w:b/>
        </w:rPr>
      </w:pPr>
      <w:r w:rsidRPr="00561FC4">
        <w:rPr>
          <w:b/>
          <w:u w:val="single"/>
        </w:rPr>
        <w:t>The constitutional right to challenge verdicts based on</w:t>
      </w:r>
      <w:r w:rsidR="00561FC4" w:rsidRPr="00561FC4">
        <w:rPr>
          <w:b/>
          <w:u w:val="single"/>
        </w:rPr>
        <w:t xml:space="preserve"> m</w:t>
      </w:r>
      <w:r w:rsidR="00444EDB" w:rsidRPr="00561FC4">
        <w:rPr>
          <w:b/>
          <w:u w:val="single"/>
        </w:rPr>
        <w:t>isconduct in jury rooms is expanding</w:t>
      </w:r>
      <w:r w:rsidR="00561FC4" w:rsidRPr="00561FC4">
        <w:rPr>
          <w:b/>
          <w:u w:val="single"/>
        </w:rPr>
        <w:t>,</w:t>
      </w:r>
    </w:p>
    <w:p w14:paraId="1FB6798B" w14:textId="77777777" w:rsidR="00444EDB" w:rsidRDefault="00444EDB" w:rsidP="00444EDB">
      <w:pPr>
        <w:pStyle w:val="ListParagraph"/>
        <w:spacing w:line="240" w:lineRule="auto"/>
        <w:ind w:left="1800"/>
        <w:jc w:val="both"/>
      </w:pPr>
    </w:p>
    <w:p w14:paraId="2F2C0DA7" w14:textId="57FAC40B" w:rsidR="003E1F26" w:rsidRDefault="00444EDB" w:rsidP="00444EDB">
      <w:pPr>
        <w:pStyle w:val="ListParagraph"/>
        <w:spacing w:line="480" w:lineRule="auto"/>
        <w:ind w:left="0"/>
        <w:jc w:val="both"/>
      </w:pPr>
      <w:r>
        <w:tab/>
        <w:t xml:space="preserve">In </w:t>
      </w:r>
      <w:r>
        <w:rPr>
          <w:i/>
        </w:rPr>
        <w:t>Pena-Rodriguez v. Colorado</w:t>
      </w:r>
      <w:r>
        <w:t>, 137 S.</w:t>
      </w:r>
      <w:r w:rsidR="00431929">
        <w:t xml:space="preserve"> </w:t>
      </w:r>
      <w:r>
        <w:t>Ct. 855 (2017), the Court established a constitutional exception to the</w:t>
      </w:r>
      <w:r w:rsidR="003605DE" w:rsidRPr="00561FC4">
        <w:t xml:space="preserve"> </w:t>
      </w:r>
      <w:r w:rsidRPr="00561FC4">
        <w:t>centuries-old limitation on post-trial inquiries into jury deliberations.  The Court recognized that the common law Mansf</w:t>
      </w:r>
      <w:r w:rsidR="00A56029" w:rsidRPr="00561FC4">
        <w:t xml:space="preserve">ield </w:t>
      </w:r>
      <w:r w:rsidR="00561FC4">
        <w:t>R</w:t>
      </w:r>
      <w:r w:rsidR="00A56029" w:rsidRPr="00561FC4">
        <w:t>ule prohibited jurors “</w:t>
      </w:r>
      <w:r w:rsidR="00A56029">
        <w:t xml:space="preserve">from testifying either about their subjective mental processes or about objective events that occurred during deliberations.”  </w:t>
      </w:r>
      <w:r w:rsidR="00A56029">
        <w:rPr>
          <w:i/>
        </w:rPr>
        <w:t>Id</w:t>
      </w:r>
      <w:r w:rsidR="00A56029">
        <w:t>. at 863.</w:t>
      </w:r>
      <w:r w:rsidR="00376665">
        <w:t xml:space="preserve">  </w:t>
      </w:r>
      <w:r w:rsidR="003B2B82">
        <w:t xml:space="preserve">This standard eventually evolved into Federal Rule of Evidence 606(b)(1), which provides, in pertinent part, “[A] juror may not testify </w:t>
      </w:r>
      <w:r w:rsidR="003B2B82" w:rsidRPr="003B2B82">
        <w:t>about any statement made or incident that occurred during the jury’s deliberations</w:t>
      </w:r>
      <w:r w:rsidR="003B2B82">
        <w:t xml:space="preserve"> …”</w:t>
      </w:r>
      <w:r w:rsidR="00D94226">
        <w:t xml:space="preserve">  </w:t>
      </w:r>
      <w:r w:rsidR="000F15A3">
        <w:t>E</w:t>
      </w:r>
      <w:r w:rsidR="002D428C">
        <w:t>very state has adopted some v</w:t>
      </w:r>
      <w:r w:rsidR="003E1F26">
        <w:t>ariation</w:t>
      </w:r>
      <w:r w:rsidR="002D428C">
        <w:t xml:space="preserve"> of the rule.  </w:t>
      </w:r>
      <w:r w:rsidR="002D428C">
        <w:rPr>
          <w:i/>
        </w:rPr>
        <w:t>Id</w:t>
      </w:r>
      <w:r w:rsidR="002D428C">
        <w:t xml:space="preserve">. at 865.  </w:t>
      </w:r>
    </w:p>
    <w:p w14:paraId="72AB86F8" w14:textId="354D3FE5" w:rsidR="00F57189" w:rsidRDefault="003E1F26" w:rsidP="00FF5E32">
      <w:pPr>
        <w:pStyle w:val="ListParagraph"/>
        <w:spacing w:line="480" w:lineRule="auto"/>
        <w:ind w:left="0"/>
        <w:jc w:val="both"/>
      </w:pPr>
      <w:r>
        <w:tab/>
      </w:r>
      <w:r w:rsidR="002D428C">
        <w:t xml:space="preserve">Before </w:t>
      </w:r>
      <w:r w:rsidR="002D428C">
        <w:rPr>
          <w:i/>
        </w:rPr>
        <w:t>Pena-Rodriguez</w:t>
      </w:r>
      <w:r w:rsidR="002D428C">
        <w:t xml:space="preserve">, the Court had never found an exception to the rule.  </w:t>
      </w:r>
      <w:r w:rsidR="002D428C">
        <w:rPr>
          <w:i/>
        </w:rPr>
        <w:t>Id</w:t>
      </w:r>
      <w:r w:rsidR="002D428C">
        <w:t>. at 866.</w:t>
      </w:r>
      <w:r>
        <w:t xml:space="preserve">  </w:t>
      </w:r>
      <w:r w:rsidR="00F57189">
        <w:t xml:space="preserve">However, the Court spoke strongly in announcing an exception </w:t>
      </w:r>
      <w:r>
        <w:t xml:space="preserve">designed </w:t>
      </w:r>
      <w:r w:rsidR="00F57189">
        <w:t>to battle racism in the courtroom, “</w:t>
      </w:r>
      <w:r w:rsidR="00F57189" w:rsidRPr="00F57189">
        <w:t>A constitutional rule that racial bias in the justice system must be addressed—including, in some instances, after the verdict has been entered—is necessary to prevent a systemic loss of confidence in jury verdicts, a confidence that is a central premise of the Sixth Amendment trial right.</w:t>
      </w:r>
      <w:r w:rsidR="00F57189">
        <w:t xml:space="preserve">”  </w:t>
      </w:r>
      <w:r w:rsidR="00F57189">
        <w:rPr>
          <w:i/>
        </w:rPr>
        <w:t>Id</w:t>
      </w:r>
      <w:r w:rsidR="00F57189">
        <w:t>. at 869.  Jurors must be encouraged to reveal racism and other misconduct that may taint convictions.  Adoption of MCAO’s proposal would deter jurors from doing so.</w:t>
      </w:r>
    </w:p>
    <w:p w14:paraId="62CC8EA5" w14:textId="0BC31CF1" w:rsidR="009E2FB3" w:rsidRDefault="00561FC4" w:rsidP="00561FC4">
      <w:pPr>
        <w:pStyle w:val="ListParagraph"/>
        <w:spacing w:line="480" w:lineRule="auto"/>
        <w:ind w:left="0"/>
        <w:jc w:val="both"/>
      </w:pPr>
      <w:r>
        <w:lastRenderedPageBreak/>
        <w:t xml:space="preserve">   </w:t>
      </w:r>
      <w:r w:rsidRPr="00F65738">
        <w:rPr>
          <w:b/>
        </w:rPr>
        <w:t>4.</w:t>
      </w:r>
      <w:r>
        <w:tab/>
      </w:r>
      <w:r w:rsidR="00AB177B" w:rsidRPr="00561FC4">
        <w:rPr>
          <w:b/>
          <w:u w:val="single"/>
        </w:rPr>
        <w:t>MCAO</w:t>
      </w:r>
      <w:r w:rsidR="004F27C6" w:rsidRPr="00561FC4">
        <w:rPr>
          <w:b/>
          <w:u w:val="single"/>
        </w:rPr>
        <w:t xml:space="preserve"> </w:t>
      </w:r>
      <w:r w:rsidR="00F65738">
        <w:rPr>
          <w:b/>
          <w:u w:val="single"/>
        </w:rPr>
        <w:t>cites</w:t>
      </w:r>
      <w:r w:rsidR="004F27C6" w:rsidRPr="00561FC4">
        <w:rPr>
          <w:b/>
          <w:u w:val="single"/>
        </w:rPr>
        <w:t xml:space="preserve"> no </w:t>
      </w:r>
      <w:r w:rsidRPr="00561FC4">
        <w:rPr>
          <w:b/>
          <w:u w:val="single"/>
        </w:rPr>
        <w:t>persuasive</w:t>
      </w:r>
      <w:r w:rsidR="004F27C6" w:rsidRPr="00561FC4">
        <w:rPr>
          <w:b/>
          <w:u w:val="single"/>
        </w:rPr>
        <w:t xml:space="preserve"> authority</w:t>
      </w:r>
      <w:r w:rsidR="00AB177B" w:rsidRPr="00561FC4">
        <w:rPr>
          <w:b/>
          <w:u w:val="single"/>
        </w:rPr>
        <w:t xml:space="preserve"> in support of the proposal</w:t>
      </w:r>
      <w:r w:rsidRPr="00561FC4">
        <w:rPr>
          <w:b/>
          <w:u w:val="single"/>
        </w:rPr>
        <w:t>.</w:t>
      </w:r>
    </w:p>
    <w:p w14:paraId="579091A6" w14:textId="0A4ABFAD" w:rsidR="004F27C6" w:rsidRDefault="00EA3FB7" w:rsidP="004F27C6">
      <w:pPr>
        <w:spacing w:line="480" w:lineRule="auto"/>
        <w:ind w:firstLine="720"/>
        <w:jc w:val="both"/>
      </w:pPr>
      <w:r>
        <w:t>MCAO only</w:t>
      </w:r>
      <w:r w:rsidR="00AB177B">
        <w:t xml:space="preserve"> cites</w:t>
      </w:r>
      <w:r>
        <w:t xml:space="preserve"> two </w:t>
      </w:r>
      <w:r w:rsidR="00BD1411">
        <w:t>Arizona Court of Appeals decisions</w:t>
      </w:r>
      <w:r>
        <w:t xml:space="preserve"> </w:t>
      </w:r>
      <w:r w:rsidR="00BD1411">
        <w:t>in</w:t>
      </w:r>
      <w:r>
        <w:t xml:space="preserve"> support</w:t>
      </w:r>
      <w:r w:rsidR="00BD1411">
        <w:t xml:space="preserve"> of</w:t>
      </w:r>
      <w:r>
        <w:t xml:space="preserve"> its proposal.  It primarily relies on </w:t>
      </w:r>
      <w:r w:rsidR="00BD1411">
        <w:rPr>
          <w:i/>
        </w:rPr>
        <w:t>Stewart v. Carroll</w:t>
      </w:r>
      <w:r w:rsidR="00BD1411">
        <w:t>, 214 Ariz. 480 (App. 2007), but fails to do so accurately.  The</w:t>
      </w:r>
      <w:r w:rsidR="00876C65">
        <w:t xml:space="preserve"> case addressed</w:t>
      </w:r>
      <w:r w:rsidR="00807A9C">
        <w:t xml:space="preserve"> </w:t>
      </w:r>
      <w:r w:rsidR="00BD1411">
        <w:t>A.R.S. §</w:t>
      </w:r>
      <w:r w:rsidR="00431929">
        <w:t xml:space="preserve"> </w:t>
      </w:r>
      <w:r w:rsidR="00BD1411">
        <w:t>21-202(</w:t>
      </w:r>
      <w:r w:rsidR="00876C65">
        <w:t>B)(1), which permits excusal of a “</w:t>
      </w:r>
      <w:r w:rsidR="00876C65">
        <w:rPr>
          <w:sz w:val="24"/>
          <w:szCs w:val="24"/>
          <w:lang w:val="en-CA"/>
        </w:rPr>
        <w:fldChar w:fldCharType="begin"/>
      </w:r>
      <w:r w:rsidR="00876C65">
        <w:rPr>
          <w:sz w:val="24"/>
          <w:szCs w:val="24"/>
          <w:lang w:val="en-CA"/>
        </w:rPr>
        <w:instrText xml:space="preserve"> SEQ CHAPTER \h \r 1</w:instrText>
      </w:r>
      <w:r w:rsidR="00876C65">
        <w:rPr>
          <w:sz w:val="24"/>
          <w:szCs w:val="24"/>
          <w:lang w:val="en-CA"/>
        </w:rPr>
        <w:fldChar w:fldCharType="end"/>
      </w:r>
      <w:r w:rsidR="00876C65">
        <w:t xml:space="preserve">prospective juror [who] has a mental or physical condition that causes the juror to be incapable of performing jury service.”  The defendant challenged </w:t>
      </w:r>
      <w:r w:rsidR="0048435C">
        <w:t>§</w:t>
      </w:r>
      <w:r w:rsidR="00431929">
        <w:t xml:space="preserve"> </w:t>
      </w:r>
      <w:r w:rsidR="0048435C">
        <w:t>21-202(B)(4)(e) to the extent that it provided that medical records submitted by such prospective jurors</w:t>
      </w:r>
      <w:r w:rsidR="00876C65">
        <w:t xml:space="preserve"> </w:t>
      </w:r>
      <w:r w:rsidR="0048435C">
        <w:t>“are not public records and shall not be disclosed to the general public.”</w:t>
      </w:r>
      <w:r w:rsidR="005E2372">
        <w:t xml:space="preserve">  The </w:t>
      </w:r>
      <w:r w:rsidR="00431929">
        <w:t xml:space="preserve">court rejected the defendant’s </w:t>
      </w:r>
      <w:r w:rsidR="005E2372">
        <w:t xml:space="preserve">challenge based on </w:t>
      </w:r>
      <w:r w:rsidR="00431929">
        <w:t>the</w:t>
      </w:r>
      <w:r w:rsidR="005E2372">
        <w:t xml:space="preserve"> mandate</w:t>
      </w:r>
      <w:r w:rsidR="00431929">
        <w:t xml:space="preserve"> in article 2, section 11 of the Arizona Constitution</w:t>
      </w:r>
      <w:r w:rsidR="005E2372">
        <w:t xml:space="preserve"> that “justice in all cases shall be administered openly …”  </w:t>
      </w:r>
      <w:r w:rsidR="005E2372">
        <w:rPr>
          <w:i/>
        </w:rPr>
        <w:t>Id</w:t>
      </w:r>
      <w:r w:rsidR="005E2372">
        <w:t xml:space="preserve">. at 484 </w:t>
      </w:r>
      <w:r w:rsidR="00431929">
        <w:t xml:space="preserve">¶ </w:t>
      </w:r>
      <w:r w:rsidR="005E2372">
        <w:t>18.  The court held, “</w:t>
      </w:r>
      <w:r w:rsidR="005E2372">
        <w:rPr>
          <w:sz w:val="24"/>
          <w:szCs w:val="24"/>
          <w:lang w:val="en-CA"/>
        </w:rPr>
        <w:fldChar w:fldCharType="begin"/>
      </w:r>
      <w:r w:rsidR="005E2372">
        <w:rPr>
          <w:sz w:val="24"/>
          <w:szCs w:val="24"/>
          <w:lang w:val="en-CA"/>
        </w:rPr>
        <w:instrText xml:space="preserve"> SEQ CHAPTER \h \r 1</w:instrText>
      </w:r>
      <w:r w:rsidR="005E2372">
        <w:rPr>
          <w:sz w:val="24"/>
          <w:szCs w:val="24"/>
          <w:lang w:val="en-CA"/>
        </w:rPr>
        <w:fldChar w:fldCharType="end"/>
      </w:r>
      <w:r w:rsidR="005E2372">
        <w:t xml:space="preserve">The legislature's decision to maintain the confidentiality of medical statements submitted by prospective jurors does not infringe the constitutional requirement of ‘public judicial proceedings’ …”  </w:t>
      </w:r>
      <w:r w:rsidR="005E2372">
        <w:rPr>
          <w:i/>
        </w:rPr>
        <w:t>Id</w:t>
      </w:r>
      <w:r w:rsidR="005E2372">
        <w:t xml:space="preserve">. at </w:t>
      </w:r>
      <w:r w:rsidR="00431929">
        <w:t xml:space="preserve">¶ </w:t>
      </w:r>
      <w:r w:rsidR="005E2372">
        <w:t>20.</w:t>
      </w:r>
    </w:p>
    <w:p w14:paraId="1CB061C1" w14:textId="14DFAE12" w:rsidR="00561FC4" w:rsidRDefault="005E2372" w:rsidP="004F27C6">
      <w:pPr>
        <w:spacing w:line="480" w:lineRule="auto"/>
        <w:ind w:firstLine="720"/>
        <w:jc w:val="both"/>
      </w:pPr>
      <w:r>
        <w:t xml:space="preserve">MCAO </w:t>
      </w:r>
      <w:r w:rsidR="002C03E2">
        <w:t xml:space="preserve">claims </w:t>
      </w:r>
      <w:r w:rsidR="002C03E2">
        <w:rPr>
          <w:i/>
        </w:rPr>
        <w:t>Stewart</w:t>
      </w:r>
      <w:r w:rsidR="002C03E2">
        <w:t xml:space="preserve"> to be an example of “the court [having] shielded disclosure of a prospective juror’s medical condition from public disclosure …”  </w:t>
      </w:r>
      <w:r w:rsidR="00431929">
        <w:t xml:space="preserve">Petition </w:t>
      </w:r>
      <w:r w:rsidR="002C03E2">
        <w:t xml:space="preserve">at 2.  However, as the court noted, it was the legislature that provided the protection.  Further, </w:t>
      </w:r>
      <w:r w:rsidR="00431929">
        <w:t xml:space="preserve">that </w:t>
      </w:r>
      <w:r w:rsidR="002C03E2">
        <w:t>statute does not shield the medical records from consideration in court or from the defense; it only keeps them from being public records.  Finally, the court pointed out</w:t>
      </w:r>
      <w:r w:rsidR="003744F3">
        <w:t>, “</w:t>
      </w:r>
      <w:r w:rsidR="003744F3">
        <w:rPr>
          <w:sz w:val="24"/>
          <w:szCs w:val="24"/>
          <w:lang w:val="en-CA"/>
        </w:rPr>
        <w:fldChar w:fldCharType="begin"/>
      </w:r>
      <w:r w:rsidR="003744F3">
        <w:rPr>
          <w:sz w:val="24"/>
          <w:szCs w:val="24"/>
          <w:lang w:val="en-CA"/>
        </w:rPr>
        <w:instrText xml:space="preserve"> SEQ CHAPTER \h \r 1</w:instrText>
      </w:r>
      <w:r w:rsidR="003744F3">
        <w:rPr>
          <w:sz w:val="24"/>
          <w:szCs w:val="24"/>
          <w:lang w:val="en-CA"/>
        </w:rPr>
        <w:fldChar w:fldCharType="end"/>
      </w:r>
      <w:r w:rsidR="003744F3">
        <w:t xml:space="preserve">[T]he open-courts requirement ‘does not </w:t>
      </w:r>
      <w:r w:rsidR="003744F3">
        <w:lastRenderedPageBreak/>
        <w:t xml:space="preserve">guarantee a defendant access to information that he or she desires. Any constitutional right to this information must be found elsewhere.’”  </w:t>
      </w:r>
      <w:r w:rsidR="00431929">
        <w:rPr>
          <w:i/>
        </w:rPr>
        <w:t>Stewart</w:t>
      </w:r>
      <w:r w:rsidR="00431929">
        <w:t xml:space="preserve">, </w:t>
      </w:r>
      <w:r w:rsidR="003744F3">
        <w:t>214 Ariz. at 48</w:t>
      </w:r>
      <w:r w:rsidR="00DF6693">
        <w:t>5</w:t>
      </w:r>
      <w:r w:rsidR="003744F3">
        <w:t xml:space="preserve"> </w:t>
      </w:r>
      <w:r w:rsidR="00431929">
        <w:t xml:space="preserve">¶ </w:t>
      </w:r>
      <w:r w:rsidR="003744F3">
        <w:t>20</w:t>
      </w:r>
      <w:r w:rsidR="00DF6693">
        <w:t xml:space="preserve">, </w:t>
      </w:r>
      <w:r w:rsidR="00DF6693">
        <w:rPr>
          <w:i/>
        </w:rPr>
        <w:t>quoting</w:t>
      </w:r>
      <w:r w:rsidR="00DF6693">
        <w:t xml:space="preserve"> </w:t>
      </w:r>
      <w:r w:rsidR="00DF6693">
        <w:rPr>
          <w:sz w:val="24"/>
          <w:szCs w:val="24"/>
          <w:lang w:val="en-CA"/>
        </w:rPr>
        <w:fldChar w:fldCharType="begin"/>
      </w:r>
      <w:r w:rsidR="00DF6693">
        <w:rPr>
          <w:sz w:val="24"/>
          <w:szCs w:val="24"/>
          <w:lang w:val="en-CA"/>
        </w:rPr>
        <w:instrText xml:space="preserve"> SEQ CHAPTER \h \r 1</w:instrText>
      </w:r>
      <w:r w:rsidR="00DF6693">
        <w:rPr>
          <w:sz w:val="24"/>
          <w:szCs w:val="24"/>
          <w:lang w:val="en-CA"/>
        </w:rPr>
        <w:fldChar w:fldCharType="end"/>
      </w:r>
      <w:r w:rsidR="00DF6693">
        <w:rPr>
          <w:i/>
          <w:iCs/>
        </w:rPr>
        <w:t>State v. Ramirez,</w:t>
      </w:r>
      <w:r w:rsidR="00DF6693">
        <w:t xml:space="preserve"> 178 Ariz. 116, 127 (1994)</w:t>
      </w:r>
      <w:r w:rsidR="003744F3">
        <w:t xml:space="preserve">.  In other words, </w:t>
      </w:r>
      <w:r w:rsidR="00094AC3">
        <w:t xml:space="preserve">the court left open the option that this narrow category of information may be exposed under </w:t>
      </w:r>
      <w:r w:rsidR="003744F3">
        <w:t xml:space="preserve">other constitutional provisions.  </w:t>
      </w:r>
      <w:r w:rsidR="002C03E2">
        <w:t xml:space="preserve"> </w:t>
      </w:r>
    </w:p>
    <w:p w14:paraId="5ECB2117" w14:textId="1B0CBB60" w:rsidR="00094AC3" w:rsidRDefault="00094AC3" w:rsidP="004F27C6">
      <w:pPr>
        <w:spacing w:line="480" w:lineRule="auto"/>
        <w:ind w:firstLine="720"/>
        <w:jc w:val="both"/>
      </w:pPr>
      <w:r>
        <w:t xml:space="preserve">MCAO also cites </w:t>
      </w:r>
      <w:r>
        <w:rPr>
          <w:i/>
        </w:rPr>
        <w:t xml:space="preserve">State v. </w:t>
      </w:r>
      <w:proofErr w:type="spellStart"/>
      <w:r>
        <w:rPr>
          <w:i/>
        </w:rPr>
        <w:t>Olague</w:t>
      </w:r>
      <w:proofErr w:type="spellEnd"/>
      <w:r>
        <w:t>, 240 Ariz. 475</w:t>
      </w:r>
      <w:r w:rsidR="00460ED0">
        <w:t xml:space="preserve"> (App. 2016).  After he was convicted, </w:t>
      </w:r>
      <w:proofErr w:type="spellStart"/>
      <w:r w:rsidR="00460ED0">
        <w:t>Olague</w:t>
      </w:r>
      <w:proofErr w:type="spellEnd"/>
      <w:r w:rsidR="00460ED0">
        <w:t xml:space="preserve"> filed two motions for a new trial based on juror misconduct, “</w:t>
      </w:r>
      <w:r w:rsidR="00460ED0">
        <w:rPr>
          <w:sz w:val="24"/>
          <w:szCs w:val="24"/>
          <w:lang w:val="en-CA"/>
        </w:rPr>
        <w:fldChar w:fldCharType="begin"/>
      </w:r>
      <w:r w:rsidR="00460ED0">
        <w:rPr>
          <w:sz w:val="24"/>
          <w:szCs w:val="24"/>
          <w:lang w:val="en-CA"/>
        </w:rPr>
        <w:instrText xml:space="preserve"> SEQ CHAPTER \h \r 1</w:instrText>
      </w:r>
      <w:r w:rsidR="00460ED0">
        <w:rPr>
          <w:sz w:val="24"/>
          <w:szCs w:val="24"/>
          <w:lang w:val="en-CA"/>
        </w:rPr>
        <w:fldChar w:fldCharType="end"/>
      </w:r>
      <w:r w:rsidR="00460ED0">
        <w:t xml:space="preserve">The trial court denied the motions and prohibited </w:t>
      </w:r>
      <w:proofErr w:type="spellStart"/>
      <w:r w:rsidR="00460ED0">
        <w:t>Olague</w:t>
      </w:r>
      <w:proofErr w:type="spellEnd"/>
      <w:r w:rsidR="00460ED0">
        <w:t xml:space="preserve"> from initiating further contact with jurors absent the court's prior approval.”  </w:t>
      </w:r>
      <w:r w:rsidR="00460ED0">
        <w:rPr>
          <w:i/>
        </w:rPr>
        <w:t>Id.</w:t>
      </w:r>
      <w:r w:rsidR="00460ED0">
        <w:t xml:space="preserve"> at 477 </w:t>
      </w:r>
      <w:r w:rsidR="00431929">
        <w:t xml:space="preserve">¶ </w:t>
      </w:r>
      <w:r w:rsidR="00460ED0">
        <w:t xml:space="preserve">4.  The appellate court found no abuse of discretion.  </w:t>
      </w:r>
      <w:r w:rsidR="00460ED0">
        <w:rPr>
          <w:i/>
        </w:rPr>
        <w:t>Id</w:t>
      </w:r>
      <w:r w:rsidR="00460ED0">
        <w:t xml:space="preserve">. at 480 </w:t>
      </w:r>
      <w:r w:rsidR="00431929">
        <w:t xml:space="preserve">¶ </w:t>
      </w:r>
      <w:r w:rsidR="00460ED0">
        <w:t>17.</w:t>
      </w:r>
      <w:r w:rsidR="00CB17EA">
        <w:t xml:space="preserve">  It first concluded that the juror declarations filed in support of the motion did not establish grounds for a new trial.  </w:t>
      </w:r>
      <w:r w:rsidR="00CB17EA">
        <w:rPr>
          <w:i/>
        </w:rPr>
        <w:t>Id</w:t>
      </w:r>
      <w:r w:rsidR="00CB17EA">
        <w:t xml:space="preserve">. at 480-481 </w:t>
      </w:r>
      <w:r w:rsidR="00431929">
        <w:t xml:space="preserve">¶¶ </w:t>
      </w:r>
      <w:r w:rsidR="00CB17EA">
        <w:t xml:space="preserve">19-20.  </w:t>
      </w:r>
    </w:p>
    <w:p w14:paraId="50AA6FAC" w14:textId="527D0DBE" w:rsidR="00CB17EA" w:rsidRDefault="004940B2" w:rsidP="004F27C6">
      <w:pPr>
        <w:spacing w:line="480" w:lineRule="auto"/>
        <w:ind w:firstLine="720"/>
        <w:jc w:val="both"/>
      </w:pPr>
      <w:r>
        <w:t>Second, a</w:t>
      </w:r>
      <w:r w:rsidR="00CB17EA">
        <w:t xml:space="preserve">s to the trial judge’s requirement that </w:t>
      </w:r>
      <w:proofErr w:type="spellStart"/>
      <w:r w:rsidR="00CB17EA">
        <w:t>Olague</w:t>
      </w:r>
      <w:proofErr w:type="spellEnd"/>
      <w:r w:rsidR="00CB17EA">
        <w:t xml:space="preserve"> show good cause before </w:t>
      </w:r>
      <w:r>
        <w:t>further contacting</w:t>
      </w:r>
      <w:r w:rsidR="00CB17EA">
        <w:t xml:space="preserve"> jurors, the court noted that it upheld such an order in </w:t>
      </w:r>
      <w:r w:rsidR="00CB17EA">
        <w:rPr>
          <w:i/>
        </w:rPr>
        <w:t>State v. Paxton</w:t>
      </w:r>
      <w:r w:rsidR="00CB17EA">
        <w:t xml:space="preserve">, 145 Ariz. 396, 397 (App. 1985), though “with little reasoning or analysis …”  240 Ariz. at 481 </w:t>
      </w:r>
      <w:bookmarkStart w:id="3" w:name="_Hlk7031740"/>
      <w:r w:rsidR="00431929">
        <w:t xml:space="preserve">¶ </w:t>
      </w:r>
      <w:bookmarkEnd w:id="3"/>
      <w:r w:rsidR="00CB17EA">
        <w:t xml:space="preserve">23.  Regardless, the </w:t>
      </w:r>
      <w:proofErr w:type="spellStart"/>
      <w:r w:rsidR="00CB17EA">
        <w:rPr>
          <w:i/>
        </w:rPr>
        <w:t>Olague</w:t>
      </w:r>
      <w:proofErr w:type="spellEnd"/>
      <w:r w:rsidR="00CB17EA">
        <w:t xml:space="preserve"> court </w:t>
      </w:r>
      <w:r w:rsidR="008D3474">
        <w:t>stated</w:t>
      </w:r>
      <w:r w:rsidR="00CB17EA">
        <w:t>:</w:t>
      </w:r>
    </w:p>
    <w:p w14:paraId="4DDB25A6" w14:textId="2CAAE64E" w:rsidR="00CB17EA" w:rsidRDefault="008D3474">
      <w:pPr>
        <w:spacing w:line="240" w:lineRule="auto"/>
        <w:ind w:left="1008" w:right="1008"/>
        <w:jc w:val="both"/>
      </w:pPr>
      <w:r w:rsidRPr="008D3474">
        <w:t>Stare decisis therefore requires special justification to depart from existing precedent.</w:t>
      </w:r>
      <w:r w:rsidR="004940B2">
        <w:t xml:space="preserve"> </w:t>
      </w:r>
      <w:r w:rsidR="004940B2">
        <w:rPr>
          <w:i/>
        </w:rPr>
        <w:t xml:space="preserve">Turley v. </w:t>
      </w:r>
      <w:proofErr w:type="spellStart"/>
      <w:r w:rsidR="004940B2">
        <w:rPr>
          <w:i/>
        </w:rPr>
        <w:t>Ethington</w:t>
      </w:r>
      <w:proofErr w:type="spellEnd"/>
      <w:r w:rsidR="004940B2">
        <w:t xml:space="preserve">, 213 Ariz. 640 </w:t>
      </w:r>
      <w:r w:rsidR="00977852">
        <w:t xml:space="preserve">¶ </w:t>
      </w:r>
      <w:r w:rsidR="004940B2">
        <w:t>26 (App. 2006)</w:t>
      </w:r>
      <w:r w:rsidRPr="008D3474">
        <w:t>. Yet neither party has addressed</w:t>
      </w:r>
      <w:r w:rsidR="004940B2">
        <w:t xml:space="preserve"> </w:t>
      </w:r>
      <w:r w:rsidR="004940B2">
        <w:rPr>
          <w:i/>
        </w:rPr>
        <w:t>Paxton</w:t>
      </w:r>
      <w:r w:rsidRPr="008D3474">
        <w:t xml:space="preserve"> on appeal. Moreover, </w:t>
      </w:r>
      <w:proofErr w:type="spellStart"/>
      <w:r w:rsidRPr="008D3474">
        <w:t>Olague</w:t>
      </w:r>
      <w:proofErr w:type="spellEnd"/>
      <w:r w:rsidRPr="008D3474">
        <w:t xml:space="preserve"> has not developed a meaningful argument that the trial court's order prevented him from discovering any jury misconduct in this case.</w:t>
      </w:r>
    </w:p>
    <w:p w14:paraId="0D3F9481" w14:textId="5B30D6D4" w:rsidR="008D3474" w:rsidRDefault="008D3474">
      <w:pPr>
        <w:spacing w:line="240" w:lineRule="auto"/>
        <w:ind w:left="1008" w:right="1008"/>
        <w:jc w:val="both"/>
      </w:pPr>
    </w:p>
    <w:p w14:paraId="7BAE652B" w14:textId="5D16CB8D" w:rsidR="008D3474" w:rsidRDefault="008D3474" w:rsidP="008D3474">
      <w:pPr>
        <w:spacing w:line="480" w:lineRule="auto"/>
        <w:jc w:val="both"/>
      </w:pPr>
      <w:r>
        <w:rPr>
          <w:i/>
        </w:rPr>
        <w:lastRenderedPageBreak/>
        <w:t>Id</w:t>
      </w:r>
      <w:r>
        <w:t xml:space="preserve">.  The court further noted that </w:t>
      </w:r>
      <w:proofErr w:type="spellStart"/>
      <w:r>
        <w:t>Olague’s</w:t>
      </w:r>
      <w:proofErr w:type="spellEnd"/>
      <w:r>
        <w:t xml:space="preserve"> investigation obtained the contact information for eight jurors, that he had interviewed four, and submitted declarations from two.  </w:t>
      </w:r>
      <w:r>
        <w:rPr>
          <w:i/>
        </w:rPr>
        <w:t>Id</w:t>
      </w:r>
      <w:r>
        <w:t xml:space="preserve">. </w:t>
      </w:r>
      <w:r w:rsidR="00977852">
        <w:t xml:space="preserve">at 481-82 </w:t>
      </w:r>
      <w:r w:rsidRPr="008D3474">
        <w:t>¶</w:t>
      </w:r>
      <w:r w:rsidR="00977852">
        <w:t xml:space="preserve"> </w:t>
      </w:r>
      <w:r>
        <w:t>24.  I</w:t>
      </w:r>
      <w:r w:rsidR="004940B2">
        <w:t>n addition</w:t>
      </w:r>
      <w:r>
        <w:t>:</w:t>
      </w:r>
    </w:p>
    <w:p w14:paraId="2F65817A" w14:textId="27437C92" w:rsidR="008D3474" w:rsidRPr="00F252E5" w:rsidRDefault="008D3474" w:rsidP="008D3474">
      <w:pPr>
        <w:spacing w:line="240" w:lineRule="auto"/>
        <w:ind w:left="1008" w:right="1008"/>
        <w:jc w:val="both"/>
      </w:pPr>
      <w:r>
        <w:t xml:space="preserve">The time for filing a new trial motion already had expired when the trial court made its order limiting his access to the jurors. </w:t>
      </w:r>
      <w:proofErr w:type="spellStart"/>
      <w:r>
        <w:t>Olague</w:t>
      </w:r>
      <w:proofErr w:type="spellEnd"/>
      <w:r>
        <w:t xml:space="preserve"> has not explained which jurors, if any, the court's order prevented him from contacting or attempting to contact. We therefore find no special justification, on the particular facts before us, to disturb our holding in </w:t>
      </w:r>
      <w:r w:rsidR="00F252E5">
        <w:rPr>
          <w:i/>
        </w:rPr>
        <w:t>Paxton</w:t>
      </w:r>
      <w:r w:rsidR="00F252E5">
        <w:t>.</w:t>
      </w:r>
    </w:p>
    <w:p w14:paraId="66E6FA22" w14:textId="4616D892" w:rsidR="008D3474" w:rsidRDefault="008D3474" w:rsidP="008D3474">
      <w:pPr>
        <w:spacing w:line="240" w:lineRule="auto"/>
        <w:ind w:left="1008" w:right="1008"/>
        <w:jc w:val="both"/>
      </w:pPr>
    </w:p>
    <w:p w14:paraId="757F3A4B" w14:textId="5D39FA6E" w:rsidR="008D3474" w:rsidRDefault="008D3474" w:rsidP="00FF5E32">
      <w:pPr>
        <w:spacing w:line="480" w:lineRule="auto"/>
        <w:jc w:val="both"/>
      </w:pPr>
      <w:r>
        <w:rPr>
          <w:i/>
        </w:rPr>
        <w:t>Id</w:t>
      </w:r>
      <w:proofErr w:type="gramStart"/>
      <w:r>
        <w:t xml:space="preserve">. </w:t>
      </w:r>
      <w:r w:rsidR="00575058">
        <w:t>.</w:t>
      </w:r>
      <w:proofErr w:type="gramEnd"/>
      <w:r w:rsidR="00575058">
        <w:t xml:space="preserve">  It is noteworthy that no reported decision has ever cited </w:t>
      </w:r>
      <w:proofErr w:type="spellStart"/>
      <w:r w:rsidR="00575058">
        <w:rPr>
          <w:i/>
        </w:rPr>
        <w:t>Olague</w:t>
      </w:r>
      <w:proofErr w:type="spellEnd"/>
      <w:r w:rsidR="00575058">
        <w:t xml:space="preserve"> or </w:t>
      </w:r>
      <w:r w:rsidR="00575058">
        <w:rPr>
          <w:i/>
        </w:rPr>
        <w:t>Paxton</w:t>
      </w:r>
      <w:r w:rsidR="00575058">
        <w:t xml:space="preserve"> to support the denial of a defendant’s right to conduct post-trial juror investigation.  The cases cited by MCAO do not support the broad changes to the criminal rules that it seeks.</w:t>
      </w:r>
    </w:p>
    <w:p w14:paraId="63333B2E" w14:textId="549DC3B4" w:rsidR="006E7C92" w:rsidRPr="00F65738" w:rsidRDefault="00F65738" w:rsidP="00F65738">
      <w:pPr>
        <w:pStyle w:val="ListParagraph"/>
        <w:numPr>
          <w:ilvl w:val="0"/>
          <w:numId w:val="6"/>
        </w:numPr>
        <w:spacing w:line="480" w:lineRule="auto"/>
        <w:jc w:val="both"/>
        <w:rPr>
          <w:b/>
          <w:u w:val="single"/>
        </w:rPr>
      </w:pPr>
      <w:r>
        <w:rPr>
          <w:b/>
          <w:u w:val="single"/>
        </w:rPr>
        <w:t xml:space="preserve">Current </w:t>
      </w:r>
      <w:r w:rsidR="00AB177B" w:rsidRPr="00F65738">
        <w:rPr>
          <w:b/>
          <w:u w:val="single"/>
        </w:rPr>
        <w:t xml:space="preserve">Arizona </w:t>
      </w:r>
      <w:r>
        <w:rPr>
          <w:b/>
          <w:u w:val="single"/>
        </w:rPr>
        <w:t>provisions</w:t>
      </w:r>
      <w:r w:rsidR="00AB177B" w:rsidRPr="00F65738">
        <w:rPr>
          <w:b/>
          <w:u w:val="single"/>
        </w:rPr>
        <w:t xml:space="preserve"> adequate</w:t>
      </w:r>
      <w:r>
        <w:rPr>
          <w:b/>
          <w:u w:val="single"/>
        </w:rPr>
        <w:t>ly</w:t>
      </w:r>
      <w:r w:rsidR="00AB177B" w:rsidRPr="00F65738">
        <w:rPr>
          <w:b/>
          <w:u w:val="single"/>
        </w:rPr>
        <w:t xml:space="preserve"> protect jurors’</w:t>
      </w:r>
      <w:r w:rsidR="000D5F5E" w:rsidRPr="00F65738">
        <w:rPr>
          <w:b/>
          <w:u w:val="single"/>
        </w:rPr>
        <w:t xml:space="preserve"> </w:t>
      </w:r>
      <w:r w:rsidR="00AB177B" w:rsidRPr="00F65738">
        <w:rPr>
          <w:b/>
          <w:u w:val="single"/>
        </w:rPr>
        <w:t>privacy</w:t>
      </w:r>
      <w:r w:rsidR="0008321E" w:rsidRPr="00F65738">
        <w:rPr>
          <w:b/>
          <w:u w:val="single"/>
        </w:rPr>
        <w:t xml:space="preserve">. </w:t>
      </w:r>
    </w:p>
    <w:p w14:paraId="31354DA5" w14:textId="5A261FFE" w:rsidR="0008321E" w:rsidRDefault="00C928B5" w:rsidP="00000252">
      <w:pPr>
        <w:spacing w:line="480" w:lineRule="auto"/>
        <w:jc w:val="both"/>
      </w:pPr>
      <w:r>
        <w:tab/>
      </w:r>
      <w:r w:rsidR="00F53F36">
        <w:t>ACRP</w:t>
      </w:r>
      <w:r w:rsidR="00977852">
        <w:t>,</w:t>
      </w:r>
      <w:r w:rsidR="00F53F36">
        <w:t xml:space="preserve"> MCPD</w:t>
      </w:r>
      <w:r w:rsidR="00977852">
        <w:t>, and AACJ</w:t>
      </w:r>
      <w:r w:rsidR="00F53F36">
        <w:t xml:space="preserve"> recognize that</w:t>
      </w:r>
      <w:r w:rsidR="005E14D9">
        <w:t xml:space="preserve"> juror</w:t>
      </w:r>
      <w:r w:rsidR="00F53F36">
        <w:t>s’</w:t>
      </w:r>
      <w:r w:rsidR="005E14D9">
        <w:t xml:space="preserve"> interest</w:t>
      </w:r>
      <w:r w:rsidR="00F53F36">
        <w:t>s</w:t>
      </w:r>
      <w:r w:rsidR="005E14D9">
        <w:t xml:space="preserve"> in privacy and being free of harassment are deserving of protection</w:t>
      </w:r>
      <w:r w:rsidR="00F53F36">
        <w:t>.  However, those interests</w:t>
      </w:r>
      <w:r w:rsidR="00850E1C" w:rsidRPr="00000252">
        <w:t xml:space="preserve"> are already </w:t>
      </w:r>
      <w:r w:rsidR="00F53F36">
        <w:t>sufficiently protected by Arizona’s rules,</w:t>
      </w:r>
      <w:r w:rsidR="00C86967">
        <w:t xml:space="preserve"> </w:t>
      </w:r>
      <w:r w:rsidR="00F53F36">
        <w:t>ethical standards, and caselaw</w:t>
      </w:r>
      <w:r w:rsidR="00850E1C" w:rsidRPr="00000252">
        <w:t>.</w:t>
      </w:r>
      <w:r w:rsidR="00F65738">
        <w:rPr>
          <w:rStyle w:val="FootnoteReference"/>
        </w:rPr>
        <w:footnoteReference w:id="1"/>
      </w:r>
      <w:r w:rsidR="00850E1C" w:rsidRPr="00000252">
        <w:t xml:space="preserve">  </w:t>
      </w:r>
    </w:p>
    <w:p w14:paraId="3CBBA9FC" w14:textId="03A626E6" w:rsidR="00C86967" w:rsidRDefault="0008321E" w:rsidP="00000252">
      <w:pPr>
        <w:spacing w:line="480" w:lineRule="auto"/>
        <w:jc w:val="both"/>
      </w:pPr>
      <w:r>
        <w:tab/>
      </w:r>
      <w:r w:rsidR="0076670D">
        <w:t>For example,</w:t>
      </w:r>
      <w:r w:rsidR="00C928B5">
        <w:t xml:space="preserve"> </w:t>
      </w:r>
      <w:r w:rsidR="00C86967">
        <w:t xml:space="preserve">Rule 18.3(b) </w:t>
      </w:r>
      <w:r w:rsidR="00F65738">
        <w:t>provides</w:t>
      </w:r>
      <w:r w:rsidR="00C86967">
        <w:t>, “The court must keep all jurors' home and business telephone numbers and addresses confidential, and may not disclose them unless good cause is shown.”  Rule 18.5</w:t>
      </w:r>
      <w:r w:rsidR="001E0466">
        <w:t xml:space="preserve">(e) mandates that, during </w:t>
      </w:r>
      <w:proofErr w:type="spellStart"/>
      <w:r w:rsidR="001E0466">
        <w:t>voir</w:t>
      </w:r>
      <w:proofErr w:type="spellEnd"/>
      <w:r w:rsidR="001E0466">
        <w:t xml:space="preserve"> dire, </w:t>
      </w:r>
      <w:r w:rsidR="001E0466">
        <w:lastRenderedPageBreak/>
        <w:t>“The court must ensure the reasonable protection of the prospective jurors</w:t>
      </w:r>
      <w:r w:rsidR="00977852">
        <w:t>’</w:t>
      </w:r>
      <w:r w:rsidR="001E0466">
        <w:t xml:space="preserve"> privacy.”  Rule 18.6(d)(4) ensures that notes jurors take are destroyed at the conclusion of trial. </w:t>
      </w:r>
    </w:p>
    <w:p w14:paraId="5ED471E6" w14:textId="49F00B7E" w:rsidR="000C16E5" w:rsidRDefault="0085287F" w:rsidP="00000252">
      <w:pPr>
        <w:spacing w:line="480" w:lineRule="auto"/>
        <w:jc w:val="both"/>
      </w:pPr>
      <w:r>
        <w:tab/>
        <w:t xml:space="preserve">At the close of trial, Rule 22.5(c) requires the court to “advise the jurors that they are released from service.”  Further, “If appropriate, the court must release them from their duty of confidentiality and explain their rights regarding inquiries from counsel, the media, or any person.”  Rule 24.1(d) limits the scope of juror testimony at hearings on post-trial motions, thus removing any incentive a party might have to </w:t>
      </w:r>
      <w:r w:rsidR="000C16E5">
        <w:t>pepper a former juror with irrelevant, intrusive questions.</w:t>
      </w:r>
      <w:r w:rsidR="0076670D">
        <w:t xml:space="preserve"> </w:t>
      </w:r>
    </w:p>
    <w:p w14:paraId="6114B94A" w14:textId="34D3C457" w:rsidR="00CE1CDE" w:rsidRDefault="000C16E5" w:rsidP="00000252">
      <w:pPr>
        <w:spacing w:line="480" w:lineRule="auto"/>
        <w:jc w:val="both"/>
      </w:pPr>
      <w:r>
        <w:tab/>
        <w:t>T</w:t>
      </w:r>
      <w:r w:rsidR="0076670D">
        <w:t xml:space="preserve">he </w:t>
      </w:r>
      <w:r w:rsidR="00C928B5">
        <w:t>Arizona Rules</w:t>
      </w:r>
      <w:r w:rsidR="00823358">
        <w:t xml:space="preserve"> of Professional Conduct</w:t>
      </w:r>
      <w:r w:rsidR="00C928B5">
        <w:t xml:space="preserve"> </w:t>
      </w:r>
      <w:r>
        <w:t xml:space="preserve">also protect jurors’ privacy.  They recognize </w:t>
      </w:r>
      <w:r w:rsidR="0076670D">
        <w:t xml:space="preserve">that </w:t>
      </w:r>
      <w:r w:rsidR="00C928B5">
        <w:t xml:space="preserve">a lawyer may </w:t>
      </w:r>
      <w:r>
        <w:t>approach</w:t>
      </w:r>
      <w:r w:rsidR="00C928B5">
        <w:t xml:space="preserve"> a juror after the jury has been discharged</w:t>
      </w:r>
      <w:r w:rsidR="0076670D">
        <w:t>,</w:t>
      </w:r>
      <w:r w:rsidR="00C928B5">
        <w:t xml:space="preserve"> but require that the lawyer “respect the desire of the juror not to talk with the lawyer</w:t>
      </w:r>
      <w:r w:rsidR="00823358">
        <w:t>,</w:t>
      </w:r>
      <w:r w:rsidR="00C928B5">
        <w:t xml:space="preserve">” and the lawyer “may not engage in improper conduct during the communication.”  </w:t>
      </w:r>
      <w:r w:rsidR="003E1901">
        <w:t>Ariz.</w:t>
      </w:r>
      <w:r w:rsidR="00823358">
        <w:t xml:space="preserve"> </w:t>
      </w:r>
      <w:r w:rsidR="003E1901">
        <w:t>R.</w:t>
      </w:r>
      <w:r w:rsidR="00823358">
        <w:t xml:space="preserve"> </w:t>
      </w:r>
      <w:r w:rsidR="003E1901">
        <w:t>Sup.</w:t>
      </w:r>
      <w:r w:rsidR="00823358">
        <w:t xml:space="preserve"> </w:t>
      </w:r>
      <w:r w:rsidR="003E1901">
        <w:t>Ct. 42, E.R.</w:t>
      </w:r>
      <w:r w:rsidR="00C928B5">
        <w:t xml:space="preserve"> 3.5(c) &amp; </w:t>
      </w:r>
      <w:proofErr w:type="spellStart"/>
      <w:r w:rsidR="003E1901">
        <w:t>cmt</w:t>
      </w:r>
      <w:proofErr w:type="spellEnd"/>
      <w:r w:rsidR="003E1901">
        <w:t>. [3]</w:t>
      </w:r>
      <w:r w:rsidR="00C928B5">
        <w:t xml:space="preserve">; </w:t>
      </w:r>
      <w:r w:rsidR="00C928B5">
        <w:rPr>
          <w:i/>
        </w:rPr>
        <w:t xml:space="preserve">see also </w:t>
      </w:r>
      <w:r w:rsidR="00B85915" w:rsidRPr="00B85915">
        <w:rPr>
          <w:smallCaps/>
        </w:rPr>
        <w:t xml:space="preserve">ABA </w:t>
      </w:r>
      <w:r w:rsidR="00DE6EF2" w:rsidRPr="00DE6EF2">
        <w:t xml:space="preserve">Model Rules of </w:t>
      </w:r>
      <w:proofErr w:type="spellStart"/>
      <w:r w:rsidR="00DE6EF2" w:rsidRPr="00DE6EF2">
        <w:t>Prof’l</w:t>
      </w:r>
      <w:proofErr w:type="spellEnd"/>
      <w:r w:rsidR="00DE6EF2" w:rsidRPr="00DE6EF2">
        <w:t xml:space="preserve"> Conduct</w:t>
      </w:r>
      <w:r w:rsidR="00C928B5">
        <w:t xml:space="preserve"> </w:t>
      </w:r>
      <w:r w:rsidR="00307338">
        <w:t xml:space="preserve">R. </w:t>
      </w:r>
      <w:r w:rsidR="00C928B5">
        <w:t xml:space="preserve">3.5(c) &amp; </w:t>
      </w:r>
      <w:proofErr w:type="spellStart"/>
      <w:r w:rsidR="003E1901">
        <w:t>cmt</w:t>
      </w:r>
      <w:proofErr w:type="spellEnd"/>
      <w:r w:rsidR="003E1901">
        <w:t>. [3]</w:t>
      </w:r>
      <w:r w:rsidR="00C928B5">
        <w:t xml:space="preserve">.  </w:t>
      </w:r>
      <w:r w:rsidR="00D71F16">
        <w:t xml:space="preserve">The ABA Criminal Justice Standards also </w:t>
      </w:r>
      <w:r>
        <w:t>provide</w:t>
      </w:r>
      <w:r w:rsidR="00D71F16">
        <w:t xml:space="preserve"> that defense counsel “should not intentionally make comments to or ask questions of a juror for the purpose of harassing or embarrassing the juror in any way which will tend to influence judgment in future jury service.”  </w:t>
      </w:r>
      <w:r w:rsidR="00DE6EF2" w:rsidRPr="00DE6EF2">
        <w:t xml:space="preserve">ABA Standards for Criminal Justice: Prosecution </w:t>
      </w:r>
      <w:r w:rsidR="00823358">
        <w:t>&amp;</w:t>
      </w:r>
      <w:r w:rsidR="00DE6EF2" w:rsidRPr="00DE6EF2">
        <w:t xml:space="preserve"> Defense Function</w:t>
      </w:r>
      <w:r w:rsidR="00307338">
        <w:t xml:space="preserve">, Defense Function </w:t>
      </w:r>
      <w:r w:rsidR="00D71F16">
        <w:t xml:space="preserve">Standard 4-7.3.  </w:t>
      </w:r>
      <w:r w:rsidR="00535FEA">
        <w:t xml:space="preserve">Finally, as noted in </w:t>
      </w:r>
      <w:r w:rsidR="00977852">
        <w:t xml:space="preserve">Section </w:t>
      </w:r>
      <w:r w:rsidR="00F65738">
        <w:t>4</w:t>
      </w:r>
      <w:r w:rsidR="00535FEA">
        <w:t xml:space="preserve">, </w:t>
      </w:r>
      <w:r w:rsidR="00535FEA">
        <w:rPr>
          <w:i/>
        </w:rPr>
        <w:t>supra</w:t>
      </w:r>
      <w:r w:rsidR="00535FEA">
        <w:t>, Arizona’s appellate courts</w:t>
      </w:r>
      <w:r w:rsidR="00F65738">
        <w:t xml:space="preserve"> already</w:t>
      </w:r>
      <w:r w:rsidR="00535FEA">
        <w:t xml:space="preserve"> recognize that judges have discretion to limit parties’ post-trial contacts with jurors.</w:t>
      </w:r>
    </w:p>
    <w:p w14:paraId="04028496" w14:textId="54E3539E" w:rsidR="00535FEA" w:rsidRDefault="00CE1CDE" w:rsidP="00000252">
      <w:pPr>
        <w:spacing w:line="480" w:lineRule="auto"/>
        <w:jc w:val="both"/>
      </w:pPr>
      <w:r>
        <w:lastRenderedPageBreak/>
        <w:tab/>
        <w:t xml:space="preserve">In attempting to support its proposal, MCAO states, “Without </w:t>
      </w:r>
      <w:r w:rsidRPr="00564B9C">
        <w:t>citizens willing to serve, the constitutional right to a jury trial is meaningless.</w:t>
      </w:r>
      <w:r>
        <w:t>”  Petition at 2.  While certainly true, MCAO provides no evidence that existing rules and ethical standards fail to adequately protect jurors.  The proposal would, in fact, threaten this constitutional right by unnecessarily impairing defendants’ right to investigate violations of their right to a fair trial.</w:t>
      </w:r>
    </w:p>
    <w:p w14:paraId="4D2EA8B3" w14:textId="50B755CE" w:rsidR="00535FEA" w:rsidRPr="003933B3" w:rsidRDefault="00535FEA" w:rsidP="00000252">
      <w:pPr>
        <w:spacing w:line="480" w:lineRule="auto"/>
        <w:jc w:val="both"/>
      </w:pPr>
      <w:r>
        <w:tab/>
        <w:t xml:space="preserve">In light of the foregoing, it is unsurprising that </w:t>
      </w:r>
      <w:r w:rsidR="003933B3">
        <w:t xml:space="preserve">this Court rejected MCAO’s similar proposal five years ago.  </w:t>
      </w:r>
      <w:r w:rsidR="003933B3">
        <w:rPr>
          <w:i/>
        </w:rPr>
        <w:t>See</w:t>
      </w:r>
      <w:r w:rsidR="003933B3">
        <w:t xml:space="preserve"> R-14-0008.  It is similarly unsurprising that the Arizona Legislature rejected a similar statutory proposal earlier this year.  </w:t>
      </w:r>
      <w:r w:rsidR="003933B3">
        <w:rPr>
          <w:i/>
        </w:rPr>
        <w:t>See</w:t>
      </w:r>
      <w:r w:rsidR="003933B3">
        <w:t xml:space="preserve"> S.B. 1313, attached as Exhibit </w:t>
      </w:r>
      <w:r w:rsidR="00A06BDB">
        <w:t>A</w:t>
      </w:r>
      <w:r w:rsidR="003933B3">
        <w:t>.</w:t>
      </w:r>
    </w:p>
    <w:p w14:paraId="36731AF0" w14:textId="496161FB" w:rsidR="00535FEA" w:rsidRPr="00A06BDB" w:rsidRDefault="00A06BDB" w:rsidP="00F65738">
      <w:pPr>
        <w:pStyle w:val="ListParagraph"/>
        <w:numPr>
          <w:ilvl w:val="0"/>
          <w:numId w:val="6"/>
        </w:numPr>
        <w:spacing w:line="480" w:lineRule="auto"/>
        <w:jc w:val="both"/>
        <w:rPr>
          <w:b/>
        </w:rPr>
      </w:pPr>
      <w:r w:rsidRPr="00A06BDB">
        <w:rPr>
          <w:b/>
          <w:u w:val="single"/>
        </w:rPr>
        <w:t>MCAO presents no</w:t>
      </w:r>
      <w:r w:rsidR="00535FEA" w:rsidRPr="00A06BDB">
        <w:rPr>
          <w:b/>
          <w:u w:val="single"/>
        </w:rPr>
        <w:t xml:space="preserve"> evidence </w:t>
      </w:r>
      <w:r w:rsidRPr="00A06BDB">
        <w:rPr>
          <w:b/>
          <w:u w:val="single"/>
        </w:rPr>
        <w:t>supporting its proposal.</w:t>
      </w:r>
    </w:p>
    <w:p w14:paraId="6D5B1E70" w14:textId="67307738" w:rsidR="00535FEA" w:rsidRPr="00C928B5" w:rsidRDefault="00535FEA" w:rsidP="00696A86">
      <w:pPr>
        <w:pStyle w:val="ListParagraph"/>
        <w:spacing w:line="480" w:lineRule="auto"/>
        <w:ind w:left="0"/>
        <w:jc w:val="both"/>
      </w:pPr>
      <w:r>
        <w:tab/>
      </w:r>
      <w:r w:rsidR="003933B3">
        <w:t>MCAO’s</w:t>
      </w:r>
      <w:r w:rsidRPr="00535FEA">
        <w:t xml:space="preserve"> propose</w:t>
      </w:r>
      <w:r w:rsidR="00977852">
        <w:t>s</w:t>
      </w:r>
      <w:r w:rsidRPr="00535FEA">
        <w:t xml:space="preserve"> modifications </w:t>
      </w:r>
      <w:r w:rsidR="00977852">
        <w:t>based on</w:t>
      </w:r>
      <w:r w:rsidRPr="00535FEA">
        <w:t xml:space="preserve"> speculative and unsubstantiated concerns.  </w:t>
      </w:r>
      <w:r w:rsidR="003933B3">
        <w:t>It claims that unidentified</w:t>
      </w:r>
      <w:r w:rsidRPr="00535FEA">
        <w:t xml:space="preserve"> </w:t>
      </w:r>
      <w:r w:rsidR="003933B3">
        <w:t>“</w:t>
      </w:r>
      <w:r w:rsidRPr="00535FEA">
        <w:t xml:space="preserve">jurors contacted the State to express their displeasure at having their privacy invaded.”  </w:t>
      </w:r>
      <w:r w:rsidR="00977852">
        <w:t xml:space="preserve">Petition </w:t>
      </w:r>
      <w:r w:rsidRPr="00535FEA">
        <w:t xml:space="preserve">at 4.  MCAO </w:t>
      </w:r>
      <w:r w:rsidR="00EC6E63">
        <w:t>makes no claim that anyone who reached out to the jurors did anything illegal, unethical or improper</w:t>
      </w:r>
      <w:r w:rsidRPr="00535FEA">
        <w:t>.</w:t>
      </w:r>
      <w:r w:rsidR="00EC6E63">
        <w:t xml:space="preserve">  In fact, it is standard procedure for counsel in post-conviction capital cases to seek interviews with trial jurors.  </w:t>
      </w:r>
      <w:r w:rsidR="00977852">
        <w:t>The defense bar is</w:t>
      </w:r>
      <w:r w:rsidR="00EC6E63">
        <w:t xml:space="preserve"> unaware of a single claim of an improper statement or act made to a court, law enforcement, the State Bar or anyone else.</w:t>
      </w:r>
    </w:p>
    <w:p w14:paraId="7B9D8317" w14:textId="56EBF53E" w:rsidR="0008321E" w:rsidRPr="00DD59E4" w:rsidRDefault="00C928B5" w:rsidP="00D94988">
      <w:pPr>
        <w:autoSpaceDE w:val="0"/>
        <w:autoSpaceDN w:val="0"/>
        <w:adjustRightInd w:val="0"/>
        <w:spacing w:line="480" w:lineRule="auto"/>
        <w:jc w:val="both"/>
        <w:rPr>
          <w:color w:val="231F20"/>
        </w:rPr>
      </w:pPr>
      <w:r>
        <w:lastRenderedPageBreak/>
        <w:tab/>
      </w:r>
      <w:r w:rsidR="005057CD">
        <w:t xml:space="preserve">Further, if a juror, or anyone else with potentially relevant information, does not wish to speak to defense counsel, the person can simply decline and counsel will abide by such wishes.  </w:t>
      </w:r>
      <w:r w:rsidR="00A06BDB">
        <w:t>H</w:t>
      </w:r>
      <w:r w:rsidR="00EC6233">
        <w:t xml:space="preserve">owever, </w:t>
      </w:r>
      <w:r w:rsidR="00A06BDB">
        <w:t xml:space="preserve">it is AACJ, ACRP and MCPD’s experience that most </w:t>
      </w:r>
      <w:r w:rsidR="00EC6233">
        <w:t xml:space="preserve">jurors do not decline.  </w:t>
      </w:r>
      <w:r w:rsidR="00A06BDB">
        <w:t>This is also true of</w:t>
      </w:r>
      <w:r w:rsidR="00EC6233">
        <w:t xml:space="preserve"> jurors across the country</w:t>
      </w:r>
      <w:r w:rsidR="00A06BDB">
        <w:t xml:space="preserve"> who</w:t>
      </w:r>
      <w:r w:rsidR="00EC6233">
        <w:t xml:space="preserve"> have voluntarily consented to post-verdict interviews by counsel, academics, and the press.  </w:t>
      </w:r>
      <w:r w:rsidR="00EC6233">
        <w:rPr>
          <w:i/>
        </w:rPr>
        <w:t>See</w:t>
      </w:r>
      <w:r w:rsidR="00823358">
        <w:rPr>
          <w:i/>
        </w:rPr>
        <w:t>,</w:t>
      </w:r>
      <w:r w:rsidR="00EC6233">
        <w:rPr>
          <w:i/>
        </w:rPr>
        <w:t xml:space="preserve"> e.g.</w:t>
      </w:r>
      <w:r w:rsidR="00EC6233">
        <w:t xml:space="preserve">, </w:t>
      </w:r>
      <w:r w:rsidR="00BF0102">
        <w:t xml:space="preserve">Neil </w:t>
      </w:r>
      <w:r w:rsidR="00BF0102" w:rsidRPr="00DD59E4">
        <w:rPr>
          <w:color w:val="231F20"/>
        </w:rPr>
        <w:t>Vidmar</w:t>
      </w:r>
      <w:r w:rsidR="001F087D">
        <w:rPr>
          <w:color w:val="231F20"/>
        </w:rPr>
        <w:t>,</w:t>
      </w:r>
      <w:r w:rsidR="00BF0102" w:rsidRPr="00DD59E4">
        <w:rPr>
          <w:color w:val="231F20"/>
        </w:rPr>
        <w:t xml:space="preserve"> </w:t>
      </w:r>
      <w:r w:rsidR="00BF0102" w:rsidRPr="00834614">
        <w:rPr>
          <w:iCs/>
          <w:smallCaps/>
          <w:color w:val="231F20"/>
        </w:rPr>
        <w:t>Medical Malpractice and the American Jury: Confronting the Myths About Jury Incompetence, Deep Pockets, and Outrageous Jury Awards</w:t>
      </w:r>
      <w:r w:rsidR="00BF0102" w:rsidRPr="00DD59E4">
        <w:rPr>
          <w:color w:val="231F20"/>
        </w:rPr>
        <w:t xml:space="preserve"> </w:t>
      </w:r>
      <w:r w:rsidR="00BF0102">
        <w:rPr>
          <w:color w:val="231F20"/>
        </w:rPr>
        <w:t>(</w:t>
      </w:r>
      <w:r w:rsidR="00BF0102" w:rsidRPr="00DD59E4">
        <w:rPr>
          <w:color w:val="231F20"/>
        </w:rPr>
        <w:t>1995</w:t>
      </w:r>
      <w:r w:rsidR="00BF0102">
        <w:rPr>
          <w:color w:val="231F20"/>
        </w:rPr>
        <w:t>)</w:t>
      </w:r>
      <w:r w:rsidR="00BF0102" w:rsidRPr="00DD59E4">
        <w:rPr>
          <w:color w:val="231F20"/>
        </w:rPr>
        <w:t xml:space="preserve"> </w:t>
      </w:r>
      <w:r w:rsidR="00BF0102" w:rsidRPr="00DD59E4">
        <w:t>(</w:t>
      </w:r>
      <w:r w:rsidR="00BF0102" w:rsidRPr="00DD59E4">
        <w:rPr>
          <w:color w:val="231F20"/>
        </w:rPr>
        <w:t xml:space="preserve">Vidmar conducted detailed interviews with </w:t>
      </w:r>
      <w:r w:rsidR="00BF0102">
        <w:rPr>
          <w:color w:val="231F20"/>
        </w:rPr>
        <w:t xml:space="preserve">jurors in five medical </w:t>
      </w:r>
      <w:r w:rsidR="00BF0102" w:rsidRPr="00DD59E4">
        <w:rPr>
          <w:color w:val="231F20"/>
        </w:rPr>
        <w:t>malpractice cases)</w:t>
      </w:r>
      <w:r w:rsidR="00BF0102">
        <w:rPr>
          <w:color w:val="231F20"/>
        </w:rPr>
        <w:t>;</w:t>
      </w:r>
      <w:r w:rsidR="00BF0102" w:rsidRPr="00DD59E4">
        <w:rPr>
          <w:color w:val="231F20"/>
        </w:rPr>
        <w:t xml:space="preserve"> </w:t>
      </w:r>
      <w:r w:rsidR="00EC6233">
        <w:t xml:space="preserve">William J. </w:t>
      </w:r>
      <w:r w:rsidR="00EC6233" w:rsidRPr="00DD59E4">
        <w:t xml:space="preserve">Bowers, </w:t>
      </w:r>
      <w:r w:rsidR="00EC6233" w:rsidRPr="00DD59E4">
        <w:rPr>
          <w:i/>
        </w:rPr>
        <w:t>The Capital Jury Project:  Rationale Design and a Preview of Early Findings</w:t>
      </w:r>
      <w:r w:rsidR="00EC6233" w:rsidRPr="00DD59E4">
        <w:t>, 70 Ind. L.J. 1043, 1077-79 (1993) (describing interviews of 1201 jurors across 14 sta</w:t>
      </w:r>
      <w:r w:rsidR="00DD59E4">
        <w:t>tes conducted by researchers)</w:t>
      </w:r>
      <w:r w:rsidR="00307338">
        <w:t>;</w:t>
      </w:r>
      <w:r w:rsidR="00DD59E4">
        <w:t xml:space="preserve"> </w:t>
      </w:r>
      <w:proofErr w:type="spellStart"/>
      <w:r w:rsidR="007B4ECB">
        <w:rPr>
          <w:color w:val="231F20"/>
        </w:rPr>
        <w:t>Sanja</w:t>
      </w:r>
      <w:proofErr w:type="spellEnd"/>
      <w:r w:rsidR="007B4ECB">
        <w:rPr>
          <w:color w:val="231F20"/>
        </w:rPr>
        <w:t xml:space="preserve"> </w:t>
      </w:r>
      <w:proofErr w:type="spellStart"/>
      <w:r w:rsidR="007B4ECB" w:rsidRPr="00DD59E4">
        <w:rPr>
          <w:color w:val="231F20"/>
        </w:rPr>
        <w:t>Kutjnak</w:t>
      </w:r>
      <w:proofErr w:type="spellEnd"/>
      <w:r w:rsidR="007B4ECB" w:rsidRPr="00DD59E4">
        <w:rPr>
          <w:color w:val="231F20"/>
        </w:rPr>
        <w:t xml:space="preserve"> </w:t>
      </w:r>
      <w:proofErr w:type="spellStart"/>
      <w:r w:rsidR="007B4ECB" w:rsidRPr="00DD59E4">
        <w:rPr>
          <w:color w:val="231F20"/>
        </w:rPr>
        <w:t>Ivkovich</w:t>
      </w:r>
      <w:proofErr w:type="spellEnd"/>
      <w:r w:rsidR="00823358">
        <w:rPr>
          <w:color w:val="231F20"/>
        </w:rPr>
        <w:t xml:space="preserve"> </w:t>
      </w:r>
      <w:r w:rsidR="007B4ECB">
        <w:rPr>
          <w:color w:val="231F20"/>
        </w:rPr>
        <w:t>&amp;</w:t>
      </w:r>
      <w:r w:rsidR="007B4ECB" w:rsidRPr="00DD59E4">
        <w:rPr>
          <w:color w:val="231F20"/>
        </w:rPr>
        <w:t xml:space="preserve"> </w:t>
      </w:r>
      <w:r w:rsidR="007B4ECB">
        <w:rPr>
          <w:color w:val="231F20"/>
        </w:rPr>
        <w:t xml:space="preserve">Valerie </w:t>
      </w:r>
      <w:r w:rsidR="007B4ECB" w:rsidRPr="00DD59E4">
        <w:rPr>
          <w:color w:val="231F20"/>
        </w:rPr>
        <w:t>Hans</w:t>
      </w:r>
      <w:r w:rsidR="007B4ECB">
        <w:rPr>
          <w:color w:val="231F20"/>
        </w:rPr>
        <w:t>,</w:t>
      </w:r>
      <w:r w:rsidR="007B4ECB" w:rsidRPr="00DD59E4">
        <w:rPr>
          <w:color w:val="231F20"/>
        </w:rPr>
        <w:t xml:space="preserve"> </w:t>
      </w:r>
      <w:r w:rsidR="007B4ECB" w:rsidRPr="00075EF6">
        <w:rPr>
          <w:i/>
          <w:color w:val="231F20"/>
        </w:rPr>
        <w:t xml:space="preserve">Jurors’ </w:t>
      </w:r>
      <w:r w:rsidR="000F2B04">
        <w:rPr>
          <w:i/>
          <w:color w:val="231F20"/>
        </w:rPr>
        <w:t>E</w:t>
      </w:r>
      <w:r w:rsidR="007B4ECB" w:rsidRPr="00075EF6">
        <w:rPr>
          <w:i/>
          <w:color w:val="231F20"/>
        </w:rPr>
        <w:t>valuations of</w:t>
      </w:r>
      <w:r w:rsidR="007B4ECB" w:rsidRPr="00075EF6">
        <w:rPr>
          <w:i/>
          <w:iCs/>
          <w:color w:val="231F20"/>
        </w:rPr>
        <w:t xml:space="preserve"> </w:t>
      </w:r>
      <w:r w:rsidR="000F2B04">
        <w:rPr>
          <w:i/>
          <w:color w:val="231F20"/>
        </w:rPr>
        <w:t>E</w:t>
      </w:r>
      <w:r w:rsidR="007B4ECB" w:rsidRPr="00075EF6">
        <w:rPr>
          <w:i/>
          <w:color w:val="231F20"/>
        </w:rPr>
        <w:t xml:space="preserve">xpert </w:t>
      </w:r>
      <w:r w:rsidR="000F2B04">
        <w:rPr>
          <w:i/>
          <w:color w:val="231F20"/>
        </w:rPr>
        <w:t>T</w:t>
      </w:r>
      <w:r w:rsidR="007B4ECB" w:rsidRPr="00075EF6">
        <w:rPr>
          <w:i/>
          <w:color w:val="231F20"/>
        </w:rPr>
        <w:t xml:space="preserve">estimony: </w:t>
      </w:r>
      <w:r w:rsidR="000F2B04">
        <w:rPr>
          <w:i/>
          <w:color w:val="231F20"/>
        </w:rPr>
        <w:t>J</w:t>
      </w:r>
      <w:r w:rsidR="007B4ECB" w:rsidRPr="00075EF6">
        <w:rPr>
          <w:i/>
          <w:color w:val="231F20"/>
        </w:rPr>
        <w:t xml:space="preserve">udging the </w:t>
      </w:r>
      <w:r w:rsidR="000F2B04">
        <w:rPr>
          <w:i/>
          <w:color w:val="231F20"/>
        </w:rPr>
        <w:t>M</w:t>
      </w:r>
      <w:r w:rsidR="007B4ECB" w:rsidRPr="00075EF6">
        <w:rPr>
          <w:i/>
          <w:color w:val="231F20"/>
        </w:rPr>
        <w:t xml:space="preserve">essenger and the </w:t>
      </w:r>
      <w:r w:rsidR="000F2B04">
        <w:rPr>
          <w:i/>
          <w:color w:val="231F20"/>
        </w:rPr>
        <w:t>M</w:t>
      </w:r>
      <w:r w:rsidR="007B4ECB" w:rsidRPr="00075EF6">
        <w:rPr>
          <w:i/>
          <w:color w:val="231F20"/>
        </w:rPr>
        <w:t>essage</w:t>
      </w:r>
      <w:r w:rsidR="007B4ECB">
        <w:rPr>
          <w:color w:val="231F20"/>
        </w:rPr>
        <w:t>,</w:t>
      </w:r>
      <w:r w:rsidR="007B4ECB">
        <w:rPr>
          <w:i/>
          <w:iCs/>
          <w:color w:val="231F20"/>
        </w:rPr>
        <w:t xml:space="preserve"> </w:t>
      </w:r>
      <w:r w:rsidR="007B4ECB">
        <w:rPr>
          <w:iCs/>
          <w:color w:val="231F20"/>
        </w:rPr>
        <w:t xml:space="preserve">28 </w:t>
      </w:r>
      <w:r w:rsidR="007B4ECB" w:rsidRPr="00075EF6">
        <w:rPr>
          <w:iCs/>
          <w:color w:val="231F20"/>
        </w:rPr>
        <w:t xml:space="preserve">Law </w:t>
      </w:r>
      <w:r w:rsidR="007B4ECB">
        <w:rPr>
          <w:iCs/>
          <w:color w:val="231F20"/>
        </w:rPr>
        <w:t xml:space="preserve">&amp; </w:t>
      </w:r>
      <w:r w:rsidR="007B4ECB" w:rsidRPr="00075EF6">
        <w:rPr>
          <w:iCs/>
          <w:color w:val="231F20"/>
        </w:rPr>
        <w:t>Soc</w:t>
      </w:r>
      <w:r w:rsidR="007B4ECB">
        <w:rPr>
          <w:iCs/>
          <w:color w:val="231F20"/>
        </w:rPr>
        <w:t>.</w:t>
      </w:r>
      <w:r w:rsidR="007B4ECB" w:rsidRPr="00075EF6">
        <w:rPr>
          <w:iCs/>
          <w:color w:val="231F20"/>
        </w:rPr>
        <w:t xml:space="preserve"> Inquiry</w:t>
      </w:r>
      <w:r w:rsidR="007B4ECB">
        <w:rPr>
          <w:iCs/>
          <w:color w:val="231F20"/>
        </w:rPr>
        <w:t xml:space="preserve"> 441-82 (</w:t>
      </w:r>
      <w:r w:rsidR="007B4ECB" w:rsidRPr="00DD59E4">
        <w:rPr>
          <w:color w:val="231F20"/>
        </w:rPr>
        <w:t>2003</w:t>
      </w:r>
      <w:r w:rsidR="007B4ECB">
        <w:rPr>
          <w:color w:val="231F20"/>
        </w:rPr>
        <w:t>)</w:t>
      </w:r>
      <w:r w:rsidR="007B4ECB" w:rsidRPr="00DD59E4">
        <w:rPr>
          <w:color w:val="231F20"/>
        </w:rPr>
        <w:t xml:space="preserve"> (</w:t>
      </w:r>
      <w:proofErr w:type="spellStart"/>
      <w:r w:rsidR="007B4ECB" w:rsidRPr="00DD59E4">
        <w:rPr>
          <w:color w:val="231F20"/>
        </w:rPr>
        <w:t>Ivkovich</w:t>
      </w:r>
      <w:proofErr w:type="spellEnd"/>
      <w:r w:rsidR="007B4ECB" w:rsidRPr="00DD59E4">
        <w:rPr>
          <w:color w:val="231F20"/>
        </w:rPr>
        <w:t xml:space="preserve"> and Hans conducted interviews</w:t>
      </w:r>
      <w:r w:rsidR="007B4ECB">
        <w:rPr>
          <w:color w:val="231F20"/>
        </w:rPr>
        <w:t xml:space="preserve"> </w:t>
      </w:r>
      <w:r w:rsidR="007B4ECB" w:rsidRPr="00DD59E4">
        <w:rPr>
          <w:color w:val="231F20"/>
        </w:rPr>
        <w:t>with a sample of 269 jurors who decided</w:t>
      </w:r>
      <w:r w:rsidR="007B4ECB">
        <w:rPr>
          <w:color w:val="231F20"/>
        </w:rPr>
        <w:t xml:space="preserve"> </w:t>
      </w:r>
      <w:r w:rsidR="007B4ECB" w:rsidRPr="00DD59E4">
        <w:rPr>
          <w:color w:val="231F20"/>
        </w:rPr>
        <w:t>cases involving business and corporate defendants)</w:t>
      </w:r>
      <w:r w:rsidR="007B4ECB">
        <w:rPr>
          <w:color w:val="231F20"/>
        </w:rPr>
        <w:t xml:space="preserve">; </w:t>
      </w:r>
      <w:r w:rsidR="00834614">
        <w:rPr>
          <w:color w:val="231F20"/>
        </w:rPr>
        <w:t xml:space="preserve">Daniel </w:t>
      </w:r>
      <w:r w:rsidR="00D71F16" w:rsidRPr="00DD59E4">
        <w:rPr>
          <w:color w:val="231F20"/>
        </w:rPr>
        <w:t xml:space="preserve">Shuman </w:t>
      </w:r>
      <w:r w:rsidR="00834614">
        <w:rPr>
          <w:color w:val="231F20"/>
        </w:rPr>
        <w:t>&amp; Anthony</w:t>
      </w:r>
      <w:r w:rsidR="00D71F16" w:rsidRPr="00DD59E4">
        <w:rPr>
          <w:color w:val="231F20"/>
        </w:rPr>
        <w:t xml:space="preserve"> Champagne</w:t>
      </w:r>
      <w:r w:rsidR="00834614">
        <w:rPr>
          <w:color w:val="231F20"/>
        </w:rPr>
        <w:t>,</w:t>
      </w:r>
      <w:r w:rsidR="00D71F16" w:rsidRPr="00DD59E4">
        <w:rPr>
          <w:color w:val="231F20"/>
        </w:rPr>
        <w:t xml:space="preserve"> </w:t>
      </w:r>
      <w:r w:rsidR="00B85915" w:rsidRPr="00B85915">
        <w:rPr>
          <w:i/>
          <w:color w:val="231F20"/>
        </w:rPr>
        <w:t xml:space="preserve">Removing the </w:t>
      </w:r>
      <w:r w:rsidR="000F2B04">
        <w:rPr>
          <w:i/>
          <w:color w:val="231F20"/>
        </w:rPr>
        <w:t>P</w:t>
      </w:r>
      <w:r w:rsidR="000F2B04" w:rsidRPr="00B85915">
        <w:rPr>
          <w:i/>
          <w:color w:val="231F20"/>
        </w:rPr>
        <w:t>eople</w:t>
      </w:r>
      <w:r w:rsidR="000F2B04" w:rsidRPr="00075EF6">
        <w:rPr>
          <w:i/>
          <w:iCs/>
          <w:color w:val="231F20"/>
        </w:rPr>
        <w:t xml:space="preserve"> </w:t>
      </w:r>
      <w:r w:rsidR="00B85915" w:rsidRPr="00B85915">
        <w:rPr>
          <w:i/>
          <w:color w:val="231F20"/>
        </w:rPr>
        <w:t xml:space="preserve">from the </w:t>
      </w:r>
      <w:r w:rsidR="000F2B04">
        <w:rPr>
          <w:i/>
          <w:color w:val="231F20"/>
        </w:rPr>
        <w:t>L</w:t>
      </w:r>
      <w:r w:rsidR="000F2B04" w:rsidRPr="00B85915">
        <w:rPr>
          <w:i/>
          <w:color w:val="231F20"/>
        </w:rPr>
        <w:t xml:space="preserve">egal </w:t>
      </w:r>
      <w:r w:rsidR="000F2B04">
        <w:rPr>
          <w:i/>
          <w:color w:val="231F20"/>
        </w:rPr>
        <w:t>P</w:t>
      </w:r>
      <w:r w:rsidR="000F2B04" w:rsidRPr="00B85915">
        <w:rPr>
          <w:i/>
          <w:color w:val="231F20"/>
        </w:rPr>
        <w:t>rocess</w:t>
      </w:r>
      <w:r w:rsidR="00B85915" w:rsidRPr="00B85915">
        <w:rPr>
          <w:i/>
          <w:color w:val="231F20"/>
        </w:rPr>
        <w:t xml:space="preserve">: The </w:t>
      </w:r>
      <w:r w:rsidR="000C16E5">
        <w:rPr>
          <w:i/>
          <w:color w:val="231F20"/>
        </w:rPr>
        <w:t>R</w:t>
      </w:r>
      <w:r w:rsidR="00B85915" w:rsidRPr="00B85915">
        <w:rPr>
          <w:i/>
          <w:color w:val="231F20"/>
        </w:rPr>
        <w:t xml:space="preserve">hetoric and </w:t>
      </w:r>
      <w:r w:rsidR="000F2B04">
        <w:rPr>
          <w:i/>
          <w:color w:val="231F20"/>
        </w:rPr>
        <w:t>R</w:t>
      </w:r>
      <w:r w:rsidR="000F2B04" w:rsidRPr="00B85915">
        <w:rPr>
          <w:i/>
          <w:color w:val="231F20"/>
        </w:rPr>
        <w:t xml:space="preserve">esearch </w:t>
      </w:r>
      <w:r w:rsidR="00B85915" w:rsidRPr="00B85915">
        <w:rPr>
          <w:i/>
          <w:color w:val="231F20"/>
        </w:rPr>
        <w:t>on</w:t>
      </w:r>
      <w:r w:rsidR="00DD59E4" w:rsidRPr="00075EF6">
        <w:rPr>
          <w:i/>
          <w:iCs/>
          <w:color w:val="231F20"/>
        </w:rPr>
        <w:t xml:space="preserve"> </w:t>
      </w:r>
      <w:r w:rsidR="000F2B04">
        <w:rPr>
          <w:i/>
          <w:color w:val="231F20"/>
        </w:rPr>
        <w:t>J</w:t>
      </w:r>
      <w:r w:rsidR="000F2B04" w:rsidRPr="00B85915">
        <w:rPr>
          <w:i/>
          <w:color w:val="231F20"/>
        </w:rPr>
        <w:t xml:space="preserve">udicial </w:t>
      </w:r>
      <w:r w:rsidR="000F2B04">
        <w:rPr>
          <w:i/>
          <w:color w:val="231F20"/>
        </w:rPr>
        <w:t>S</w:t>
      </w:r>
      <w:r w:rsidR="000F2B04" w:rsidRPr="00B85915">
        <w:rPr>
          <w:i/>
          <w:color w:val="231F20"/>
        </w:rPr>
        <w:t xml:space="preserve">election </w:t>
      </w:r>
      <w:r w:rsidR="00B85915" w:rsidRPr="00B85915">
        <w:rPr>
          <w:i/>
          <w:color w:val="231F20"/>
        </w:rPr>
        <w:t xml:space="preserve">and </w:t>
      </w:r>
      <w:r w:rsidR="000F2B04">
        <w:rPr>
          <w:i/>
          <w:color w:val="231F20"/>
        </w:rPr>
        <w:t>J</w:t>
      </w:r>
      <w:r w:rsidR="00B85915" w:rsidRPr="00B85915">
        <w:rPr>
          <w:i/>
          <w:color w:val="231F20"/>
        </w:rPr>
        <w:t>uries</w:t>
      </w:r>
      <w:r w:rsidR="00075EF6">
        <w:rPr>
          <w:color w:val="231F20"/>
        </w:rPr>
        <w:t>,</w:t>
      </w:r>
      <w:r w:rsidR="00D71F16" w:rsidRPr="00DD59E4">
        <w:rPr>
          <w:color w:val="231F20"/>
        </w:rPr>
        <w:t xml:space="preserve"> </w:t>
      </w:r>
      <w:r w:rsidR="00075EF6">
        <w:rPr>
          <w:color w:val="231F20"/>
        </w:rPr>
        <w:t xml:space="preserve">3 </w:t>
      </w:r>
      <w:r w:rsidR="00B85915" w:rsidRPr="00B85915">
        <w:rPr>
          <w:iCs/>
          <w:color w:val="231F20"/>
        </w:rPr>
        <w:t>Psychol</w:t>
      </w:r>
      <w:r w:rsidR="00075EF6">
        <w:rPr>
          <w:iCs/>
          <w:color w:val="231F20"/>
        </w:rPr>
        <w:t>.</w:t>
      </w:r>
      <w:r w:rsidR="00B85915" w:rsidRPr="00B85915">
        <w:rPr>
          <w:iCs/>
          <w:color w:val="231F20"/>
        </w:rPr>
        <w:t xml:space="preserve"> Pub</w:t>
      </w:r>
      <w:r w:rsidR="00075EF6">
        <w:rPr>
          <w:iCs/>
          <w:color w:val="231F20"/>
        </w:rPr>
        <w:t>.</w:t>
      </w:r>
      <w:r w:rsidR="00B85915" w:rsidRPr="00B85915">
        <w:rPr>
          <w:iCs/>
          <w:color w:val="231F20"/>
        </w:rPr>
        <w:t xml:space="preserve"> </w:t>
      </w:r>
      <w:proofErr w:type="spellStart"/>
      <w:r w:rsidR="00B85915" w:rsidRPr="00B85915">
        <w:rPr>
          <w:iCs/>
          <w:color w:val="231F20"/>
        </w:rPr>
        <w:t>Pol</w:t>
      </w:r>
      <w:r w:rsidR="00075EF6">
        <w:rPr>
          <w:iCs/>
          <w:color w:val="231F20"/>
        </w:rPr>
        <w:t>’</w:t>
      </w:r>
      <w:r w:rsidR="00B85915" w:rsidRPr="00B85915">
        <w:rPr>
          <w:iCs/>
          <w:color w:val="231F20"/>
        </w:rPr>
        <w:t>y</w:t>
      </w:r>
      <w:proofErr w:type="spellEnd"/>
      <w:r w:rsidR="00075EF6">
        <w:rPr>
          <w:iCs/>
          <w:color w:val="231F20"/>
        </w:rPr>
        <w:t xml:space="preserve"> &amp;</w:t>
      </w:r>
      <w:r w:rsidR="00B85915" w:rsidRPr="00B85915">
        <w:rPr>
          <w:iCs/>
          <w:color w:val="231F20"/>
        </w:rPr>
        <w:t xml:space="preserve"> L</w:t>
      </w:r>
      <w:r w:rsidR="00D71F16" w:rsidRPr="00DD59E4">
        <w:rPr>
          <w:color w:val="231F20"/>
        </w:rPr>
        <w:t>.</w:t>
      </w:r>
      <w:r w:rsidR="00DD59E4">
        <w:rPr>
          <w:i/>
          <w:iCs/>
          <w:color w:val="231F20"/>
        </w:rPr>
        <w:t xml:space="preserve"> </w:t>
      </w:r>
      <w:r w:rsidR="00D71F16" w:rsidRPr="00DD59E4">
        <w:rPr>
          <w:color w:val="231F20"/>
        </w:rPr>
        <w:t>242–58</w:t>
      </w:r>
      <w:r w:rsidR="00075EF6">
        <w:rPr>
          <w:color w:val="231F20"/>
        </w:rPr>
        <w:t xml:space="preserve"> (1997) </w:t>
      </w:r>
      <w:r w:rsidR="00DD59E4" w:rsidRPr="00DD59E4">
        <w:rPr>
          <w:color w:val="231F20"/>
        </w:rPr>
        <w:t>(</w:t>
      </w:r>
      <w:r w:rsidR="00D71F16" w:rsidRPr="00DD59E4">
        <w:rPr>
          <w:color w:val="231F20"/>
        </w:rPr>
        <w:t xml:space="preserve">Shuman </w:t>
      </w:r>
      <w:r w:rsidR="00075EF6">
        <w:rPr>
          <w:color w:val="231F20"/>
        </w:rPr>
        <w:t>and Champagne</w:t>
      </w:r>
      <w:r w:rsidR="00D71F16" w:rsidRPr="00DD59E4">
        <w:rPr>
          <w:color w:val="231F20"/>
        </w:rPr>
        <w:t xml:space="preserve"> interviewed lawyers, testifying experts, and jurors about how the juries </w:t>
      </w:r>
      <w:r w:rsidR="00DD59E4">
        <w:rPr>
          <w:color w:val="231F20"/>
        </w:rPr>
        <w:t xml:space="preserve">responded to expert testimony </w:t>
      </w:r>
      <w:r w:rsidR="00D71F16" w:rsidRPr="00DD59E4">
        <w:rPr>
          <w:color w:val="231F20"/>
        </w:rPr>
        <w:t>presented in large samples of trials</w:t>
      </w:r>
      <w:r w:rsidR="00DD59E4" w:rsidRPr="00DD59E4">
        <w:rPr>
          <w:color w:val="231F20"/>
        </w:rPr>
        <w:t>)</w:t>
      </w:r>
      <w:r w:rsidR="007B4ECB">
        <w:rPr>
          <w:color w:val="231F20"/>
        </w:rPr>
        <w:t>.</w:t>
      </w:r>
    </w:p>
    <w:p w14:paraId="64BB152B" w14:textId="352C2477" w:rsidR="00D94988" w:rsidRDefault="005D0BE5" w:rsidP="00DD59E4">
      <w:pPr>
        <w:spacing w:line="480" w:lineRule="auto"/>
        <w:jc w:val="both"/>
      </w:pPr>
      <w:r>
        <w:lastRenderedPageBreak/>
        <w:tab/>
      </w:r>
      <w:r w:rsidR="00D94988">
        <w:t>The media</w:t>
      </w:r>
      <w:r w:rsidR="00FF28D2">
        <w:t xml:space="preserve">, which will not be regulated by </w:t>
      </w:r>
      <w:r w:rsidR="00977852">
        <w:t xml:space="preserve">MCAO’s </w:t>
      </w:r>
      <w:r w:rsidR="00FF28D2">
        <w:t xml:space="preserve">proposed </w:t>
      </w:r>
      <w:r w:rsidR="00A06BDB">
        <w:t>modifications</w:t>
      </w:r>
      <w:r w:rsidR="00FF28D2">
        <w:t>,</w:t>
      </w:r>
      <w:r w:rsidR="00D94988">
        <w:t xml:space="preserve"> </w:t>
      </w:r>
      <w:r>
        <w:t xml:space="preserve">also </w:t>
      </w:r>
      <w:r w:rsidR="00D94988">
        <w:t xml:space="preserve">frequently contacts jurors after high-profile trials and </w:t>
      </w:r>
      <w:r w:rsidR="00A06BDB">
        <w:t>questions them without any limitation as to scope or propriety</w:t>
      </w:r>
      <w:r w:rsidR="00D94988">
        <w:t xml:space="preserve">.  Jurors are free to </w:t>
      </w:r>
      <w:r w:rsidR="00A06BDB">
        <w:t>answer questions</w:t>
      </w:r>
      <w:r w:rsidR="00D94988">
        <w:t xml:space="preserve"> and many have done so.  For example, the high-profile cases of George Zimmerman and Jodi Arias ha</w:t>
      </w:r>
      <w:r w:rsidR="00EE6669">
        <w:t>ve</w:t>
      </w:r>
      <w:r w:rsidR="00D94988">
        <w:t xml:space="preserve"> shown that </w:t>
      </w:r>
      <w:r w:rsidR="00A06BDB">
        <w:t>some jurors</w:t>
      </w:r>
      <w:r w:rsidR="00D94988">
        <w:t xml:space="preserve"> are eager to </w:t>
      </w:r>
      <w:r w:rsidR="00A06BDB">
        <w:t>talk</w:t>
      </w:r>
      <w:r w:rsidR="00D94988">
        <w:t xml:space="preserve"> about their experience</w:t>
      </w:r>
      <w:r w:rsidR="00A06BDB">
        <w:t>s</w:t>
      </w:r>
      <w:r w:rsidR="00D94988">
        <w:t xml:space="preserve">.  Those who chose not to speak have clearly shown </w:t>
      </w:r>
      <w:r w:rsidR="00237289">
        <w:t>their</w:t>
      </w:r>
      <w:r w:rsidR="00D94988">
        <w:t xml:space="preserve"> ability to refuse such requests.  Certainly</w:t>
      </w:r>
      <w:r w:rsidR="000C16E5">
        <w:t>,</w:t>
      </w:r>
      <w:r w:rsidR="00D94988">
        <w:t xml:space="preserve"> media contacts, likely from multiple media sources</w:t>
      </w:r>
      <w:r w:rsidR="00D279C6">
        <w:t>,</w:t>
      </w:r>
      <w:r w:rsidR="00D94988">
        <w:t xml:space="preserve"> </w:t>
      </w:r>
      <w:r w:rsidR="00237289">
        <w:t>are at least as</w:t>
      </w:r>
      <w:r w:rsidR="00D94988">
        <w:t xml:space="preserve"> intrusive </w:t>
      </w:r>
      <w:r w:rsidR="00237289">
        <w:t>as</w:t>
      </w:r>
      <w:r w:rsidR="00D94988">
        <w:t xml:space="preserve"> </w:t>
      </w:r>
      <w:r w:rsidR="00D279C6">
        <w:t>contact</w:t>
      </w:r>
      <w:r w:rsidR="00237289">
        <w:t>s</w:t>
      </w:r>
      <w:r w:rsidR="00D279C6">
        <w:t xml:space="preserve"> by</w:t>
      </w:r>
      <w:r w:rsidR="00D94988">
        <w:t xml:space="preserve"> a defense </w:t>
      </w:r>
      <w:r w:rsidR="00237289">
        <w:t>lawyer</w:t>
      </w:r>
      <w:r w:rsidR="00D279C6">
        <w:t xml:space="preserve"> or investigator</w:t>
      </w:r>
      <w:r w:rsidR="00D94988">
        <w:t xml:space="preserve">.    </w:t>
      </w:r>
    </w:p>
    <w:p w14:paraId="17F22AA9" w14:textId="3531D1D8" w:rsidR="000D5F5E" w:rsidRDefault="0008321E" w:rsidP="00DD59E4">
      <w:pPr>
        <w:spacing w:line="480" w:lineRule="auto"/>
        <w:jc w:val="both"/>
      </w:pPr>
      <w:r w:rsidRPr="00DD59E4">
        <w:tab/>
      </w:r>
      <w:r w:rsidR="005057CD" w:rsidRPr="00DD59E4">
        <w:t xml:space="preserve">Thus, </w:t>
      </w:r>
      <w:r w:rsidR="00D46600">
        <w:t xml:space="preserve">MCAO offers not a single </w:t>
      </w:r>
      <w:r w:rsidR="00F74E60">
        <w:t>instance of a defense representative having harassed a</w:t>
      </w:r>
      <w:r w:rsidR="005057CD">
        <w:t xml:space="preserve"> juror</w:t>
      </w:r>
      <w:r w:rsidR="00F74E60">
        <w:t>.</w:t>
      </w:r>
      <w:r w:rsidR="005057CD">
        <w:t xml:space="preserve"> </w:t>
      </w:r>
      <w:r w:rsidR="00F74E60">
        <w:t xml:space="preserve"> But MCAO’s </w:t>
      </w:r>
      <w:r w:rsidR="005057CD">
        <w:t xml:space="preserve">proposed </w:t>
      </w:r>
      <w:r w:rsidR="00F74E60">
        <w:t>“</w:t>
      </w:r>
      <w:r w:rsidR="005057CD">
        <w:t>solution</w:t>
      </w:r>
      <w:r w:rsidR="00F74E60">
        <w:t>” will</w:t>
      </w:r>
      <w:r w:rsidR="005057CD">
        <w:t xml:space="preserve"> </w:t>
      </w:r>
      <w:r w:rsidR="005057CD" w:rsidRPr="00000252">
        <w:t>impede fundamental rights</w:t>
      </w:r>
      <w:r w:rsidR="005057CD">
        <w:t xml:space="preserve"> of defendants and obligations of defense counsel</w:t>
      </w:r>
      <w:r w:rsidR="00F74E60">
        <w:t xml:space="preserve"> to investigate potential claims</w:t>
      </w:r>
      <w:r w:rsidR="005057CD" w:rsidRPr="00000252">
        <w:t>.</w:t>
      </w:r>
      <w:r w:rsidR="005057CD">
        <w:t xml:space="preserve">  </w:t>
      </w:r>
    </w:p>
    <w:p w14:paraId="534C2C80" w14:textId="70C56123" w:rsidR="00237289" w:rsidRPr="00237289" w:rsidRDefault="00237289" w:rsidP="00237289">
      <w:pPr>
        <w:pStyle w:val="ListParagraph"/>
        <w:numPr>
          <w:ilvl w:val="0"/>
          <w:numId w:val="6"/>
        </w:numPr>
        <w:spacing w:line="480" w:lineRule="auto"/>
        <w:jc w:val="both"/>
        <w:rPr>
          <w:b/>
        </w:rPr>
      </w:pPr>
      <w:r>
        <w:rPr>
          <w:b/>
          <w:u w:val="single"/>
        </w:rPr>
        <w:t>MCAO committed the only know harassment of a juror.</w:t>
      </w:r>
    </w:p>
    <w:p w14:paraId="782810B9" w14:textId="271BD8DE" w:rsidR="0008321E" w:rsidRDefault="00536AB9">
      <w:pPr>
        <w:spacing w:line="480" w:lineRule="auto"/>
        <w:jc w:val="both"/>
      </w:pPr>
      <w:r>
        <w:tab/>
      </w:r>
      <w:r w:rsidRPr="00237289">
        <w:t xml:space="preserve">Ironically, the only </w:t>
      </w:r>
      <w:r w:rsidR="00237289">
        <w:t>allegation</w:t>
      </w:r>
      <w:r w:rsidR="004E600A" w:rsidRPr="00237289">
        <w:t xml:space="preserve"> of juror harassment of which </w:t>
      </w:r>
      <w:r w:rsidR="00237289">
        <w:t>AACJ, ACRP or MCPD are</w:t>
      </w:r>
      <w:r w:rsidR="004E600A" w:rsidRPr="00237289">
        <w:t xml:space="preserve"> aware</w:t>
      </w:r>
      <w:r w:rsidR="00237289">
        <w:t xml:space="preserve"> is</w:t>
      </w:r>
      <w:r w:rsidR="004E600A" w:rsidRPr="00237289">
        <w:t xml:space="preserve"> </w:t>
      </w:r>
      <w:r w:rsidR="00237289">
        <w:t>detailed</w:t>
      </w:r>
      <w:r w:rsidR="00E83969">
        <w:t xml:space="preserve"> in</w:t>
      </w:r>
      <w:r w:rsidR="004E600A" w:rsidRPr="00237289">
        <w:t xml:space="preserve"> a complaint pending before the State Bar</w:t>
      </w:r>
      <w:r w:rsidR="00E83969">
        <w:t xml:space="preserve"> of Arizona</w:t>
      </w:r>
      <w:r w:rsidR="004E600A" w:rsidRPr="00237289">
        <w:t xml:space="preserve"> against one of </w:t>
      </w:r>
      <w:r w:rsidR="00FF5E32" w:rsidRPr="00237289">
        <w:t>MCAO</w:t>
      </w:r>
      <w:r w:rsidR="004E600A" w:rsidRPr="00237289">
        <w:t xml:space="preserve">’s </w:t>
      </w:r>
      <w:r w:rsidR="00E83969">
        <w:t>best known</w:t>
      </w:r>
      <w:r w:rsidR="004E600A" w:rsidRPr="00237289">
        <w:t xml:space="preserve"> death penalty prosecutors, Juan Martinez. </w:t>
      </w:r>
      <w:r w:rsidR="00980626" w:rsidRPr="00237289">
        <w:t xml:space="preserve">That complaint, </w:t>
      </w:r>
      <w:r w:rsidR="00977852">
        <w:t xml:space="preserve">No. PDJ 2019-9008, </w:t>
      </w:r>
      <w:r w:rsidR="00980626" w:rsidRPr="00237289">
        <w:t xml:space="preserve">among other </w:t>
      </w:r>
      <w:r w:rsidR="00FF5E32" w:rsidRPr="00237289">
        <w:t>allegations</w:t>
      </w:r>
      <w:r w:rsidR="00980626" w:rsidRPr="00237289">
        <w:t>, accuses Mr. Martinez of revealing the identity of the lone holdout juror in the Jod</w:t>
      </w:r>
      <w:r w:rsidR="00E83969">
        <w:t>i</w:t>
      </w:r>
      <w:r w:rsidR="00980626" w:rsidRPr="00237289">
        <w:t xml:space="preserve"> Arias </w:t>
      </w:r>
      <w:r w:rsidR="00E83969">
        <w:t>trial</w:t>
      </w:r>
      <w:r w:rsidR="00980626" w:rsidRPr="00237289">
        <w:t xml:space="preserve">. </w:t>
      </w:r>
      <w:hyperlink r:id="rId11" w:history="1">
        <w:r w:rsidR="000D5F5E" w:rsidRPr="000D5F5E">
          <w:rPr>
            <w:color w:val="0000FF"/>
            <w:u w:val="single"/>
          </w:rPr>
          <w:t>https://www.abc15.com/news/region-phoenix-metro/central-phoenix/arizona-state-bar-files-formal-complaint-against-arias-prosecutor-juan-martinez</w:t>
        </w:r>
      </w:hyperlink>
      <w:r w:rsidR="000D5F5E">
        <w:t>.</w:t>
      </w:r>
    </w:p>
    <w:p w14:paraId="725B8C98" w14:textId="77777777" w:rsidR="00C823D6" w:rsidRDefault="00C823D6">
      <w:pPr>
        <w:spacing w:line="480" w:lineRule="auto"/>
        <w:jc w:val="both"/>
      </w:pPr>
    </w:p>
    <w:p w14:paraId="5DEA86C0" w14:textId="6657A8C3" w:rsidR="00E84B24" w:rsidRPr="00E83969" w:rsidRDefault="00E83969" w:rsidP="00E84B24">
      <w:pPr>
        <w:pStyle w:val="ListParagraph"/>
        <w:numPr>
          <w:ilvl w:val="0"/>
          <w:numId w:val="6"/>
        </w:numPr>
        <w:spacing w:after="240" w:line="240" w:lineRule="auto"/>
        <w:jc w:val="both"/>
        <w:rPr>
          <w:b/>
          <w:u w:val="single"/>
        </w:rPr>
      </w:pPr>
      <w:r>
        <w:rPr>
          <w:b/>
          <w:u w:val="single"/>
        </w:rPr>
        <w:lastRenderedPageBreak/>
        <w:t xml:space="preserve">The </w:t>
      </w:r>
      <w:r w:rsidR="00870A00" w:rsidRPr="001F087D">
        <w:rPr>
          <w:b/>
          <w:u w:val="single"/>
        </w:rPr>
        <w:t xml:space="preserve">Constitution </w:t>
      </w:r>
      <w:r w:rsidR="000F2B04">
        <w:rPr>
          <w:b/>
          <w:u w:val="single"/>
        </w:rPr>
        <w:t>requires that a remedy be provided for every r</w:t>
      </w:r>
      <w:r w:rsidR="00870A00" w:rsidRPr="001F087D">
        <w:rPr>
          <w:b/>
          <w:u w:val="single"/>
        </w:rPr>
        <w:t>ight</w:t>
      </w:r>
      <w:r w:rsidR="00785721" w:rsidRPr="001F087D">
        <w:rPr>
          <w:b/>
          <w:u w:val="single"/>
        </w:rPr>
        <w:t xml:space="preserve">.  </w:t>
      </w:r>
    </w:p>
    <w:p w14:paraId="09406BCA" w14:textId="2D234348" w:rsidR="00EE7CA3" w:rsidRDefault="00E84B24">
      <w:pPr>
        <w:spacing w:line="480" w:lineRule="auto"/>
        <w:ind w:firstLine="630"/>
        <w:jc w:val="both"/>
      </w:pPr>
      <w:r w:rsidRPr="001F087D">
        <w:t>Juror misconduct include</w:t>
      </w:r>
      <w:r w:rsidR="001F3662">
        <w:t>s</w:t>
      </w:r>
      <w:r w:rsidRPr="001F087D">
        <w:t xml:space="preserve"> the reception of extrinsic evidence, deciding the verdict by lot, </w:t>
      </w:r>
      <w:r w:rsidR="00E83969">
        <w:t>answering questions</w:t>
      </w:r>
      <w:r w:rsidRPr="001F087D">
        <w:t xml:space="preserve"> </w:t>
      </w:r>
      <w:r w:rsidR="00E83969">
        <w:t>dis</w:t>
      </w:r>
      <w:r w:rsidRPr="001F087D">
        <w:t xml:space="preserve">honestly during </w:t>
      </w:r>
      <w:proofErr w:type="spellStart"/>
      <w:r w:rsidRPr="001F087D">
        <w:t>voir</w:t>
      </w:r>
      <w:proofErr w:type="spellEnd"/>
      <w:r w:rsidRPr="001F087D">
        <w:t xml:space="preserve"> dire, bribery, vote pledging, intoxication, and conversing before the verdict with any interested party about the outcome of the case.  </w:t>
      </w:r>
      <w:r w:rsidR="001F3662">
        <w:t>Rule</w:t>
      </w:r>
      <w:r w:rsidRPr="001F087D">
        <w:t xml:space="preserve"> 24.1</w:t>
      </w:r>
      <w:r w:rsidR="001F3662">
        <w:t>(c)</w:t>
      </w:r>
      <w:r w:rsidRPr="001F087D">
        <w:t>(3)</w:t>
      </w:r>
      <w:r w:rsidR="001F087D">
        <w:t>.</w:t>
      </w:r>
      <w:r w:rsidRPr="001F087D">
        <w:t xml:space="preserve">  Additionally, </w:t>
      </w:r>
      <w:r w:rsidR="00D279C6">
        <w:t xml:space="preserve">a </w:t>
      </w:r>
      <w:r w:rsidRPr="001F087D">
        <w:t>new trial may be ordered if “[f</w:t>
      </w:r>
      <w:r w:rsidRPr="001F087D">
        <w:rPr>
          <w:u w:val="single"/>
        </w:rPr>
        <w:t>]</w:t>
      </w:r>
      <w:r w:rsidRPr="001F087D">
        <w:t>or any other reason not due to the defendant</w:t>
      </w:r>
      <w:r w:rsidR="00D279C6">
        <w:t>’</w:t>
      </w:r>
      <w:r w:rsidRPr="001F087D">
        <w:t xml:space="preserve">s own fault the defendant has not received a fair and impartial trial or </w:t>
      </w:r>
      <w:r w:rsidR="001F3662">
        <w:t>phase of trial</w:t>
      </w:r>
      <w:r w:rsidRPr="001F087D">
        <w:t>.</w:t>
      </w:r>
      <w:r w:rsidR="00FF28D2" w:rsidRPr="001F087D">
        <w:t>”</w:t>
      </w:r>
      <w:r w:rsidRPr="001F087D">
        <w:t xml:space="preserve">  </w:t>
      </w:r>
      <w:r w:rsidR="001F3662">
        <w:t>Rule</w:t>
      </w:r>
      <w:r w:rsidRPr="001F087D">
        <w:t xml:space="preserve"> 24.1</w:t>
      </w:r>
      <w:r w:rsidR="001F3662">
        <w:t>(c)</w:t>
      </w:r>
      <w:r w:rsidRPr="001F087D">
        <w:t xml:space="preserve">(5).  Similarly, grounds for relief under Rule 32.1 include that the conviction or sentence was in violation of the Arizona or United States Constitution.  </w:t>
      </w:r>
      <w:r w:rsidR="001F3662">
        <w:t>Rule</w:t>
      </w:r>
      <w:r w:rsidRPr="001F087D">
        <w:t xml:space="preserve"> 32.1</w:t>
      </w:r>
      <w:r w:rsidR="001F3662">
        <w:t>(a).</w:t>
      </w:r>
    </w:p>
    <w:p w14:paraId="0773D76A" w14:textId="797FB401" w:rsidR="00274A2A" w:rsidRPr="001F087D" w:rsidRDefault="00FF28D2">
      <w:pPr>
        <w:spacing w:line="480" w:lineRule="auto"/>
        <w:jc w:val="both"/>
      </w:pPr>
      <w:r w:rsidRPr="001F087D">
        <w:tab/>
      </w:r>
      <w:r w:rsidR="000E25D0" w:rsidRPr="001F087D">
        <w:t xml:space="preserve">It is a long-held principle in American jurisprudence that a right must have a remedy.  </w:t>
      </w:r>
      <w:r w:rsidR="000E25D0" w:rsidRPr="001F087D">
        <w:rPr>
          <w:i/>
        </w:rPr>
        <w:t>Marbury v. Madison</w:t>
      </w:r>
      <w:r w:rsidR="00DE6EF2" w:rsidRPr="00DE6EF2">
        <w:t>,</w:t>
      </w:r>
      <w:r w:rsidR="000E25D0" w:rsidRPr="001F087D">
        <w:rPr>
          <w:i/>
        </w:rPr>
        <w:t xml:space="preserve"> </w:t>
      </w:r>
      <w:r w:rsidR="000E25D0" w:rsidRPr="001F087D">
        <w:t>5 U.S. 137, 146 (1803) (“It is a settled and invariable principle, that every right, when withheld, must have a remedy.”)</w:t>
      </w:r>
      <w:r w:rsidR="00B46103" w:rsidRPr="001F087D">
        <w:t xml:space="preserve">; </w:t>
      </w:r>
      <w:r w:rsidR="00B46103" w:rsidRPr="001F087D">
        <w:rPr>
          <w:i/>
        </w:rPr>
        <w:t>State v. Rosengren</w:t>
      </w:r>
      <w:r w:rsidR="00B46103" w:rsidRPr="001F087D">
        <w:t>, 199 Ariz. 112, 122</w:t>
      </w:r>
      <w:r w:rsidR="00977852">
        <w:t xml:space="preserve"> ¶ </w:t>
      </w:r>
      <w:r w:rsidR="007C0BB7">
        <w:t>32</w:t>
      </w:r>
      <w:r w:rsidR="00B46103" w:rsidRPr="001F087D">
        <w:t xml:space="preserve"> (App. 2000)</w:t>
      </w:r>
      <w:r w:rsidR="00D279C6">
        <w:t xml:space="preserve"> </w:t>
      </w:r>
      <w:r w:rsidR="00B46103" w:rsidRPr="001F087D">
        <w:t>(“[T]he remedy for violation of crucial constitutional rights must not render such rights hollow or illusory.”)</w:t>
      </w:r>
      <w:r w:rsidR="00D279C6">
        <w:t>.</w:t>
      </w:r>
    </w:p>
    <w:p w14:paraId="79A3F943" w14:textId="4B8ED6C4" w:rsidR="00785721" w:rsidRPr="001F3662" w:rsidRDefault="000E25D0" w:rsidP="00696A86">
      <w:pPr>
        <w:spacing w:line="480" w:lineRule="auto"/>
        <w:ind w:firstLine="720"/>
        <w:jc w:val="both"/>
      </w:pPr>
      <w:r w:rsidRPr="001F087D">
        <w:t xml:space="preserve">   The </w:t>
      </w:r>
      <w:r w:rsidR="009037A7" w:rsidRPr="001F087D">
        <w:t xml:space="preserve">rights to petition for </w:t>
      </w:r>
      <w:r w:rsidR="00CE1CDE">
        <w:t xml:space="preserve">a </w:t>
      </w:r>
      <w:r w:rsidR="009037A7" w:rsidRPr="001F087D">
        <w:t xml:space="preserve">new trial and for post-conviction relief give effect to those constitutional rights that protect the right to not be denied life, liberty, and property without due process of law.  </w:t>
      </w:r>
      <w:r w:rsidR="00CE1CDE">
        <w:t>MCAO’s proposal</w:t>
      </w:r>
      <w:r w:rsidR="00E84B24" w:rsidRPr="001F087D">
        <w:t xml:space="preserve"> would effectively gut the remedies of motion</w:t>
      </w:r>
      <w:r w:rsidR="00D279C6">
        <w:t>s</w:t>
      </w:r>
      <w:r w:rsidR="00E84B24" w:rsidRPr="001F087D">
        <w:t xml:space="preserve"> for new trial and petitions for </w:t>
      </w:r>
      <w:r w:rsidR="00FF28D2" w:rsidRPr="001F087D">
        <w:t>p</w:t>
      </w:r>
      <w:r w:rsidR="00E84B24" w:rsidRPr="001F087D">
        <w:t>ost-</w:t>
      </w:r>
      <w:r w:rsidR="00FF28D2" w:rsidRPr="001F087D">
        <w:t>c</w:t>
      </w:r>
      <w:r w:rsidR="00E84B24" w:rsidRPr="001F087D">
        <w:t xml:space="preserve">onviction relief under Rule 32.1, by creating an </w:t>
      </w:r>
      <w:r w:rsidRPr="001F087D">
        <w:t xml:space="preserve">unreasonable and often </w:t>
      </w:r>
      <w:r w:rsidR="00E84B24" w:rsidRPr="001F087D">
        <w:t xml:space="preserve">impossible standard </w:t>
      </w:r>
      <w:r w:rsidRPr="001F087D">
        <w:t>to meet before being given the ability to fully investigate the issues.</w:t>
      </w:r>
      <w:r>
        <w:t xml:space="preserve">  </w:t>
      </w:r>
    </w:p>
    <w:p w14:paraId="229E71AF" w14:textId="37FE193F" w:rsidR="004D3005" w:rsidRDefault="00CE1CDE" w:rsidP="00F65738">
      <w:pPr>
        <w:pStyle w:val="ListParagraph"/>
        <w:numPr>
          <w:ilvl w:val="0"/>
          <w:numId w:val="6"/>
        </w:numPr>
        <w:spacing w:after="240" w:line="240" w:lineRule="auto"/>
        <w:jc w:val="both"/>
        <w:rPr>
          <w:b/>
          <w:u w:val="single"/>
        </w:rPr>
      </w:pPr>
      <w:r>
        <w:rPr>
          <w:b/>
          <w:u w:val="single"/>
        </w:rPr>
        <w:lastRenderedPageBreak/>
        <w:t>MCAO’s proposal</w:t>
      </w:r>
      <w:r w:rsidR="004D3005" w:rsidRPr="004D3005">
        <w:rPr>
          <w:b/>
          <w:u w:val="single"/>
        </w:rPr>
        <w:t xml:space="preserve"> would </w:t>
      </w:r>
      <w:r w:rsidR="004D3005">
        <w:rPr>
          <w:b/>
          <w:u w:val="single"/>
        </w:rPr>
        <w:t xml:space="preserve">uniquely suppress </w:t>
      </w:r>
      <w:r w:rsidR="001F3662">
        <w:rPr>
          <w:b/>
          <w:u w:val="single"/>
        </w:rPr>
        <w:t>defenses lawyers’</w:t>
      </w:r>
      <w:r w:rsidR="004D3005">
        <w:rPr>
          <w:b/>
          <w:u w:val="single"/>
        </w:rPr>
        <w:t xml:space="preserve"> free speech rights.  </w:t>
      </w:r>
    </w:p>
    <w:p w14:paraId="337C182C" w14:textId="77777777" w:rsidR="00E0202A" w:rsidRDefault="00E0202A" w:rsidP="00E0202A">
      <w:pPr>
        <w:pStyle w:val="ListParagraph"/>
        <w:spacing w:line="240" w:lineRule="auto"/>
        <w:jc w:val="both"/>
        <w:rPr>
          <w:b/>
          <w:u w:val="single"/>
        </w:rPr>
      </w:pPr>
    </w:p>
    <w:p w14:paraId="3AB82268" w14:textId="33299535" w:rsidR="0011586C" w:rsidRPr="0011586C" w:rsidRDefault="00DD59E4" w:rsidP="0011586C">
      <w:pPr>
        <w:spacing w:line="480" w:lineRule="auto"/>
        <w:ind w:firstLine="720"/>
        <w:jc w:val="both"/>
      </w:pPr>
      <w:r>
        <w:t xml:space="preserve">Defense </w:t>
      </w:r>
      <w:r w:rsidR="001F3662">
        <w:t>lawyers</w:t>
      </w:r>
      <w:r>
        <w:t xml:space="preserve">, </w:t>
      </w:r>
      <w:r w:rsidR="001F3662">
        <w:t>like</w:t>
      </w:r>
      <w:r>
        <w:t xml:space="preserve"> every other person, possess the right to free speech under the Arizona and United States Constitutions.  </w:t>
      </w:r>
      <w:r w:rsidR="00EE6669">
        <w:t xml:space="preserve">U.S. Const. </w:t>
      </w:r>
      <w:r w:rsidR="00D279C6">
        <w:t>a</w:t>
      </w:r>
      <w:r w:rsidR="00EE6669">
        <w:t xml:space="preserve">mend. I; Ariz. Const. art. </w:t>
      </w:r>
      <w:r>
        <w:t xml:space="preserve">2, </w:t>
      </w:r>
      <w:r w:rsidRPr="00696A86">
        <w:t>§</w:t>
      </w:r>
      <w:r w:rsidR="00EE6669" w:rsidRPr="00696A86">
        <w:t xml:space="preserve"> </w:t>
      </w:r>
      <w:r>
        <w:t xml:space="preserve">6.  </w:t>
      </w:r>
      <w:r w:rsidR="0011586C" w:rsidRPr="0011586C">
        <w:t xml:space="preserve">The Supreme Court has repeatedly held, “Any system of prior restraints of expression comes to this Court bearing a heavy presumption against its constitutional validity.” </w:t>
      </w:r>
      <w:r w:rsidR="0011586C" w:rsidRPr="0011586C">
        <w:rPr>
          <w:i/>
        </w:rPr>
        <w:t>Bantam Books v. Sullivan</w:t>
      </w:r>
      <w:r w:rsidR="0011586C" w:rsidRPr="0011586C">
        <w:t xml:space="preserve">, 372 U.S. 58, 70 (1963); </w:t>
      </w:r>
      <w:r w:rsidR="0011586C" w:rsidRPr="0011586C">
        <w:rPr>
          <w:i/>
        </w:rPr>
        <w:t xml:space="preserve">see also New York Times Co. v. </w:t>
      </w:r>
      <w:r w:rsidR="007C0BB7">
        <w:rPr>
          <w:i/>
        </w:rPr>
        <w:t>United States</w:t>
      </w:r>
      <w:r w:rsidR="0011586C" w:rsidRPr="0011586C">
        <w:t xml:space="preserve">, 403 U.S. 713, 714 (1971); </w:t>
      </w:r>
      <w:r w:rsidR="0011586C" w:rsidRPr="0011586C">
        <w:rPr>
          <w:i/>
        </w:rPr>
        <w:t>Carroll v. Princess Anne</w:t>
      </w:r>
      <w:r w:rsidR="0011586C" w:rsidRPr="0011586C">
        <w:t xml:space="preserve">, 393 U.S. 175, 181 (1968). State actions that deter free association must be justified by a “compelling” state interest. </w:t>
      </w:r>
      <w:r w:rsidR="0011586C" w:rsidRPr="0011586C">
        <w:rPr>
          <w:i/>
        </w:rPr>
        <w:t>NAACP v. Alabama</w:t>
      </w:r>
      <w:r w:rsidR="0011586C" w:rsidRPr="0011586C">
        <w:t xml:space="preserve">, 357 U.S. 449, 460-61 (1958). </w:t>
      </w:r>
    </w:p>
    <w:p w14:paraId="450CC221" w14:textId="7F591059" w:rsidR="004D3005" w:rsidRDefault="00DD59E4" w:rsidP="00D94988">
      <w:pPr>
        <w:spacing w:line="480" w:lineRule="auto"/>
        <w:ind w:firstLine="720"/>
        <w:jc w:val="both"/>
      </w:pPr>
      <w:r>
        <w:t>The Arizona Constitution’s protections are even more rigorous than those of the U</w:t>
      </w:r>
      <w:r w:rsidR="00FF28D2">
        <w:t>.</w:t>
      </w:r>
      <w:r>
        <w:t>S</w:t>
      </w:r>
      <w:r w:rsidR="00FF28D2">
        <w:t>.</w:t>
      </w:r>
      <w:r>
        <w:t xml:space="preserve"> Constitution.  </w:t>
      </w:r>
      <w:r w:rsidRPr="00D94988">
        <w:rPr>
          <w:i/>
        </w:rPr>
        <w:t>Coleman v. City of Mesa</w:t>
      </w:r>
      <w:r w:rsidR="00EE6669">
        <w:t>,</w:t>
      </w:r>
      <w:r w:rsidRPr="00DD59E4">
        <w:t xml:space="preserve"> 230 Ariz. 352</w:t>
      </w:r>
      <w:r w:rsidR="00EE6669">
        <w:t xml:space="preserve"> </w:t>
      </w:r>
      <w:r w:rsidR="00EE6669" w:rsidRPr="00DD59E4">
        <w:t>(2012)</w:t>
      </w:r>
      <w:r w:rsidR="00D94988">
        <w:t xml:space="preserve">.  </w:t>
      </w:r>
      <w:r>
        <w:t xml:space="preserve">Any prior restraint on free speech is “heavily” presumed to be unconstitutional.  </w:t>
      </w:r>
      <w:r>
        <w:rPr>
          <w:i/>
        </w:rPr>
        <w:t xml:space="preserve">See </w:t>
      </w:r>
      <w:r w:rsidRPr="00DD59E4">
        <w:rPr>
          <w:i/>
        </w:rPr>
        <w:t>State v. Book-Cellar, Inc.</w:t>
      </w:r>
      <w:r w:rsidR="00EE6669">
        <w:t>,</w:t>
      </w:r>
      <w:r w:rsidRPr="00DD59E4">
        <w:t xml:space="preserve"> </w:t>
      </w:r>
      <w:r>
        <w:t>139 Ariz. 525</w:t>
      </w:r>
      <w:r w:rsidRPr="00DD59E4">
        <w:t xml:space="preserve"> (App. 1984</w:t>
      </w:r>
      <w:r w:rsidR="00FF28D2">
        <w:t>)</w:t>
      </w:r>
      <w:r>
        <w:t>.</w:t>
      </w:r>
      <w:r w:rsidR="00D94988">
        <w:t xml:space="preserve">  </w:t>
      </w:r>
      <w:r>
        <w:t>T</w:t>
      </w:r>
      <w:r w:rsidR="00E0202A" w:rsidRPr="00E0202A">
        <w:t>he proposed rule would c</w:t>
      </w:r>
      <w:r w:rsidR="00575883">
        <w:t>reate a unique class of persons--parties to a case--</w:t>
      </w:r>
      <w:r w:rsidR="00E0202A" w:rsidRPr="00E0202A">
        <w:t xml:space="preserve">who are not permitted to talk to jurors.  </w:t>
      </w:r>
      <w:r w:rsidR="00575883">
        <w:t>Meanwhile, m</w:t>
      </w:r>
      <w:r w:rsidR="00D94988">
        <w:t xml:space="preserve">embers of academia and the media have an interest in interviewing jurors and are permitted to do so.  To prevent </w:t>
      </w:r>
      <w:r w:rsidR="00575883">
        <w:t>defense</w:t>
      </w:r>
      <w:r w:rsidR="00D94988">
        <w:t xml:space="preserve"> counsel from doing so does not even meet a rational</w:t>
      </w:r>
      <w:r w:rsidR="002E5573">
        <w:t>-</w:t>
      </w:r>
      <w:r w:rsidR="00D94988">
        <w:t xml:space="preserve">basis </w:t>
      </w:r>
      <w:r w:rsidR="002E5573">
        <w:t>standard</w:t>
      </w:r>
      <w:r w:rsidR="00D94988">
        <w:t xml:space="preserve">.  </w:t>
      </w:r>
    </w:p>
    <w:p w14:paraId="1580375E" w14:textId="3EF258B9" w:rsidR="00785721" w:rsidRDefault="0008321E" w:rsidP="007F091F">
      <w:pPr>
        <w:spacing w:line="480" w:lineRule="auto"/>
        <w:jc w:val="both"/>
      </w:pPr>
      <w:r>
        <w:tab/>
      </w:r>
      <w:r w:rsidR="00785721" w:rsidRPr="001F087D">
        <w:t>Any journalist, blogger</w:t>
      </w:r>
      <w:r w:rsidR="002E5573">
        <w:t>,</w:t>
      </w:r>
      <w:r w:rsidR="00785721" w:rsidRPr="001F087D">
        <w:t xml:space="preserve"> or mere curiosity</w:t>
      </w:r>
      <w:r w:rsidR="002E5573">
        <w:t>-</w:t>
      </w:r>
      <w:r w:rsidR="00785721" w:rsidRPr="001F087D">
        <w:t xml:space="preserve">seeker can contact any former juror at will without fear of sanction. Only post-conviction lawyers, officers of this Court </w:t>
      </w:r>
      <w:r w:rsidR="00785721" w:rsidRPr="001F087D">
        <w:lastRenderedPageBreak/>
        <w:t xml:space="preserve">and charged with investigating “every claim” for relief under the Constitution and Rule 32, need fear. They alone </w:t>
      </w:r>
      <w:r w:rsidR="002E5573">
        <w:t>would be</w:t>
      </w:r>
      <w:r w:rsidR="002E5573" w:rsidRPr="001F087D">
        <w:t xml:space="preserve"> </w:t>
      </w:r>
      <w:r w:rsidR="00785721" w:rsidRPr="001F087D">
        <w:t xml:space="preserve">enjoined from discharging their duties to their clients. </w:t>
      </w:r>
      <w:r w:rsidR="002E5573">
        <w:t xml:space="preserve"> </w:t>
      </w:r>
      <w:r w:rsidR="00CE1CDE">
        <w:t>MCAO’s proposal</w:t>
      </w:r>
      <w:r w:rsidR="00785721" w:rsidRPr="001F087D">
        <w:t xml:space="preserve"> cannot co-exist in the same universe with R</w:t>
      </w:r>
      <w:r w:rsidR="002E5573">
        <w:t>ules</w:t>
      </w:r>
      <w:r w:rsidR="00785721" w:rsidRPr="001F087D">
        <w:t xml:space="preserve"> 6.8 and 32, </w:t>
      </w:r>
      <w:r w:rsidR="002E5573">
        <w:t xml:space="preserve">the ethical rules governing </w:t>
      </w:r>
      <w:r w:rsidR="00C47D87">
        <w:t>lawyers</w:t>
      </w:r>
      <w:r w:rsidR="002E5573">
        <w:t xml:space="preserve">, </w:t>
      </w:r>
      <w:r w:rsidR="00785721" w:rsidRPr="001F087D">
        <w:t>and the First and Sixth Amendments.</w:t>
      </w:r>
      <w:r w:rsidR="00785721">
        <w:t xml:space="preserve">      </w:t>
      </w:r>
    </w:p>
    <w:p w14:paraId="724282CD" w14:textId="7F273DA5" w:rsidR="00277D78" w:rsidRPr="00277D78" w:rsidRDefault="00277D78" w:rsidP="00277D78">
      <w:pPr>
        <w:pStyle w:val="ListParagraph"/>
        <w:numPr>
          <w:ilvl w:val="0"/>
          <w:numId w:val="6"/>
        </w:numPr>
        <w:spacing w:line="480" w:lineRule="auto"/>
        <w:jc w:val="both"/>
        <w:rPr>
          <w:b/>
        </w:rPr>
      </w:pPr>
      <w:r>
        <w:rPr>
          <w:b/>
        </w:rPr>
        <w:t xml:space="preserve">  </w:t>
      </w:r>
      <w:r>
        <w:rPr>
          <w:b/>
          <w:u w:val="single"/>
        </w:rPr>
        <w:t>Conclusion</w:t>
      </w:r>
    </w:p>
    <w:p w14:paraId="1F74D6BF" w14:textId="0E5C1F1E" w:rsidR="00277D78" w:rsidRDefault="00343018" w:rsidP="00343018">
      <w:pPr>
        <w:pStyle w:val="ListParagraph"/>
        <w:spacing w:line="480" w:lineRule="auto"/>
        <w:ind w:left="0"/>
        <w:jc w:val="both"/>
      </w:pPr>
      <w:r>
        <w:tab/>
      </w:r>
      <w:r w:rsidR="007C0BB7">
        <w:t>Not everyone likes</w:t>
      </w:r>
      <w:r>
        <w:t xml:space="preserve"> being summoned from their daily routines to decide the liberty or life of another</w:t>
      </w:r>
      <w:r w:rsidR="007C0BB7">
        <w:t xml:space="preserve">, and </w:t>
      </w:r>
      <w:r>
        <w:t xml:space="preserve">some jurors </w:t>
      </w:r>
      <w:r w:rsidR="007C0BB7">
        <w:t xml:space="preserve">are </w:t>
      </w:r>
      <w:r>
        <w:t>annoyed when a defense lawyer or investigator appears at their door and asks to speak with them about their case</w:t>
      </w:r>
      <w:r w:rsidR="007C0BB7">
        <w:t>.</w:t>
      </w:r>
      <w:r>
        <w:t xml:space="preserve">  But </w:t>
      </w:r>
      <w:r w:rsidR="00B4131A">
        <w:t xml:space="preserve">our state and federal constitutions create a system that imposes these small burdens on the many to protect the fundamental rights of the few who are – rightly or wrongly – targeted by government.   </w:t>
      </w:r>
    </w:p>
    <w:p w14:paraId="7AE2C178" w14:textId="7F228CAC" w:rsidR="00B4131A" w:rsidRPr="00343018" w:rsidRDefault="00B4131A" w:rsidP="00343018">
      <w:pPr>
        <w:pStyle w:val="ListParagraph"/>
        <w:spacing w:line="480" w:lineRule="auto"/>
        <w:ind w:left="0"/>
        <w:jc w:val="both"/>
      </w:pPr>
      <w:r>
        <w:tab/>
        <w:t xml:space="preserve">It </w:t>
      </w:r>
      <w:r w:rsidR="007C0BB7">
        <w:t>thwarts</w:t>
      </w:r>
      <w:r>
        <w:t xml:space="preserve"> the interests of justice to suggest to jurors at their discharge that they have the right to avoid a minor disturbance days or years in the future</w:t>
      </w:r>
      <w:r w:rsidR="000D1929">
        <w:t>.  If justice is to be served, judges should</w:t>
      </w:r>
      <w:r w:rsidR="007C0BB7">
        <w:t>, if anything,</w:t>
      </w:r>
      <w:r w:rsidR="000D1929">
        <w:t xml:space="preserve"> encourage jurors to answer questions about their service that may be posed by lawyers, investigators or academics.  Justice flourishes in the light of day, not in darkness.  </w:t>
      </w:r>
      <w:r w:rsidR="007C0BB7">
        <w:t>The current advice provided by trial judges, however, is sufficient; jurors are advised that they may choose to speak with anyone they want, or not.</w:t>
      </w:r>
    </w:p>
    <w:p w14:paraId="72D8E0A5" w14:textId="00057794" w:rsidR="00DC38DE" w:rsidRDefault="00DC38DE" w:rsidP="00785721">
      <w:pPr>
        <w:spacing w:line="480" w:lineRule="auto"/>
        <w:ind w:firstLine="720"/>
        <w:jc w:val="both"/>
      </w:pPr>
      <w:r>
        <w:t xml:space="preserve">For </w:t>
      </w:r>
      <w:r w:rsidR="005057CD">
        <w:t>the</w:t>
      </w:r>
      <w:r>
        <w:t xml:space="preserve"> reasons</w:t>
      </w:r>
      <w:r w:rsidR="005057CD">
        <w:t xml:space="preserve"> set forth above</w:t>
      </w:r>
      <w:r>
        <w:t>, AACJ</w:t>
      </w:r>
      <w:r w:rsidR="00CE1CDE">
        <w:t>,</w:t>
      </w:r>
      <w:r w:rsidR="0011586C">
        <w:t xml:space="preserve"> ACRP</w:t>
      </w:r>
      <w:r>
        <w:t xml:space="preserve"> </w:t>
      </w:r>
      <w:r w:rsidR="00CE1CDE">
        <w:t xml:space="preserve">and MCPD </w:t>
      </w:r>
      <w:r>
        <w:t xml:space="preserve">respectfully request this Court </w:t>
      </w:r>
      <w:r w:rsidR="00042C2E">
        <w:t>deny</w:t>
      </w:r>
      <w:r w:rsidR="00FE0479">
        <w:t xml:space="preserve"> </w:t>
      </w:r>
      <w:r w:rsidR="00CE1CDE">
        <w:t xml:space="preserve">MCAO’s </w:t>
      </w:r>
      <w:r w:rsidR="00B4131A">
        <w:t>petition.</w:t>
      </w:r>
    </w:p>
    <w:p w14:paraId="796FC19B" w14:textId="5DA411D1" w:rsidR="00DC38DE" w:rsidRPr="0014499B" w:rsidRDefault="00DC38DE" w:rsidP="007F091F">
      <w:pPr>
        <w:spacing w:line="480" w:lineRule="auto"/>
        <w:ind w:left="720" w:firstLine="720"/>
        <w:jc w:val="both"/>
      </w:pPr>
      <w:r w:rsidRPr="0014499B">
        <w:lastRenderedPageBreak/>
        <w:t xml:space="preserve">DATED:  </w:t>
      </w:r>
      <w:r w:rsidR="00CE1CDE">
        <w:t>April __, 2019</w:t>
      </w:r>
    </w:p>
    <w:p w14:paraId="757E966A" w14:textId="77777777" w:rsidR="00F83BF1" w:rsidRPr="00342232" w:rsidRDefault="00F83BF1" w:rsidP="00F83BF1">
      <w:pPr>
        <w:spacing w:line="240" w:lineRule="auto"/>
      </w:pPr>
    </w:p>
    <w:p w14:paraId="65D75C93" w14:textId="77777777" w:rsidR="00F83BF1" w:rsidRPr="00342232" w:rsidRDefault="00F83BF1" w:rsidP="00DC38DE">
      <w:pPr>
        <w:spacing w:line="240" w:lineRule="auto"/>
      </w:pPr>
    </w:p>
    <w:p w14:paraId="120764C6" w14:textId="77777777" w:rsidR="0011586C" w:rsidRDefault="0011586C" w:rsidP="00DC38DE">
      <w:pPr>
        <w:spacing w:line="240" w:lineRule="auto"/>
      </w:pPr>
      <w:r>
        <w:t>ARIZONA CAPITAL REPRESENTATION PROJECT</w:t>
      </w:r>
    </w:p>
    <w:p w14:paraId="40B1AC96" w14:textId="77777777" w:rsidR="0011586C" w:rsidRDefault="0011586C" w:rsidP="00DC38DE">
      <w:pPr>
        <w:spacing w:line="240" w:lineRule="auto"/>
      </w:pPr>
    </w:p>
    <w:p w14:paraId="7B36DA38" w14:textId="77777777" w:rsidR="0011586C" w:rsidRDefault="0011586C" w:rsidP="00DC38DE">
      <w:pPr>
        <w:spacing w:line="240" w:lineRule="auto"/>
      </w:pPr>
    </w:p>
    <w:p w14:paraId="025E8D7C" w14:textId="77777777" w:rsidR="0011586C" w:rsidRDefault="0011586C" w:rsidP="00DC38DE">
      <w:pPr>
        <w:spacing w:line="240" w:lineRule="auto"/>
      </w:pPr>
    </w:p>
    <w:p w14:paraId="00667A55" w14:textId="25B1CA8A" w:rsidR="0011586C" w:rsidRPr="00342232" w:rsidRDefault="0011586C" w:rsidP="0011586C">
      <w:pPr>
        <w:spacing w:line="240" w:lineRule="auto"/>
      </w:pPr>
      <w:r w:rsidRPr="00342232">
        <w:t xml:space="preserve">By </w:t>
      </w:r>
      <w:r w:rsidRPr="00342232">
        <w:rPr>
          <w:u w:val="single"/>
        </w:rPr>
        <w:tab/>
        <w:t>/s/</w:t>
      </w:r>
      <w:r w:rsidR="00F252E5">
        <w:rPr>
          <w:i/>
          <w:u w:val="single"/>
        </w:rPr>
        <w:t>Natman Schaye</w:t>
      </w:r>
      <w:r w:rsidRPr="00342232">
        <w:rPr>
          <w:u w:val="single"/>
        </w:rPr>
        <w:tab/>
      </w:r>
      <w:r w:rsidRPr="00342232">
        <w:rPr>
          <w:u w:val="single"/>
        </w:rPr>
        <w:tab/>
      </w:r>
      <w:r w:rsidRPr="00342232">
        <w:rPr>
          <w:u w:val="single"/>
        </w:rPr>
        <w:tab/>
      </w:r>
      <w:r w:rsidRPr="00342232">
        <w:rPr>
          <w:u w:val="single"/>
        </w:rPr>
        <w:tab/>
      </w:r>
      <w:r w:rsidRPr="00342232">
        <w:rPr>
          <w:u w:val="single"/>
        </w:rPr>
        <w:tab/>
      </w:r>
      <w:r w:rsidRPr="00342232">
        <w:t xml:space="preserve"> </w:t>
      </w:r>
      <w:r w:rsidRPr="00342232">
        <w:tab/>
      </w:r>
    </w:p>
    <w:p w14:paraId="766FCFC4" w14:textId="77777777" w:rsidR="0011586C" w:rsidRDefault="0011586C" w:rsidP="00DC38DE">
      <w:pPr>
        <w:spacing w:line="240" w:lineRule="auto"/>
      </w:pPr>
      <w:r>
        <w:tab/>
        <w:t>Natman Schaye</w:t>
      </w:r>
    </w:p>
    <w:p w14:paraId="3A828E94" w14:textId="359CBC29" w:rsidR="0011586C" w:rsidRDefault="0011586C" w:rsidP="00DC38DE">
      <w:pPr>
        <w:spacing w:line="240" w:lineRule="auto"/>
      </w:pPr>
    </w:p>
    <w:p w14:paraId="525821C5" w14:textId="7ADE9B85" w:rsidR="00980626" w:rsidRPr="00F252E5" w:rsidRDefault="00980626" w:rsidP="00980626">
      <w:pPr>
        <w:spacing w:line="240" w:lineRule="auto"/>
      </w:pPr>
      <w:r w:rsidRPr="00F252E5">
        <w:t>MARICOPA COUNTY OFFICE OF THE PUBLIC DEFENDER</w:t>
      </w:r>
    </w:p>
    <w:p w14:paraId="1A145211" w14:textId="77777777" w:rsidR="00980626" w:rsidRPr="00F252E5" w:rsidRDefault="00980626" w:rsidP="00980626">
      <w:pPr>
        <w:spacing w:line="240" w:lineRule="auto"/>
      </w:pPr>
    </w:p>
    <w:p w14:paraId="189D254E" w14:textId="77777777" w:rsidR="00980626" w:rsidRPr="00F252E5" w:rsidRDefault="00980626" w:rsidP="00980626">
      <w:pPr>
        <w:spacing w:line="240" w:lineRule="auto"/>
      </w:pPr>
    </w:p>
    <w:p w14:paraId="5FACCD9E" w14:textId="18AB8E6A" w:rsidR="00980626" w:rsidRPr="00F252E5" w:rsidRDefault="00980626" w:rsidP="00980626">
      <w:pPr>
        <w:spacing w:line="240" w:lineRule="auto"/>
      </w:pPr>
      <w:r w:rsidRPr="00F252E5">
        <w:t xml:space="preserve">By </w:t>
      </w:r>
      <w:r w:rsidRPr="00F252E5">
        <w:rPr>
          <w:u w:val="single"/>
        </w:rPr>
        <w:tab/>
        <w:t>/s/</w:t>
      </w:r>
      <w:r w:rsidR="00F252E5">
        <w:rPr>
          <w:i/>
          <w:u w:val="single"/>
        </w:rPr>
        <w:t>John Canby</w:t>
      </w:r>
      <w:r w:rsidRPr="00F252E5">
        <w:rPr>
          <w:u w:val="single"/>
        </w:rPr>
        <w:tab/>
      </w:r>
      <w:r w:rsidRPr="00F252E5">
        <w:rPr>
          <w:u w:val="single"/>
        </w:rPr>
        <w:tab/>
      </w:r>
      <w:r w:rsidRPr="00F252E5">
        <w:rPr>
          <w:u w:val="single"/>
        </w:rPr>
        <w:tab/>
      </w:r>
      <w:r w:rsidRPr="00F252E5">
        <w:rPr>
          <w:u w:val="single"/>
        </w:rPr>
        <w:tab/>
      </w:r>
      <w:r w:rsidRPr="00F252E5">
        <w:rPr>
          <w:u w:val="single"/>
        </w:rPr>
        <w:tab/>
      </w:r>
      <w:r w:rsidRPr="00F252E5">
        <w:t xml:space="preserve"> </w:t>
      </w:r>
      <w:r w:rsidRPr="00F252E5">
        <w:tab/>
      </w:r>
    </w:p>
    <w:p w14:paraId="03590DA7" w14:textId="45D55ECE" w:rsidR="00980626" w:rsidRPr="00F252E5" w:rsidRDefault="00980626" w:rsidP="00980626">
      <w:pPr>
        <w:spacing w:line="240" w:lineRule="auto"/>
      </w:pPr>
      <w:r w:rsidRPr="00F252E5">
        <w:tab/>
        <w:t>John Canby</w:t>
      </w:r>
    </w:p>
    <w:p w14:paraId="0A6D7EB0" w14:textId="77777777" w:rsidR="00980626" w:rsidRPr="00FF5E32" w:rsidRDefault="00980626" w:rsidP="00980626">
      <w:pPr>
        <w:spacing w:line="240" w:lineRule="auto"/>
        <w:rPr>
          <w:color w:val="FF0000"/>
        </w:rPr>
      </w:pPr>
    </w:p>
    <w:p w14:paraId="1853872A" w14:textId="77777777" w:rsidR="007C0BB7" w:rsidRPr="00342232" w:rsidRDefault="007C0BB7" w:rsidP="007C0BB7">
      <w:pPr>
        <w:spacing w:line="240" w:lineRule="auto"/>
      </w:pPr>
      <w:r w:rsidRPr="00342232">
        <w:t>ARIZONA ATTORNEYS FOR CRIMINAL JUSTICE</w:t>
      </w:r>
    </w:p>
    <w:p w14:paraId="57750B88" w14:textId="77777777" w:rsidR="007C0BB7" w:rsidRPr="00342232" w:rsidRDefault="007C0BB7" w:rsidP="007C0BB7">
      <w:pPr>
        <w:spacing w:line="240" w:lineRule="auto"/>
      </w:pPr>
    </w:p>
    <w:p w14:paraId="40483FDD" w14:textId="77777777" w:rsidR="007C0BB7" w:rsidRPr="00342232" w:rsidRDefault="007C0BB7" w:rsidP="007C0BB7">
      <w:pPr>
        <w:spacing w:line="240" w:lineRule="auto"/>
      </w:pPr>
    </w:p>
    <w:p w14:paraId="2EC6EADC" w14:textId="595CCF59" w:rsidR="007C0BB7" w:rsidRPr="00342232" w:rsidRDefault="007C0BB7" w:rsidP="007C0BB7">
      <w:pPr>
        <w:spacing w:line="240" w:lineRule="auto"/>
      </w:pPr>
      <w:r w:rsidRPr="00342232">
        <w:t xml:space="preserve">By </w:t>
      </w:r>
      <w:r w:rsidRPr="00342232">
        <w:rPr>
          <w:u w:val="single"/>
        </w:rPr>
        <w:tab/>
        <w:t>/s/</w:t>
      </w:r>
      <w:r w:rsidR="00F252E5">
        <w:rPr>
          <w:i/>
          <w:u w:val="single"/>
        </w:rPr>
        <w:t>David J. Euchner</w:t>
      </w:r>
      <w:r w:rsidRPr="00342232">
        <w:rPr>
          <w:u w:val="single"/>
        </w:rPr>
        <w:tab/>
      </w:r>
      <w:r w:rsidRPr="00342232">
        <w:rPr>
          <w:u w:val="single"/>
        </w:rPr>
        <w:tab/>
      </w:r>
      <w:r w:rsidRPr="00342232">
        <w:rPr>
          <w:u w:val="single"/>
        </w:rPr>
        <w:tab/>
      </w:r>
      <w:r w:rsidRPr="00342232">
        <w:rPr>
          <w:u w:val="single"/>
        </w:rPr>
        <w:tab/>
      </w:r>
      <w:r w:rsidRPr="00342232">
        <w:rPr>
          <w:u w:val="single"/>
        </w:rPr>
        <w:tab/>
      </w:r>
      <w:r w:rsidRPr="00342232">
        <w:t xml:space="preserve"> </w:t>
      </w:r>
      <w:r w:rsidRPr="00342232">
        <w:tab/>
      </w:r>
    </w:p>
    <w:p w14:paraId="202CD124" w14:textId="2B77FF18" w:rsidR="007C0BB7" w:rsidRPr="00342232" w:rsidRDefault="007C0BB7" w:rsidP="007C0BB7">
      <w:pPr>
        <w:spacing w:line="240" w:lineRule="auto"/>
        <w:ind w:firstLine="720"/>
      </w:pPr>
      <w:r>
        <w:t>David J. Euchner</w:t>
      </w:r>
    </w:p>
    <w:p w14:paraId="72601609" w14:textId="77777777" w:rsidR="007C0BB7" w:rsidRPr="00342232" w:rsidRDefault="007C0BB7" w:rsidP="007C0BB7">
      <w:pPr>
        <w:spacing w:line="240" w:lineRule="auto"/>
      </w:pPr>
    </w:p>
    <w:p w14:paraId="58EB2EA2" w14:textId="5168F077" w:rsidR="00CE1CDE" w:rsidRDefault="00CE1CDE" w:rsidP="00DC38DE">
      <w:pPr>
        <w:spacing w:line="240" w:lineRule="auto"/>
      </w:pPr>
    </w:p>
    <w:p w14:paraId="41DDE97C" w14:textId="77777777" w:rsidR="00CE1CDE" w:rsidRDefault="00CE1CDE" w:rsidP="00DC38DE">
      <w:pPr>
        <w:spacing w:line="240" w:lineRule="auto"/>
      </w:pPr>
    </w:p>
    <w:p w14:paraId="3DA4A180" w14:textId="77777777" w:rsidR="00DC38DE" w:rsidRPr="00342232" w:rsidRDefault="00DC38DE" w:rsidP="00DC38DE">
      <w:pPr>
        <w:spacing w:line="240" w:lineRule="auto"/>
      </w:pPr>
      <w:r w:rsidRPr="00342232">
        <w:t>This comment e-filed this date with:</w:t>
      </w:r>
    </w:p>
    <w:p w14:paraId="6FD48E41" w14:textId="77777777" w:rsidR="00DC38DE" w:rsidRPr="00342232" w:rsidRDefault="00DC38DE" w:rsidP="00DC38DE">
      <w:pPr>
        <w:spacing w:line="240" w:lineRule="auto"/>
      </w:pPr>
    </w:p>
    <w:p w14:paraId="48623CE3" w14:textId="77777777" w:rsidR="00DC38DE" w:rsidRPr="00342232" w:rsidRDefault="00DC38DE" w:rsidP="00DC38DE">
      <w:pPr>
        <w:spacing w:line="240" w:lineRule="auto"/>
      </w:pPr>
      <w:r w:rsidRPr="00342232">
        <w:t xml:space="preserve">Supreme Court of </w:t>
      </w:r>
      <w:smartTag w:uri="urn:schemas-microsoft-com:office:smarttags" w:element="place">
        <w:smartTag w:uri="urn:schemas-microsoft-com:office:smarttags" w:element="State">
          <w:r w:rsidRPr="00342232">
            <w:t>Arizona</w:t>
          </w:r>
        </w:smartTag>
      </w:smartTag>
    </w:p>
    <w:p w14:paraId="7BC6B23E" w14:textId="77777777" w:rsidR="00DC38DE" w:rsidRPr="00342232" w:rsidRDefault="00DC38DE" w:rsidP="00DC38DE">
      <w:pPr>
        <w:spacing w:line="240" w:lineRule="auto"/>
      </w:pPr>
      <w:r w:rsidRPr="00342232">
        <w:t xml:space="preserve">1501 </w:t>
      </w:r>
      <w:smartTag w:uri="urn:schemas-microsoft-com:office:smarttags" w:element="place">
        <w:r w:rsidRPr="00342232">
          <w:t>West Jefferson</w:t>
        </w:r>
      </w:smartTag>
    </w:p>
    <w:p w14:paraId="10B0F64D" w14:textId="77777777" w:rsidR="00DC38DE" w:rsidRPr="00342232" w:rsidRDefault="00DC38DE" w:rsidP="00DC38DE">
      <w:pPr>
        <w:spacing w:line="240" w:lineRule="auto"/>
      </w:pPr>
      <w:smartTag w:uri="urn:schemas-microsoft-com:office:smarttags" w:element="place">
        <w:smartTag w:uri="urn:schemas-microsoft-com:office:smarttags" w:element="City">
          <w:r w:rsidRPr="00342232">
            <w:t>Phoenix</w:t>
          </w:r>
        </w:smartTag>
        <w:r w:rsidRPr="00342232">
          <w:t xml:space="preserve">, </w:t>
        </w:r>
        <w:smartTag w:uri="urn:schemas-microsoft-com:office:smarttags" w:element="State">
          <w:r w:rsidRPr="00342232">
            <w:t>AZ</w:t>
          </w:r>
        </w:smartTag>
        <w:r w:rsidRPr="00342232">
          <w:t xml:space="preserve"> </w:t>
        </w:r>
        <w:smartTag w:uri="urn:schemas-microsoft-com:office:smarttags" w:element="PostalCode">
          <w:r w:rsidRPr="00342232">
            <w:t>85007-3329</w:t>
          </w:r>
        </w:smartTag>
      </w:smartTag>
    </w:p>
    <w:p w14:paraId="6FE5B286" w14:textId="77777777" w:rsidR="00DC38DE" w:rsidRPr="00342232" w:rsidRDefault="00DC38DE" w:rsidP="00DC38DE">
      <w:pPr>
        <w:spacing w:line="240" w:lineRule="auto"/>
      </w:pPr>
    </w:p>
    <w:p w14:paraId="59FEB49E" w14:textId="77777777" w:rsidR="00DC38DE" w:rsidRDefault="00DC38DE" w:rsidP="00DC38DE">
      <w:pPr>
        <w:spacing w:line="240" w:lineRule="auto"/>
      </w:pPr>
    </w:p>
    <w:p w14:paraId="1B63E7A5" w14:textId="19CC649A" w:rsidR="004D72A3" w:rsidRDefault="004D72A3" w:rsidP="00DC38DE">
      <w:pPr>
        <w:spacing w:line="240" w:lineRule="auto"/>
      </w:pPr>
    </w:p>
    <w:sectPr w:rsidR="004D72A3"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F3F2F" w14:textId="77777777" w:rsidR="00603D28" w:rsidRDefault="00603D28">
      <w:r>
        <w:separator/>
      </w:r>
    </w:p>
  </w:endnote>
  <w:endnote w:type="continuationSeparator" w:id="0">
    <w:p w14:paraId="6542B342" w14:textId="77777777" w:rsidR="00603D28" w:rsidRDefault="0060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2BA4" w14:textId="77777777" w:rsidR="00C73EF0" w:rsidRDefault="00BB2149" w:rsidP="004B3410">
    <w:pPr>
      <w:pStyle w:val="Footer"/>
      <w:framePr w:wrap="around" w:vAnchor="text" w:hAnchor="margin" w:xAlign="center" w:y="1"/>
      <w:rPr>
        <w:rStyle w:val="PageNumber"/>
      </w:rPr>
    </w:pPr>
    <w:r>
      <w:rPr>
        <w:rStyle w:val="PageNumber"/>
      </w:rPr>
      <w:fldChar w:fldCharType="begin"/>
    </w:r>
    <w:r w:rsidR="00C73EF0">
      <w:rPr>
        <w:rStyle w:val="PageNumber"/>
      </w:rPr>
      <w:instrText xml:space="preserve">PAGE  </w:instrText>
    </w:r>
    <w:r>
      <w:rPr>
        <w:rStyle w:val="PageNumber"/>
      </w:rPr>
      <w:fldChar w:fldCharType="end"/>
    </w:r>
  </w:p>
  <w:p w14:paraId="666FFC3B" w14:textId="77777777" w:rsidR="00C73EF0" w:rsidRDefault="00C73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4F380" w14:textId="597B3DF1" w:rsidR="00C73EF0" w:rsidRDefault="00BB2149" w:rsidP="004B3410">
    <w:pPr>
      <w:pStyle w:val="Footer"/>
      <w:framePr w:wrap="around" w:vAnchor="text" w:hAnchor="margin" w:xAlign="center" w:y="1"/>
      <w:rPr>
        <w:rStyle w:val="PageNumber"/>
      </w:rPr>
    </w:pPr>
    <w:r>
      <w:rPr>
        <w:rStyle w:val="PageNumber"/>
      </w:rPr>
      <w:fldChar w:fldCharType="begin"/>
    </w:r>
    <w:r w:rsidR="00C73EF0">
      <w:rPr>
        <w:rStyle w:val="PageNumber"/>
      </w:rPr>
      <w:instrText xml:space="preserve">PAGE  </w:instrText>
    </w:r>
    <w:r>
      <w:rPr>
        <w:rStyle w:val="PageNumber"/>
      </w:rPr>
      <w:fldChar w:fldCharType="separate"/>
    </w:r>
    <w:r w:rsidR="00F0712C">
      <w:rPr>
        <w:rStyle w:val="PageNumber"/>
        <w:noProof/>
      </w:rPr>
      <w:t>21</w:t>
    </w:r>
    <w:r>
      <w:rPr>
        <w:rStyle w:val="PageNumber"/>
      </w:rPr>
      <w:fldChar w:fldCharType="end"/>
    </w:r>
  </w:p>
  <w:p w14:paraId="57DE65F7" w14:textId="77777777" w:rsidR="00C73EF0" w:rsidRDefault="00C73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0AED" w14:textId="77777777" w:rsidR="00603D28" w:rsidRDefault="00603D28">
      <w:r>
        <w:separator/>
      </w:r>
    </w:p>
  </w:footnote>
  <w:footnote w:type="continuationSeparator" w:id="0">
    <w:p w14:paraId="4CC47772" w14:textId="77777777" w:rsidR="00603D28" w:rsidRDefault="00603D28">
      <w:r>
        <w:continuationSeparator/>
      </w:r>
    </w:p>
  </w:footnote>
  <w:footnote w:id="1">
    <w:p w14:paraId="32F1F1E6" w14:textId="7181E38B" w:rsidR="00F65738" w:rsidRPr="00FF5E32" w:rsidRDefault="00F65738" w:rsidP="00696A86">
      <w:pPr>
        <w:pStyle w:val="FootnoteText"/>
        <w:spacing w:line="240" w:lineRule="auto"/>
        <w:jc w:val="both"/>
        <w:rPr>
          <w:sz w:val="28"/>
        </w:rPr>
      </w:pPr>
      <w:r w:rsidRPr="00696A86">
        <w:rPr>
          <w:rStyle w:val="FootnoteReference"/>
          <w:sz w:val="28"/>
        </w:rPr>
        <w:footnoteRef/>
      </w:r>
      <w:r w:rsidR="00977852">
        <w:rPr>
          <w:sz w:val="28"/>
        </w:rPr>
        <w:t xml:space="preserve"> </w:t>
      </w:r>
      <w:r>
        <w:rPr>
          <w:sz w:val="28"/>
        </w:rPr>
        <w:t>MCAO’s proposal that a provision be added (Rule 18.5(j)) barring contact with “prospective jurors, alternate jurors, or jurors who have not been discharged” is wholly unnecessary.  Every judge in Arizona imposes this requirement in every trial.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33142F"/>
    <w:multiLevelType w:val="hybridMultilevel"/>
    <w:tmpl w:val="57F00652"/>
    <w:lvl w:ilvl="0" w:tplc="C37A9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43132D"/>
    <w:multiLevelType w:val="hybridMultilevel"/>
    <w:tmpl w:val="42C4BF84"/>
    <w:lvl w:ilvl="0" w:tplc="0409000F">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A2160"/>
    <w:multiLevelType w:val="hybridMultilevel"/>
    <w:tmpl w:val="1CCA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C27D0"/>
    <w:multiLevelType w:val="hybridMultilevel"/>
    <w:tmpl w:val="FF32A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0252"/>
    <w:rsid w:val="00003247"/>
    <w:rsid w:val="00010757"/>
    <w:rsid w:val="000170EA"/>
    <w:rsid w:val="00030DFC"/>
    <w:rsid w:val="000347CF"/>
    <w:rsid w:val="00036CF2"/>
    <w:rsid w:val="00042C2E"/>
    <w:rsid w:val="0004305F"/>
    <w:rsid w:val="000479F9"/>
    <w:rsid w:val="000539C9"/>
    <w:rsid w:val="00053F59"/>
    <w:rsid w:val="00057960"/>
    <w:rsid w:val="00067B4D"/>
    <w:rsid w:val="000759BB"/>
    <w:rsid w:val="00075EF6"/>
    <w:rsid w:val="00076CBE"/>
    <w:rsid w:val="0008321E"/>
    <w:rsid w:val="00092D1D"/>
    <w:rsid w:val="00094AC3"/>
    <w:rsid w:val="000A3157"/>
    <w:rsid w:val="000B1D0D"/>
    <w:rsid w:val="000B3D5C"/>
    <w:rsid w:val="000C16E5"/>
    <w:rsid w:val="000D1929"/>
    <w:rsid w:val="000D5F5E"/>
    <w:rsid w:val="000E25D0"/>
    <w:rsid w:val="000E309A"/>
    <w:rsid w:val="000E7FAC"/>
    <w:rsid w:val="000F15A3"/>
    <w:rsid w:val="000F2B04"/>
    <w:rsid w:val="000F39D6"/>
    <w:rsid w:val="000F4B6A"/>
    <w:rsid w:val="00104C2D"/>
    <w:rsid w:val="00105DEB"/>
    <w:rsid w:val="00107DC5"/>
    <w:rsid w:val="0011586C"/>
    <w:rsid w:val="001241F1"/>
    <w:rsid w:val="00124DD4"/>
    <w:rsid w:val="00125A1E"/>
    <w:rsid w:val="001269D9"/>
    <w:rsid w:val="00132861"/>
    <w:rsid w:val="00141C61"/>
    <w:rsid w:val="001468D0"/>
    <w:rsid w:val="001516C5"/>
    <w:rsid w:val="00171EA4"/>
    <w:rsid w:val="00175B0A"/>
    <w:rsid w:val="00186903"/>
    <w:rsid w:val="001921F6"/>
    <w:rsid w:val="001C02C6"/>
    <w:rsid w:val="001C30CE"/>
    <w:rsid w:val="001C60A4"/>
    <w:rsid w:val="001D02F5"/>
    <w:rsid w:val="001D7FC4"/>
    <w:rsid w:val="001E0466"/>
    <w:rsid w:val="001F087D"/>
    <w:rsid w:val="001F3662"/>
    <w:rsid w:val="00203346"/>
    <w:rsid w:val="00205E43"/>
    <w:rsid w:val="002155A2"/>
    <w:rsid w:val="00226BAE"/>
    <w:rsid w:val="00231484"/>
    <w:rsid w:val="00235C89"/>
    <w:rsid w:val="00237289"/>
    <w:rsid w:val="00274A2A"/>
    <w:rsid w:val="00277D78"/>
    <w:rsid w:val="00284E5B"/>
    <w:rsid w:val="00285283"/>
    <w:rsid w:val="002A3420"/>
    <w:rsid w:val="002C03E2"/>
    <w:rsid w:val="002C0EDD"/>
    <w:rsid w:val="002C5034"/>
    <w:rsid w:val="002D428C"/>
    <w:rsid w:val="002E545E"/>
    <w:rsid w:val="002E5573"/>
    <w:rsid w:val="002E7F5D"/>
    <w:rsid w:val="002F1FBD"/>
    <w:rsid w:val="002F587D"/>
    <w:rsid w:val="003055A7"/>
    <w:rsid w:val="00307338"/>
    <w:rsid w:val="00311552"/>
    <w:rsid w:val="00342232"/>
    <w:rsid w:val="00343018"/>
    <w:rsid w:val="003605DE"/>
    <w:rsid w:val="003744F3"/>
    <w:rsid w:val="00376665"/>
    <w:rsid w:val="00380B0B"/>
    <w:rsid w:val="00386826"/>
    <w:rsid w:val="00387BE6"/>
    <w:rsid w:val="003933B3"/>
    <w:rsid w:val="003A2343"/>
    <w:rsid w:val="003A63AE"/>
    <w:rsid w:val="003B2B82"/>
    <w:rsid w:val="003C15EA"/>
    <w:rsid w:val="003C6246"/>
    <w:rsid w:val="003D0216"/>
    <w:rsid w:val="003E1901"/>
    <w:rsid w:val="003E1F26"/>
    <w:rsid w:val="003E5927"/>
    <w:rsid w:val="003F2C52"/>
    <w:rsid w:val="003F366C"/>
    <w:rsid w:val="00407228"/>
    <w:rsid w:val="00412084"/>
    <w:rsid w:val="0041282A"/>
    <w:rsid w:val="00431929"/>
    <w:rsid w:val="004434F1"/>
    <w:rsid w:val="00444EDB"/>
    <w:rsid w:val="00445EC6"/>
    <w:rsid w:val="00447669"/>
    <w:rsid w:val="00451F00"/>
    <w:rsid w:val="00453801"/>
    <w:rsid w:val="004570ED"/>
    <w:rsid w:val="00460ED0"/>
    <w:rsid w:val="00473113"/>
    <w:rsid w:val="0048435C"/>
    <w:rsid w:val="00485FAA"/>
    <w:rsid w:val="00487F49"/>
    <w:rsid w:val="00493A61"/>
    <w:rsid w:val="004940B2"/>
    <w:rsid w:val="004A124E"/>
    <w:rsid w:val="004A2A47"/>
    <w:rsid w:val="004B3410"/>
    <w:rsid w:val="004B6919"/>
    <w:rsid w:val="004C7133"/>
    <w:rsid w:val="004D3005"/>
    <w:rsid w:val="004D72A3"/>
    <w:rsid w:val="004E600A"/>
    <w:rsid w:val="004E66AE"/>
    <w:rsid w:val="004E6839"/>
    <w:rsid w:val="004F16A7"/>
    <w:rsid w:val="004F27C6"/>
    <w:rsid w:val="004F37E6"/>
    <w:rsid w:val="004F3B51"/>
    <w:rsid w:val="005007C6"/>
    <w:rsid w:val="0050135E"/>
    <w:rsid w:val="00502211"/>
    <w:rsid w:val="005057CD"/>
    <w:rsid w:val="005123E4"/>
    <w:rsid w:val="00512EB9"/>
    <w:rsid w:val="00520D53"/>
    <w:rsid w:val="00535FEA"/>
    <w:rsid w:val="00536AB9"/>
    <w:rsid w:val="00553515"/>
    <w:rsid w:val="00556A2D"/>
    <w:rsid w:val="0055782D"/>
    <w:rsid w:val="00561FC4"/>
    <w:rsid w:val="00564B9C"/>
    <w:rsid w:val="00572E4B"/>
    <w:rsid w:val="00575058"/>
    <w:rsid w:val="00575883"/>
    <w:rsid w:val="00581732"/>
    <w:rsid w:val="00587EF9"/>
    <w:rsid w:val="005924A7"/>
    <w:rsid w:val="0059629B"/>
    <w:rsid w:val="005A2AA2"/>
    <w:rsid w:val="005A78B5"/>
    <w:rsid w:val="005B0C4F"/>
    <w:rsid w:val="005B485B"/>
    <w:rsid w:val="005B53BE"/>
    <w:rsid w:val="005B6B42"/>
    <w:rsid w:val="005B7899"/>
    <w:rsid w:val="005C109B"/>
    <w:rsid w:val="005D0BE5"/>
    <w:rsid w:val="005E14D9"/>
    <w:rsid w:val="005E2372"/>
    <w:rsid w:val="005F0195"/>
    <w:rsid w:val="005F4669"/>
    <w:rsid w:val="005F6D81"/>
    <w:rsid w:val="00603D28"/>
    <w:rsid w:val="006040D6"/>
    <w:rsid w:val="006114B6"/>
    <w:rsid w:val="00617CD9"/>
    <w:rsid w:val="006207F9"/>
    <w:rsid w:val="00627DBE"/>
    <w:rsid w:val="00635786"/>
    <w:rsid w:val="006378F2"/>
    <w:rsid w:val="00656061"/>
    <w:rsid w:val="00664D81"/>
    <w:rsid w:val="0067350A"/>
    <w:rsid w:val="00674178"/>
    <w:rsid w:val="006774C5"/>
    <w:rsid w:val="00696A86"/>
    <w:rsid w:val="006C0F08"/>
    <w:rsid w:val="006C2808"/>
    <w:rsid w:val="006C5B68"/>
    <w:rsid w:val="006C648E"/>
    <w:rsid w:val="006D0085"/>
    <w:rsid w:val="006D4397"/>
    <w:rsid w:val="006D5869"/>
    <w:rsid w:val="006E34AB"/>
    <w:rsid w:val="006E7C92"/>
    <w:rsid w:val="006F020D"/>
    <w:rsid w:val="006F16FB"/>
    <w:rsid w:val="006F5562"/>
    <w:rsid w:val="006F594D"/>
    <w:rsid w:val="00701CE7"/>
    <w:rsid w:val="0070604A"/>
    <w:rsid w:val="00713F48"/>
    <w:rsid w:val="00720596"/>
    <w:rsid w:val="00725028"/>
    <w:rsid w:val="00746FCD"/>
    <w:rsid w:val="00760549"/>
    <w:rsid w:val="007615D3"/>
    <w:rsid w:val="007626EF"/>
    <w:rsid w:val="00764591"/>
    <w:rsid w:val="0076670D"/>
    <w:rsid w:val="007669E7"/>
    <w:rsid w:val="00771CEB"/>
    <w:rsid w:val="00781317"/>
    <w:rsid w:val="0078270D"/>
    <w:rsid w:val="00785721"/>
    <w:rsid w:val="00787905"/>
    <w:rsid w:val="00794743"/>
    <w:rsid w:val="007973A8"/>
    <w:rsid w:val="007B4B94"/>
    <w:rsid w:val="007B4ECB"/>
    <w:rsid w:val="007C0BB7"/>
    <w:rsid w:val="007C12E3"/>
    <w:rsid w:val="007C17AC"/>
    <w:rsid w:val="007D2D04"/>
    <w:rsid w:val="007D65F4"/>
    <w:rsid w:val="007F091F"/>
    <w:rsid w:val="007F35A8"/>
    <w:rsid w:val="007F78B2"/>
    <w:rsid w:val="00801F68"/>
    <w:rsid w:val="00807A9C"/>
    <w:rsid w:val="0081392B"/>
    <w:rsid w:val="0081534B"/>
    <w:rsid w:val="00823358"/>
    <w:rsid w:val="008272AA"/>
    <w:rsid w:val="00834614"/>
    <w:rsid w:val="00837F9E"/>
    <w:rsid w:val="00841AB1"/>
    <w:rsid w:val="008425DB"/>
    <w:rsid w:val="0084624A"/>
    <w:rsid w:val="00850E1C"/>
    <w:rsid w:val="0085287F"/>
    <w:rsid w:val="0085755C"/>
    <w:rsid w:val="008579E3"/>
    <w:rsid w:val="00870A00"/>
    <w:rsid w:val="00876503"/>
    <w:rsid w:val="00876BB3"/>
    <w:rsid w:val="00876C65"/>
    <w:rsid w:val="00896316"/>
    <w:rsid w:val="008A0573"/>
    <w:rsid w:val="008A05D5"/>
    <w:rsid w:val="008B3751"/>
    <w:rsid w:val="008B7D55"/>
    <w:rsid w:val="008C0D65"/>
    <w:rsid w:val="008C682F"/>
    <w:rsid w:val="008D3474"/>
    <w:rsid w:val="008D575C"/>
    <w:rsid w:val="008E04BA"/>
    <w:rsid w:val="00900131"/>
    <w:rsid w:val="009037A7"/>
    <w:rsid w:val="009049C6"/>
    <w:rsid w:val="00905437"/>
    <w:rsid w:val="00923420"/>
    <w:rsid w:val="00936450"/>
    <w:rsid w:val="009370AD"/>
    <w:rsid w:val="0093721A"/>
    <w:rsid w:val="00956F98"/>
    <w:rsid w:val="00960792"/>
    <w:rsid w:val="00977852"/>
    <w:rsid w:val="00980626"/>
    <w:rsid w:val="009815B4"/>
    <w:rsid w:val="009925B6"/>
    <w:rsid w:val="009A1439"/>
    <w:rsid w:val="009A3A63"/>
    <w:rsid w:val="009B5920"/>
    <w:rsid w:val="009C525E"/>
    <w:rsid w:val="009E00F4"/>
    <w:rsid w:val="009E2FB3"/>
    <w:rsid w:val="009F0CE6"/>
    <w:rsid w:val="00A00B20"/>
    <w:rsid w:val="00A0443C"/>
    <w:rsid w:val="00A06BDB"/>
    <w:rsid w:val="00A204A8"/>
    <w:rsid w:val="00A214EF"/>
    <w:rsid w:val="00A27A5D"/>
    <w:rsid w:val="00A32E1E"/>
    <w:rsid w:val="00A42EAA"/>
    <w:rsid w:val="00A513FB"/>
    <w:rsid w:val="00A56029"/>
    <w:rsid w:val="00A84299"/>
    <w:rsid w:val="00A86C90"/>
    <w:rsid w:val="00AB177B"/>
    <w:rsid w:val="00AC1296"/>
    <w:rsid w:val="00AC2190"/>
    <w:rsid w:val="00AD0B3D"/>
    <w:rsid w:val="00AD43A6"/>
    <w:rsid w:val="00B22094"/>
    <w:rsid w:val="00B3746B"/>
    <w:rsid w:val="00B40EF1"/>
    <w:rsid w:val="00B4131A"/>
    <w:rsid w:val="00B43E0F"/>
    <w:rsid w:val="00B46103"/>
    <w:rsid w:val="00B54D9F"/>
    <w:rsid w:val="00B64BFD"/>
    <w:rsid w:val="00B72EC6"/>
    <w:rsid w:val="00B77663"/>
    <w:rsid w:val="00B854D3"/>
    <w:rsid w:val="00B85915"/>
    <w:rsid w:val="00B90C53"/>
    <w:rsid w:val="00BA7D16"/>
    <w:rsid w:val="00BB1D01"/>
    <w:rsid w:val="00BB2149"/>
    <w:rsid w:val="00BD1411"/>
    <w:rsid w:val="00BE1C39"/>
    <w:rsid w:val="00BF0102"/>
    <w:rsid w:val="00BF6973"/>
    <w:rsid w:val="00C047E6"/>
    <w:rsid w:val="00C10845"/>
    <w:rsid w:val="00C1246C"/>
    <w:rsid w:val="00C24E2D"/>
    <w:rsid w:val="00C3108B"/>
    <w:rsid w:val="00C37271"/>
    <w:rsid w:val="00C40941"/>
    <w:rsid w:val="00C4373A"/>
    <w:rsid w:val="00C44CA0"/>
    <w:rsid w:val="00C47D87"/>
    <w:rsid w:val="00C516BC"/>
    <w:rsid w:val="00C71726"/>
    <w:rsid w:val="00C73EF0"/>
    <w:rsid w:val="00C823D6"/>
    <w:rsid w:val="00C838EB"/>
    <w:rsid w:val="00C85A70"/>
    <w:rsid w:val="00C86967"/>
    <w:rsid w:val="00C928B5"/>
    <w:rsid w:val="00C97315"/>
    <w:rsid w:val="00CA009E"/>
    <w:rsid w:val="00CA18B8"/>
    <w:rsid w:val="00CB17EA"/>
    <w:rsid w:val="00CC16F3"/>
    <w:rsid w:val="00CC3610"/>
    <w:rsid w:val="00CD45E7"/>
    <w:rsid w:val="00CE08E0"/>
    <w:rsid w:val="00CE1CDE"/>
    <w:rsid w:val="00D145C4"/>
    <w:rsid w:val="00D201BD"/>
    <w:rsid w:val="00D26ED2"/>
    <w:rsid w:val="00D279C6"/>
    <w:rsid w:val="00D46600"/>
    <w:rsid w:val="00D569DB"/>
    <w:rsid w:val="00D65136"/>
    <w:rsid w:val="00D71F16"/>
    <w:rsid w:val="00D752FC"/>
    <w:rsid w:val="00D77E36"/>
    <w:rsid w:val="00D94226"/>
    <w:rsid w:val="00D94988"/>
    <w:rsid w:val="00D94D24"/>
    <w:rsid w:val="00D95EA8"/>
    <w:rsid w:val="00DA2BE7"/>
    <w:rsid w:val="00DB048B"/>
    <w:rsid w:val="00DB2614"/>
    <w:rsid w:val="00DB3C6C"/>
    <w:rsid w:val="00DC38DE"/>
    <w:rsid w:val="00DD2025"/>
    <w:rsid w:val="00DD59E4"/>
    <w:rsid w:val="00DE6EF2"/>
    <w:rsid w:val="00DF0282"/>
    <w:rsid w:val="00DF6693"/>
    <w:rsid w:val="00E0202A"/>
    <w:rsid w:val="00E16B5B"/>
    <w:rsid w:val="00E21F2B"/>
    <w:rsid w:val="00E279B4"/>
    <w:rsid w:val="00E33388"/>
    <w:rsid w:val="00E34337"/>
    <w:rsid w:val="00E3640D"/>
    <w:rsid w:val="00E379BB"/>
    <w:rsid w:val="00E45F50"/>
    <w:rsid w:val="00E65244"/>
    <w:rsid w:val="00E82BBA"/>
    <w:rsid w:val="00E833FA"/>
    <w:rsid w:val="00E83969"/>
    <w:rsid w:val="00E84532"/>
    <w:rsid w:val="00E84B24"/>
    <w:rsid w:val="00E92880"/>
    <w:rsid w:val="00EA3FB7"/>
    <w:rsid w:val="00EA4303"/>
    <w:rsid w:val="00EB4C5D"/>
    <w:rsid w:val="00EC6233"/>
    <w:rsid w:val="00EC6E63"/>
    <w:rsid w:val="00EE05C5"/>
    <w:rsid w:val="00EE6669"/>
    <w:rsid w:val="00EE6ADE"/>
    <w:rsid w:val="00EE7CA3"/>
    <w:rsid w:val="00EF5061"/>
    <w:rsid w:val="00F03F5F"/>
    <w:rsid w:val="00F05072"/>
    <w:rsid w:val="00F0712C"/>
    <w:rsid w:val="00F16ADA"/>
    <w:rsid w:val="00F23A9F"/>
    <w:rsid w:val="00F252E5"/>
    <w:rsid w:val="00F306C9"/>
    <w:rsid w:val="00F33A8F"/>
    <w:rsid w:val="00F4743E"/>
    <w:rsid w:val="00F52198"/>
    <w:rsid w:val="00F53F36"/>
    <w:rsid w:val="00F54AAE"/>
    <w:rsid w:val="00F57189"/>
    <w:rsid w:val="00F65738"/>
    <w:rsid w:val="00F65C1C"/>
    <w:rsid w:val="00F70D9D"/>
    <w:rsid w:val="00F72E82"/>
    <w:rsid w:val="00F74E60"/>
    <w:rsid w:val="00F760DD"/>
    <w:rsid w:val="00F81718"/>
    <w:rsid w:val="00F82A1D"/>
    <w:rsid w:val="00F83BF1"/>
    <w:rsid w:val="00F83D96"/>
    <w:rsid w:val="00F869AF"/>
    <w:rsid w:val="00F95520"/>
    <w:rsid w:val="00FA3DAA"/>
    <w:rsid w:val="00FA61DF"/>
    <w:rsid w:val="00FB0718"/>
    <w:rsid w:val="00FB276E"/>
    <w:rsid w:val="00FB756E"/>
    <w:rsid w:val="00FB7683"/>
    <w:rsid w:val="00FC0BB6"/>
    <w:rsid w:val="00FC51B3"/>
    <w:rsid w:val="00FD7015"/>
    <w:rsid w:val="00FE0479"/>
    <w:rsid w:val="00FF0BFD"/>
    <w:rsid w:val="00FF28D2"/>
    <w:rsid w:val="00FF3F3A"/>
    <w:rsid w:val="00FF5D0A"/>
    <w:rsid w:val="00FF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EDD274F"/>
  <w15:docId w15:val="{45137DCD-33E9-436A-8A04-BB15107F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paragraph" w:styleId="ListParagraph">
    <w:name w:val="List Paragraph"/>
    <w:basedOn w:val="Normal"/>
    <w:uiPriority w:val="34"/>
    <w:qFormat/>
    <w:rsid w:val="004A124E"/>
    <w:pPr>
      <w:ind w:left="720"/>
      <w:contextualSpacing/>
    </w:pPr>
  </w:style>
  <w:style w:type="paragraph" w:styleId="Header">
    <w:name w:val="header"/>
    <w:basedOn w:val="Normal"/>
    <w:link w:val="HeaderChar"/>
    <w:rsid w:val="00FB7683"/>
    <w:pPr>
      <w:tabs>
        <w:tab w:val="center" w:pos="4680"/>
        <w:tab w:val="right" w:pos="9360"/>
      </w:tabs>
      <w:spacing w:line="240" w:lineRule="auto"/>
    </w:pPr>
  </w:style>
  <w:style w:type="character" w:customStyle="1" w:styleId="HeaderChar">
    <w:name w:val="Header Char"/>
    <w:basedOn w:val="DefaultParagraphFont"/>
    <w:link w:val="Header"/>
    <w:rsid w:val="00FB7683"/>
    <w:rPr>
      <w:rFonts w:ascii="Courier New" w:hAnsi="Courier New"/>
      <w:sz w:val="18"/>
    </w:rPr>
  </w:style>
  <w:style w:type="character" w:styleId="CommentReference">
    <w:name w:val="annotation reference"/>
    <w:basedOn w:val="DefaultParagraphFont"/>
    <w:rsid w:val="00124DD4"/>
    <w:rPr>
      <w:sz w:val="16"/>
      <w:szCs w:val="16"/>
    </w:rPr>
  </w:style>
  <w:style w:type="paragraph" w:styleId="CommentText">
    <w:name w:val="annotation text"/>
    <w:basedOn w:val="Normal"/>
    <w:link w:val="CommentTextChar"/>
    <w:rsid w:val="00124DD4"/>
    <w:pPr>
      <w:spacing w:line="240" w:lineRule="auto"/>
    </w:pPr>
    <w:rPr>
      <w:sz w:val="20"/>
    </w:rPr>
  </w:style>
  <w:style w:type="character" w:customStyle="1" w:styleId="CommentTextChar">
    <w:name w:val="Comment Text Char"/>
    <w:basedOn w:val="DefaultParagraphFont"/>
    <w:link w:val="CommentText"/>
    <w:rsid w:val="00124DD4"/>
    <w:rPr>
      <w:rFonts w:ascii="Courier New" w:hAnsi="Courier New"/>
    </w:rPr>
  </w:style>
  <w:style w:type="paragraph" w:styleId="CommentSubject">
    <w:name w:val="annotation subject"/>
    <w:basedOn w:val="CommentText"/>
    <w:next w:val="CommentText"/>
    <w:link w:val="CommentSubjectChar"/>
    <w:rsid w:val="00124DD4"/>
    <w:rPr>
      <w:b/>
      <w:bCs/>
    </w:rPr>
  </w:style>
  <w:style w:type="character" w:customStyle="1" w:styleId="CommentSubjectChar">
    <w:name w:val="Comment Subject Char"/>
    <w:basedOn w:val="CommentTextChar"/>
    <w:link w:val="CommentSubject"/>
    <w:rsid w:val="00124DD4"/>
    <w:rPr>
      <w:rFonts w:ascii="Courier New" w:hAnsi="Courier New"/>
      <w:b/>
      <w:bCs/>
    </w:rPr>
  </w:style>
  <w:style w:type="character" w:styleId="Strong">
    <w:name w:val="Strong"/>
    <w:basedOn w:val="DefaultParagraphFont"/>
    <w:uiPriority w:val="22"/>
    <w:qFormat/>
    <w:rsid w:val="00E84B24"/>
    <w:rPr>
      <w:b/>
      <w:bCs/>
    </w:rPr>
  </w:style>
  <w:style w:type="paragraph" w:styleId="NormalWeb">
    <w:name w:val="Normal (Web)"/>
    <w:basedOn w:val="Normal"/>
    <w:uiPriority w:val="99"/>
    <w:rsid w:val="000E309A"/>
    <w:pPr>
      <w:spacing w:beforeLines="1" w:line="240" w:lineRule="auto"/>
    </w:pPr>
    <w:rPr>
      <w:rFonts w:ascii="Times" w:eastAsia="Cambria" w:hAnsi="Times"/>
      <w:sz w:val="20"/>
      <w:lang w:val="en-GB"/>
    </w:rPr>
  </w:style>
  <w:style w:type="character" w:customStyle="1" w:styleId="UnresolvedMention1">
    <w:name w:val="Unresolved Mention1"/>
    <w:basedOn w:val="DefaultParagraphFont"/>
    <w:uiPriority w:val="99"/>
    <w:semiHidden/>
    <w:unhideWhenUsed/>
    <w:rsid w:val="008D3474"/>
    <w:rPr>
      <w:color w:val="605E5C"/>
      <w:shd w:val="clear" w:color="auto" w:fill="E1DFDD"/>
    </w:rPr>
  </w:style>
  <w:style w:type="character" w:customStyle="1" w:styleId="costarpage">
    <w:name w:val="co_starpage"/>
    <w:basedOn w:val="DefaultParagraphFont"/>
    <w:rsid w:val="008D3474"/>
  </w:style>
  <w:style w:type="character" w:styleId="Emphasis">
    <w:name w:val="Emphasis"/>
    <w:basedOn w:val="DefaultParagraphFont"/>
    <w:uiPriority w:val="20"/>
    <w:qFormat/>
    <w:rsid w:val="008D3474"/>
    <w:rPr>
      <w:i/>
      <w:iCs/>
    </w:rPr>
  </w:style>
  <w:style w:type="paragraph" w:styleId="Revision">
    <w:name w:val="Revision"/>
    <w:hidden/>
    <w:uiPriority w:val="99"/>
    <w:semiHidden/>
    <w:rsid w:val="00572E4B"/>
  </w:style>
  <w:style w:type="paragraph" w:customStyle="1" w:styleId="author">
    <w:name w:val="author"/>
    <w:basedOn w:val="Normal"/>
    <w:rsid w:val="00277D78"/>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14113">
      <w:bodyDiv w:val="1"/>
      <w:marLeft w:val="0"/>
      <w:marRight w:val="0"/>
      <w:marTop w:val="0"/>
      <w:marBottom w:val="0"/>
      <w:divBdr>
        <w:top w:val="none" w:sz="0" w:space="0" w:color="auto"/>
        <w:left w:val="none" w:sz="0" w:space="0" w:color="auto"/>
        <w:bottom w:val="none" w:sz="0" w:space="0" w:color="auto"/>
        <w:right w:val="none" w:sz="0" w:space="0" w:color="auto"/>
      </w:divBdr>
    </w:div>
    <w:div w:id="352918886">
      <w:bodyDiv w:val="1"/>
      <w:marLeft w:val="0"/>
      <w:marRight w:val="0"/>
      <w:marTop w:val="0"/>
      <w:marBottom w:val="0"/>
      <w:divBdr>
        <w:top w:val="none" w:sz="0" w:space="0" w:color="auto"/>
        <w:left w:val="none" w:sz="0" w:space="0" w:color="auto"/>
        <w:bottom w:val="none" w:sz="0" w:space="0" w:color="auto"/>
        <w:right w:val="none" w:sz="0" w:space="0" w:color="auto"/>
      </w:divBdr>
      <w:divsChild>
        <w:div w:id="1764574056">
          <w:marLeft w:val="0"/>
          <w:marRight w:val="0"/>
          <w:marTop w:val="0"/>
          <w:marBottom w:val="0"/>
          <w:divBdr>
            <w:top w:val="none" w:sz="0" w:space="0" w:color="auto"/>
            <w:left w:val="none" w:sz="0" w:space="0" w:color="auto"/>
            <w:bottom w:val="none" w:sz="0" w:space="0" w:color="auto"/>
            <w:right w:val="none" w:sz="0" w:space="0" w:color="auto"/>
          </w:divBdr>
          <w:divsChild>
            <w:div w:id="271859906">
              <w:marLeft w:val="0"/>
              <w:marRight w:val="0"/>
              <w:marTop w:val="240"/>
              <w:marBottom w:val="0"/>
              <w:divBdr>
                <w:top w:val="none" w:sz="0" w:space="0" w:color="auto"/>
                <w:left w:val="none" w:sz="0" w:space="0" w:color="auto"/>
                <w:bottom w:val="none" w:sz="0" w:space="0" w:color="auto"/>
                <w:right w:val="none" w:sz="0" w:space="0" w:color="auto"/>
              </w:divBdr>
              <w:divsChild>
                <w:div w:id="17630211">
                  <w:marLeft w:val="0"/>
                  <w:marRight w:val="0"/>
                  <w:marTop w:val="240"/>
                  <w:marBottom w:val="0"/>
                  <w:divBdr>
                    <w:top w:val="none" w:sz="0" w:space="0" w:color="auto"/>
                    <w:left w:val="none" w:sz="0" w:space="0" w:color="auto"/>
                    <w:bottom w:val="none" w:sz="0" w:space="0" w:color="auto"/>
                    <w:right w:val="none" w:sz="0" w:space="0" w:color="auto"/>
                  </w:divBdr>
                  <w:divsChild>
                    <w:div w:id="467162198">
                      <w:marLeft w:val="0"/>
                      <w:marRight w:val="0"/>
                      <w:marTop w:val="0"/>
                      <w:marBottom w:val="0"/>
                      <w:divBdr>
                        <w:top w:val="none" w:sz="0" w:space="0" w:color="auto"/>
                        <w:left w:val="none" w:sz="0" w:space="0" w:color="auto"/>
                        <w:bottom w:val="none" w:sz="0" w:space="0" w:color="auto"/>
                        <w:right w:val="none" w:sz="0" w:space="0" w:color="auto"/>
                      </w:divBdr>
                      <w:divsChild>
                        <w:div w:id="1496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3835">
                  <w:marLeft w:val="0"/>
                  <w:marRight w:val="0"/>
                  <w:marTop w:val="240"/>
                  <w:marBottom w:val="0"/>
                  <w:divBdr>
                    <w:top w:val="none" w:sz="0" w:space="0" w:color="auto"/>
                    <w:left w:val="none" w:sz="0" w:space="0" w:color="auto"/>
                    <w:bottom w:val="none" w:sz="0" w:space="0" w:color="auto"/>
                    <w:right w:val="none" w:sz="0" w:space="0" w:color="auto"/>
                  </w:divBdr>
                  <w:divsChild>
                    <w:div w:id="1802072263">
                      <w:marLeft w:val="0"/>
                      <w:marRight w:val="0"/>
                      <w:marTop w:val="0"/>
                      <w:marBottom w:val="0"/>
                      <w:divBdr>
                        <w:top w:val="none" w:sz="0" w:space="0" w:color="auto"/>
                        <w:left w:val="none" w:sz="0" w:space="0" w:color="auto"/>
                        <w:bottom w:val="none" w:sz="0" w:space="0" w:color="auto"/>
                        <w:right w:val="none" w:sz="0" w:space="0" w:color="auto"/>
                      </w:divBdr>
                      <w:divsChild>
                        <w:div w:id="4031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3215">
                  <w:marLeft w:val="0"/>
                  <w:marRight w:val="0"/>
                  <w:marTop w:val="0"/>
                  <w:marBottom w:val="0"/>
                  <w:divBdr>
                    <w:top w:val="none" w:sz="0" w:space="0" w:color="auto"/>
                    <w:left w:val="none" w:sz="0" w:space="0" w:color="auto"/>
                    <w:bottom w:val="none" w:sz="0" w:space="0" w:color="auto"/>
                    <w:right w:val="none" w:sz="0" w:space="0" w:color="auto"/>
                  </w:divBdr>
                  <w:divsChild>
                    <w:div w:id="1008099907">
                      <w:marLeft w:val="0"/>
                      <w:marRight w:val="0"/>
                      <w:marTop w:val="0"/>
                      <w:marBottom w:val="0"/>
                      <w:divBdr>
                        <w:top w:val="none" w:sz="0" w:space="0" w:color="auto"/>
                        <w:left w:val="none" w:sz="0" w:space="0" w:color="auto"/>
                        <w:bottom w:val="none" w:sz="0" w:space="0" w:color="auto"/>
                        <w:right w:val="none" w:sz="0" w:space="0" w:color="auto"/>
                      </w:divBdr>
                    </w:div>
                  </w:divsChild>
                </w:div>
                <w:div w:id="1580557765">
                  <w:marLeft w:val="0"/>
                  <w:marRight w:val="0"/>
                  <w:marTop w:val="240"/>
                  <w:marBottom w:val="0"/>
                  <w:divBdr>
                    <w:top w:val="none" w:sz="0" w:space="0" w:color="auto"/>
                    <w:left w:val="none" w:sz="0" w:space="0" w:color="auto"/>
                    <w:bottom w:val="none" w:sz="0" w:space="0" w:color="auto"/>
                    <w:right w:val="none" w:sz="0" w:space="0" w:color="auto"/>
                  </w:divBdr>
                  <w:divsChild>
                    <w:div w:id="171914438">
                      <w:marLeft w:val="0"/>
                      <w:marRight w:val="0"/>
                      <w:marTop w:val="240"/>
                      <w:marBottom w:val="0"/>
                      <w:divBdr>
                        <w:top w:val="none" w:sz="0" w:space="0" w:color="auto"/>
                        <w:left w:val="none" w:sz="0" w:space="0" w:color="auto"/>
                        <w:bottom w:val="none" w:sz="0" w:space="0" w:color="auto"/>
                        <w:right w:val="none" w:sz="0" w:space="0" w:color="auto"/>
                      </w:divBdr>
                      <w:divsChild>
                        <w:div w:id="2133359311">
                          <w:marLeft w:val="0"/>
                          <w:marRight w:val="0"/>
                          <w:marTop w:val="0"/>
                          <w:marBottom w:val="0"/>
                          <w:divBdr>
                            <w:top w:val="none" w:sz="0" w:space="0" w:color="auto"/>
                            <w:left w:val="none" w:sz="0" w:space="0" w:color="auto"/>
                            <w:bottom w:val="none" w:sz="0" w:space="0" w:color="auto"/>
                            <w:right w:val="none" w:sz="0" w:space="0" w:color="auto"/>
                          </w:divBdr>
                          <w:divsChild>
                            <w:div w:id="418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303">
                      <w:marLeft w:val="0"/>
                      <w:marRight w:val="0"/>
                      <w:marTop w:val="240"/>
                      <w:marBottom w:val="0"/>
                      <w:divBdr>
                        <w:top w:val="none" w:sz="0" w:space="0" w:color="auto"/>
                        <w:left w:val="none" w:sz="0" w:space="0" w:color="auto"/>
                        <w:bottom w:val="none" w:sz="0" w:space="0" w:color="auto"/>
                        <w:right w:val="none" w:sz="0" w:space="0" w:color="auto"/>
                      </w:divBdr>
                      <w:divsChild>
                        <w:div w:id="249388409">
                          <w:marLeft w:val="0"/>
                          <w:marRight w:val="0"/>
                          <w:marTop w:val="0"/>
                          <w:marBottom w:val="0"/>
                          <w:divBdr>
                            <w:top w:val="none" w:sz="0" w:space="0" w:color="auto"/>
                            <w:left w:val="none" w:sz="0" w:space="0" w:color="auto"/>
                            <w:bottom w:val="none" w:sz="0" w:space="0" w:color="auto"/>
                            <w:right w:val="none" w:sz="0" w:space="0" w:color="auto"/>
                          </w:divBdr>
                          <w:divsChild>
                            <w:div w:id="12201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4043">
                      <w:marLeft w:val="0"/>
                      <w:marRight w:val="0"/>
                      <w:marTop w:val="240"/>
                      <w:marBottom w:val="0"/>
                      <w:divBdr>
                        <w:top w:val="none" w:sz="0" w:space="0" w:color="auto"/>
                        <w:left w:val="none" w:sz="0" w:space="0" w:color="auto"/>
                        <w:bottom w:val="none" w:sz="0" w:space="0" w:color="auto"/>
                        <w:right w:val="none" w:sz="0" w:space="0" w:color="auto"/>
                      </w:divBdr>
                      <w:divsChild>
                        <w:div w:id="1935355921">
                          <w:marLeft w:val="0"/>
                          <w:marRight w:val="0"/>
                          <w:marTop w:val="0"/>
                          <w:marBottom w:val="0"/>
                          <w:divBdr>
                            <w:top w:val="none" w:sz="0" w:space="0" w:color="auto"/>
                            <w:left w:val="none" w:sz="0" w:space="0" w:color="auto"/>
                            <w:bottom w:val="none" w:sz="0" w:space="0" w:color="auto"/>
                            <w:right w:val="none" w:sz="0" w:space="0" w:color="auto"/>
                          </w:divBdr>
                          <w:divsChild>
                            <w:div w:id="8302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2983">
                      <w:marLeft w:val="0"/>
                      <w:marRight w:val="0"/>
                      <w:marTop w:val="240"/>
                      <w:marBottom w:val="0"/>
                      <w:divBdr>
                        <w:top w:val="none" w:sz="0" w:space="0" w:color="auto"/>
                        <w:left w:val="none" w:sz="0" w:space="0" w:color="auto"/>
                        <w:bottom w:val="none" w:sz="0" w:space="0" w:color="auto"/>
                        <w:right w:val="none" w:sz="0" w:space="0" w:color="auto"/>
                      </w:divBdr>
                      <w:divsChild>
                        <w:div w:id="1375928895">
                          <w:marLeft w:val="0"/>
                          <w:marRight w:val="0"/>
                          <w:marTop w:val="0"/>
                          <w:marBottom w:val="0"/>
                          <w:divBdr>
                            <w:top w:val="none" w:sz="0" w:space="0" w:color="auto"/>
                            <w:left w:val="none" w:sz="0" w:space="0" w:color="auto"/>
                            <w:bottom w:val="none" w:sz="0" w:space="0" w:color="auto"/>
                            <w:right w:val="none" w:sz="0" w:space="0" w:color="auto"/>
                          </w:divBdr>
                          <w:divsChild>
                            <w:div w:id="570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4850">
                      <w:marLeft w:val="0"/>
                      <w:marRight w:val="0"/>
                      <w:marTop w:val="0"/>
                      <w:marBottom w:val="0"/>
                      <w:divBdr>
                        <w:top w:val="none" w:sz="0" w:space="0" w:color="auto"/>
                        <w:left w:val="none" w:sz="0" w:space="0" w:color="auto"/>
                        <w:bottom w:val="none" w:sz="0" w:space="0" w:color="auto"/>
                        <w:right w:val="none" w:sz="0" w:space="0" w:color="auto"/>
                      </w:divBdr>
                      <w:divsChild>
                        <w:div w:id="276522860">
                          <w:marLeft w:val="0"/>
                          <w:marRight w:val="0"/>
                          <w:marTop w:val="0"/>
                          <w:marBottom w:val="0"/>
                          <w:divBdr>
                            <w:top w:val="none" w:sz="0" w:space="0" w:color="auto"/>
                            <w:left w:val="none" w:sz="0" w:space="0" w:color="auto"/>
                            <w:bottom w:val="none" w:sz="0" w:space="0" w:color="auto"/>
                            <w:right w:val="none" w:sz="0" w:space="0" w:color="auto"/>
                          </w:divBdr>
                        </w:div>
                      </w:divsChild>
                    </w:div>
                    <w:div w:id="1679699086">
                      <w:marLeft w:val="0"/>
                      <w:marRight w:val="0"/>
                      <w:marTop w:val="240"/>
                      <w:marBottom w:val="0"/>
                      <w:divBdr>
                        <w:top w:val="none" w:sz="0" w:space="0" w:color="auto"/>
                        <w:left w:val="none" w:sz="0" w:space="0" w:color="auto"/>
                        <w:bottom w:val="none" w:sz="0" w:space="0" w:color="auto"/>
                        <w:right w:val="none" w:sz="0" w:space="0" w:color="auto"/>
                      </w:divBdr>
                      <w:divsChild>
                        <w:div w:id="277183606">
                          <w:marLeft w:val="0"/>
                          <w:marRight w:val="0"/>
                          <w:marTop w:val="0"/>
                          <w:marBottom w:val="0"/>
                          <w:divBdr>
                            <w:top w:val="none" w:sz="0" w:space="0" w:color="auto"/>
                            <w:left w:val="none" w:sz="0" w:space="0" w:color="auto"/>
                            <w:bottom w:val="none" w:sz="0" w:space="0" w:color="auto"/>
                            <w:right w:val="none" w:sz="0" w:space="0" w:color="auto"/>
                          </w:divBdr>
                          <w:divsChild>
                            <w:div w:id="19903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68926">
                      <w:marLeft w:val="0"/>
                      <w:marRight w:val="0"/>
                      <w:marTop w:val="240"/>
                      <w:marBottom w:val="0"/>
                      <w:divBdr>
                        <w:top w:val="none" w:sz="0" w:space="0" w:color="auto"/>
                        <w:left w:val="none" w:sz="0" w:space="0" w:color="auto"/>
                        <w:bottom w:val="none" w:sz="0" w:space="0" w:color="auto"/>
                        <w:right w:val="none" w:sz="0" w:space="0" w:color="auto"/>
                      </w:divBdr>
                      <w:divsChild>
                        <w:div w:id="814957662">
                          <w:marLeft w:val="0"/>
                          <w:marRight w:val="0"/>
                          <w:marTop w:val="0"/>
                          <w:marBottom w:val="0"/>
                          <w:divBdr>
                            <w:top w:val="none" w:sz="0" w:space="0" w:color="auto"/>
                            <w:left w:val="none" w:sz="0" w:space="0" w:color="auto"/>
                            <w:bottom w:val="none" w:sz="0" w:space="0" w:color="auto"/>
                            <w:right w:val="none" w:sz="0" w:space="0" w:color="auto"/>
                          </w:divBdr>
                          <w:divsChild>
                            <w:div w:id="20294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8362">
                  <w:marLeft w:val="0"/>
                  <w:marRight w:val="0"/>
                  <w:marTop w:val="240"/>
                  <w:marBottom w:val="0"/>
                  <w:divBdr>
                    <w:top w:val="none" w:sz="0" w:space="0" w:color="auto"/>
                    <w:left w:val="none" w:sz="0" w:space="0" w:color="auto"/>
                    <w:bottom w:val="none" w:sz="0" w:space="0" w:color="auto"/>
                    <w:right w:val="none" w:sz="0" w:space="0" w:color="auto"/>
                  </w:divBdr>
                  <w:divsChild>
                    <w:div w:id="1550219412">
                      <w:marLeft w:val="0"/>
                      <w:marRight w:val="0"/>
                      <w:marTop w:val="0"/>
                      <w:marBottom w:val="0"/>
                      <w:divBdr>
                        <w:top w:val="none" w:sz="0" w:space="0" w:color="auto"/>
                        <w:left w:val="none" w:sz="0" w:space="0" w:color="auto"/>
                        <w:bottom w:val="none" w:sz="0" w:space="0" w:color="auto"/>
                        <w:right w:val="none" w:sz="0" w:space="0" w:color="auto"/>
                      </w:divBdr>
                      <w:divsChild>
                        <w:div w:id="15006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7578">
                  <w:marLeft w:val="0"/>
                  <w:marRight w:val="0"/>
                  <w:marTop w:val="240"/>
                  <w:marBottom w:val="0"/>
                  <w:divBdr>
                    <w:top w:val="none" w:sz="0" w:space="0" w:color="auto"/>
                    <w:left w:val="none" w:sz="0" w:space="0" w:color="auto"/>
                    <w:bottom w:val="none" w:sz="0" w:space="0" w:color="auto"/>
                    <w:right w:val="none" w:sz="0" w:space="0" w:color="auto"/>
                  </w:divBdr>
                  <w:divsChild>
                    <w:div w:id="2038849082">
                      <w:marLeft w:val="0"/>
                      <w:marRight w:val="0"/>
                      <w:marTop w:val="0"/>
                      <w:marBottom w:val="0"/>
                      <w:divBdr>
                        <w:top w:val="none" w:sz="0" w:space="0" w:color="auto"/>
                        <w:left w:val="none" w:sz="0" w:space="0" w:color="auto"/>
                        <w:bottom w:val="none" w:sz="0" w:space="0" w:color="auto"/>
                        <w:right w:val="none" w:sz="0" w:space="0" w:color="auto"/>
                      </w:divBdr>
                      <w:divsChild>
                        <w:div w:id="19219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27">
              <w:marLeft w:val="0"/>
              <w:marRight w:val="0"/>
              <w:marTop w:val="0"/>
              <w:marBottom w:val="0"/>
              <w:divBdr>
                <w:top w:val="none" w:sz="0" w:space="0" w:color="auto"/>
                <w:left w:val="none" w:sz="0" w:space="0" w:color="auto"/>
                <w:bottom w:val="none" w:sz="0" w:space="0" w:color="auto"/>
                <w:right w:val="none" w:sz="0" w:space="0" w:color="auto"/>
              </w:divBdr>
            </w:div>
            <w:div w:id="2123842106">
              <w:marLeft w:val="0"/>
              <w:marRight w:val="0"/>
              <w:marTop w:val="240"/>
              <w:marBottom w:val="0"/>
              <w:divBdr>
                <w:top w:val="none" w:sz="0" w:space="0" w:color="auto"/>
                <w:left w:val="none" w:sz="0" w:space="0" w:color="auto"/>
                <w:bottom w:val="none" w:sz="0" w:space="0" w:color="auto"/>
                <w:right w:val="none" w:sz="0" w:space="0" w:color="auto"/>
              </w:divBdr>
              <w:divsChild>
                <w:div w:id="821309079">
                  <w:marLeft w:val="0"/>
                  <w:marRight w:val="0"/>
                  <w:marTop w:val="0"/>
                  <w:marBottom w:val="0"/>
                  <w:divBdr>
                    <w:top w:val="none" w:sz="0" w:space="0" w:color="auto"/>
                    <w:left w:val="none" w:sz="0" w:space="0" w:color="auto"/>
                    <w:bottom w:val="none" w:sz="0" w:space="0" w:color="auto"/>
                    <w:right w:val="none" w:sz="0" w:space="0" w:color="auto"/>
                  </w:divBdr>
                  <w:divsChild>
                    <w:div w:id="16487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1205">
      <w:bodyDiv w:val="1"/>
      <w:marLeft w:val="0"/>
      <w:marRight w:val="0"/>
      <w:marTop w:val="0"/>
      <w:marBottom w:val="0"/>
      <w:divBdr>
        <w:top w:val="none" w:sz="0" w:space="0" w:color="auto"/>
        <w:left w:val="none" w:sz="0" w:space="0" w:color="auto"/>
        <w:bottom w:val="none" w:sz="0" w:space="0" w:color="auto"/>
        <w:right w:val="none" w:sz="0" w:space="0" w:color="auto"/>
      </w:divBdr>
    </w:div>
    <w:div w:id="971667508">
      <w:bodyDiv w:val="1"/>
      <w:marLeft w:val="0"/>
      <w:marRight w:val="0"/>
      <w:marTop w:val="0"/>
      <w:marBottom w:val="0"/>
      <w:divBdr>
        <w:top w:val="none" w:sz="0" w:space="0" w:color="auto"/>
        <w:left w:val="none" w:sz="0" w:space="0" w:color="auto"/>
        <w:bottom w:val="none" w:sz="0" w:space="0" w:color="auto"/>
        <w:right w:val="none" w:sz="0" w:space="0" w:color="auto"/>
      </w:divBdr>
    </w:div>
    <w:div w:id="1186670017">
      <w:bodyDiv w:val="1"/>
      <w:marLeft w:val="0"/>
      <w:marRight w:val="0"/>
      <w:marTop w:val="0"/>
      <w:marBottom w:val="0"/>
      <w:divBdr>
        <w:top w:val="none" w:sz="0" w:space="0" w:color="auto"/>
        <w:left w:val="none" w:sz="0" w:space="0" w:color="auto"/>
        <w:bottom w:val="none" w:sz="0" w:space="0" w:color="auto"/>
        <w:right w:val="none" w:sz="0" w:space="0" w:color="auto"/>
      </w:divBdr>
    </w:div>
    <w:div w:id="1448964965">
      <w:bodyDiv w:val="1"/>
      <w:marLeft w:val="0"/>
      <w:marRight w:val="0"/>
      <w:marTop w:val="0"/>
      <w:marBottom w:val="0"/>
      <w:divBdr>
        <w:top w:val="none" w:sz="0" w:space="0" w:color="auto"/>
        <w:left w:val="none" w:sz="0" w:space="0" w:color="auto"/>
        <w:bottom w:val="none" w:sz="0" w:space="0" w:color="auto"/>
        <w:right w:val="none" w:sz="0" w:space="0" w:color="auto"/>
      </w:divBdr>
    </w:div>
    <w:div w:id="17608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man@azcapitalprojec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15.com/news/region-phoenix-metro/central-phoenix/arizona-state-bar-files-formal-complaint-against-arias-prosecutor-juan-martine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Euchner@pima.gov" TargetMode="External"/><Relationship Id="rId4" Type="http://schemas.openxmlformats.org/officeDocument/2006/relationships/settings" Target="settings.xml"/><Relationship Id="rId9" Type="http://schemas.openxmlformats.org/officeDocument/2006/relationships/hyperlink" Target="mailto:john.canby@mail.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3B191-1271-4B2C-8262-8B7D7A3D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30807</CharactersWithSpaces>
  <SharedDoc>false</SharedDoc>
  <HyperlinkBase/>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dc:creator>
  <cp:keywords/>
  <dc:description/>
  <cp:lastModifiedBy>Lubna</cp:lastModifiedBy>
  <cp:revision>2</cp:revision>
  <cp:lastPrinted>2019-04-24T22:55:00Z</cp:lastPrinted>
  <dcterms:created xsi:type="dcterms:W3CDTF">2019-04-30T18:17:00Z</dcterms:created>
  <dcterms:modified xsi:type="dcterms:W3CDTF">2019-04-30T18:17:00Z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oFAAc7krgLHoShUds2Xk5b++P3kzzh7ztoDt7DctAsjjpXP85/UWIAg0VZCPBNHWcCKj60we5LPJEB/F
8nozSCgpYEWTfORLe60USaNVyS5b2uiRJr+VHH1ho3+W5vyGeFuCnjenv3h7OhjF8nozSCgpYEWT
fORLe60USaNVyS5b2uiRJr+VHH1ho8L0izjGNFWecGOew47sdVikOb2oQssUoZfH/WZUp6LfC1OB
APdmnu2m4Qmbxz7Sh</vt:lpwstr>
  </property>
  <property fmtid="{D5CDD505-2E9C-101B-9397-08002B2CF9AE}" pid="3" name="MAIL_MSG_ID2">
    <vt:lpwstr>6ySac0viDmhScNJVWofiN8K9q3ZhAprguVzbGD4hsA3225tKGQG8SE0WQma
wab3qAnaOrJBOWgLPxeFB8Sc78ru6ycj7UV4GzkcH0W8f2Yf</vt:lpwstr>
  </property>
  <property fmtid="{D5CDD505-2E9C-101B-9397-08002B2CF9AE}" pid="4" name="RESPONSE_SENDER_NAME">
    <vt:lpwstr>sAAAGYoQX4c3X/Ik5tzIJCpN8TViVN4bXH+7PGgszmrA04E=</vt:lpwstr>
  </property>
  <property fmtid="{D5CDD505-2E9C-101B-9397-08002B2CF9AE}" pid="5" name="EMAIL_OWNER_ADDRESS">
    <vt:lpwstr>4AAA9mrMv1QjWAt2jctZXc7Xp1tokjj15tZ1FF4RxQUb09J87TuUXfNC6Q==</vt:lpwstr>
  </property>
</Properties>
</file>