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A7182A" w:rsidP="00000C35">
            <w:pPr>
              <w:pStyle w:val="FirmInformation"/>
              <w:spacing w:line="240" w:lineRule="auto"/>
              <w:rPr>
                <w:sz w:val="28"/>
                <w:szCs w:val="28"/>
              </w:rPr>
            </w:pPr>
            <w:bookmarkStart w:id="0" w:name="_zzmpFIXED_CounselTable"/>
            <w:r>
              <w:rPr>
                <w:sz w:val="28"/>
                <w:szCs w:val="28"/>
              </w:rPr>
              <w:t xml:space="preserve">Mauricio R. Hernandez (#020181) </w:t>
            </w:r>
            <w:r w:rsidR="00732169">
              <w:rPr>
                <w:sz w:val="28"/>
                <w:szCs w:val="28"/>
              </w:rPr>
              <w:br/>
            </w:r>
            <w:r>
              <w:rPr>
                <w:sz w:val="28"/>
                <w:szCs w:val="28"/>
              </w:rPr>
              <w:t>mo@lawmrh.com</w:t>
            </w:r>
          </w:p>
          <w:p w:rsidR="00494BDF" w:rsidRPr="006F63FD" w:rsidRDefault="00A7182A" w:rsidP="00000C35">
            <w:pPr>
              <w:pStyle w:val="FirmInformation"/>
              <w:spacing w:line="240" w:lineRule="auto"/>
              <w:rPr>
                <w:sz w:val="28"/>
                <w:szCs w:val="28"/>
              </w:rPr>
            </w:pPr>
            <w:r>
              <w:rPr>
                <w:sz w:val="28"/>
                <w:szCs w:val="28"/>
              </w:rPr>
              <w:t>P.O. Box 7347</w:t>
            </w:r>
          </w:p>
          <w:p w:rsidR="00357F4D" w:rsidRPr="006F63FD" w:rsidRDefault="00A7182A" w:rsidP="00000C35">
            <w:pPr>
              <w:pStyle w:val="FirmInformation"/>
              <w:spacing w:line="240" w:lineRule="auto"/>
              <w:rPr>
                <w:sz w:val="28"/>
                <w:szCs w:val="28"/>
              </w:rPr>
            </w:pPr>
            <w:r>
              <w:rPr>
                <w:sz w:val="28"/>
                <w:szCs w:val="28"/>
              </w:rPr>
              <w:t xml:space="preserve">Goodyear, </w:t>
            </w:r>
            <w:r w:rsidR="00357F4D" w:rsidRPr="006F63FD">
              <w:rPr>
                <w:sz w:val="28"/>
                <w:szCs w:val="28"/>
              </w:rPr>
              <w:t xml:space="preserve"> AZ  85</w:t>
            </w:r>
            <w:r>
              <w:rPr>
                <w:sz w:val="28"/>
                <w:szCs w:val="28"/>
              </w:rPr>
              <w:t>338</w:t>
            </w:r>
          </w:p>
          <w:p w:rsidR="006F63FD" w:rsidRPr="00735659" w:rsidRDefault="00352347" w:rsidP="00A7182A">
            <w:pPr>
              <w:pStyle w:val="FirmInformation"/>
              <w:spacing w:line="240" w:lineRule="auto"/>
              <w:rPr>
                <w:sz w:val="28"/>
                <w:szCs w:val="28"/>
              </w:rPr>
            </w:pPr>
            <w:r>
              <w:rPr>
                <w:sz w:val="28"/>
                <w:szCs w:val="28"/>
              </w:rPr>
              <w:t>(62</w:t>
            </w:r>
            <w:r w:rsidR="00A7182A">
              <w:rPr>
                <w:sz w:val="28"/>
                <w:szCs w:val="28"/>
              </w:rPr>
              <w:t>3</w:t>
            </w:r>
            <w:r>
              <w:rPr>
                <w:sz w:val="28"/>
                <w:szCs w:val="28"/>
              </w:rPr>
              <w:t xml:space="preserve">) </w:t>
            </w:r>
            <w:r w:rsidR="00A7182A">
              <w:rPr>
                <w:sz w:val="28"/>
                <w:szCs w:val="28"/>
              </w:rPr>
              <w:t>363-2649</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8514AE" w:rsidRDefault="00E67511" w:rsidP="008514AE">
            <w:pPr>
              <w:pStyle w:val="Caption"/>
              <w:spacing w:before="240" w:line="260" w:lineRule="exact"/>
              <w:rPr>
                <w:b/>
                <w:sz w:val="28"/>
                <w:szCs w:val="28"/>
              </w:rPr>
            </w:pPr>
            <w:r w:rsidRPr="00732169">
              <w:rPr>
                <w:b/>
                <w:sz w:val="28"/>
                <w:szCs w:val="28"/>
              </w:rPr>
              <w:t xml:space="preserve">PETITION TO </w:t>
            </w:r>
            <w:r w:rsidR="008514AE">
              <w:rPr>
                <w:b/>
                <w:sz w:val="28"/>
                <w:szCs w:val="28"/>
              </w:rPr>
              <w:t>AMEND RULES 32(c) AND (d) OF THE ARIZONA RULES OF SUPREME COURT</w:t>
            </w:r>
            <w:r w:rsidR="008514AE">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8514AE">
              <w:rPr>
                <w:sz w:val="28"/>
                <w:szCs w:val="28"/>
              </w:rPr>
              <w:t>0005</w:t>
            </w:r>
          </w:p>
          <w:p w:rsidR="002E419B" w:rsidRDefault="000C7DD0" w:rsidP="000F7A7F">
            <w:pPr>
              <w:pStyle w:val="Caption"/>
              <w:tabs>
                <w:tab w:val="left" w:pos="1238"/>
              </w:tabs>
              <w:spacing w:line="260" w:lineRule="exact"/>
              <w:ind w:right="115"/>
              <w:jc w:val="center"/>
              <w:rPr>
                <w:b/>
                <w:sz w:val="28"/>
                <w:szCs w:val="28"/>
              </w:rPr>
            </w:pPr>
            <w:r>
              <w:rPr>
                <w:b/>
                <w:sz w:val="28"/>
                <w:szCs w:val="28"/>
              </w:rPr>
              <w:t xml:space="preserve">COMMENT </w:t>
            </w:r>
            <w:r w:rsidR="00302F85">
              <w:rPr>
                <w:b/>
                <w:sz w:val="28"/>
                <w:szCs w:val="28"/>
              </w:rPr>
              <w:t>IN SUPPORT OF</w:t>
            </w:r>
            <w:r>
              <w:rPr>
                <w:b/>
                <w:sz w:val="28"/>
                <w:szCs w:val="28"/>
              </w:rPr>
              <w:t xml:space="preserve"> P</w:t>
            </w:r>
            <w:r w:rsidR="008514AE" w:rsidRPr="008514AE">
              <w:rPr>
                <w:b/>
                <w:sz w:val="28"/>
                <w:szCs w:val="28"/>
              </w:rPr>
              <w:t>E</w:t>
            </w:r>
            <w:r>
              <w:rPr>
                <w:b/>
                <w:sz w:val="28"/>
                <w:szCs w:val="28"/>
              </w:rPr>
              <w:t>NDING PETITION</w:t>
            </w:r>
          </w:p>
          <w:p w:rsidR="00357F4D" w:rsidRPr="008514AE" w:rsidRDefault="00357F4D" w:rsidP="000F7A7F">
            <w:pPr>
              <w:pStyle w:val="Caption"/>
              <w:tabs>
                <w:tab w:val="left" w:pos="1238"/>
              </w:tabs>
              <w:spacing w:line="260" w:lineRule="exact"/>
              <w:ind w:right="115"/>
              <w:jc w:val="center"/>
              <w:rPr>
                <w:b/>
                <w:sz w:val="28"/>
                <w:szCs w:val="28"/>
              </w:rPr>
            </w:pP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8514AE" w:rsidRDefault="000C7DD0" w:rsidP="008514AE">
      <w:pPr>
        <w:pStyle w:val="Body"/>
        <w:widowControl w:val="0"/>
        <w:spacing w:line="480" w:lineRule="auto"/>
        <w:ind w:firstLine="720"/>
        <w:jc w:val="both"/>
        <w:rPr>
          <w:sz w:val="28"/>
          <w:szCs w:val="28"/>
        </w:rPr>
      </w:pPr>
      <w:r>
        <w:rPr>
          <w:sz w:val="28"/>
          <w:szCs w:val="28"/>
        </w:rPr>
        <w:t xml:space="preserve">In accordance with </w:t>
      </w:r>
      <w:r w:rsidR="008514AE">
        <w:rPr>
          <w:sz w:val="28"/>
          <w:szCs w:val="28"/>
        </w:rPr>
        <w:t xml:space="preserve">Rule 28(d), Ariz. R. Sup. Ct., the </w:t>
      </w:r>
      <w:r>
        <w:rPr>
          <w:sz w:val="28"/>
          <w:szCs w:val="28"/>
        </w:rPr>
        <w:t>undersigned submits the following Comment in support of the Petition</w:t>
      </w:r>
      <w:r w:rsidR="008514AE">
        <w:rPr>
          <w:sz w:val="28"/>
          <w:szCs w:val="28"/>
        </w:rPr>
        <w:t>.</w:t>
      </w:r>
    </w:p>
    <w:p w:rsidR="008514AE" w:rsidRDefault="008514AE" w:rsidP="008514AE">
      <w:pPr>
        <w:pStyle w:val="Body"/>
        <w:widowControl w:val="0"/>
        <w:spacing w:line="480" w:lineRule="auto"/>
        <w:ind w:firstLine="720"/>
        <w:jc w:val="both"/>
        <w:rPr>
          <w:sz w:val="28"/>
          <w:szCs w:val="28"/>
        </w:rPr>
      </w:pPr>
      <w:r>
        <w:rPr>
          <w:sz w:val="28"/>
          <w:szCs w:val="28"/>
        </w:rPr>
        <w:t>The</w:t>
      </w:r>
      <w:r w:rsidR="00B83565">
        <w:rPr>
          <w:sz w:val="28"/>
          <w:szCs w:val="28"/>
        </w:rPr>
        <w:t xml:space="preserve"> Petition hearkens to legislative efforts in 2016 (HB2221); in 2017 (HB2295); and in 2018 (HB2119) to bifurcate the regulatory and non-regulatory functions of the State Bar of Arizona (SBA). These </w:t>
      </w:r>
      <w:r w:rsidR="00F01FAB">
        <w:rPr>
          <w:sz w:val="28"/>
          <w:szCs w:val="28"/>
        </w:rPr>
        <w:t>efforts</w:t>
      </w:r>
      <w:r w:rsidR="00FE5FA4">
        <w:rPr>
          <w:sz w:val="28"/>
          <w:szCs w:val="28"/>
        </w:rPr>
        <w:t>, which will continue in the absence of other relief,</w:t>
      </w:r>
      <w:r w:rsidR="00F01FAB">
        <w:rPr>
          <w:sz w:val="28"/>
          <w:szCs w:val="28"/>
        </w:rPr>
        <w:t xml:space="preserve"> are </w:t>
      </w:r>
      <w:r w:rsidR="001E4DF8">
        <w:rPr>
          <w:sz w:val="28"/>
          <w:szCs w:val="28"/>
        </w:rPr>
        <w:t>in accord</w:t>
      </w:r>
      <w:r w:rsidR="00F01FAB">
        <w:rPr>
          <w:sz w:val="28"/>
          <w:szCs w:val="28"/>
        </w:rPr>
        <w:t xml:space="preserve"> with</w:t>
      </w:r>
      <w:r w:rsidR="00B83565">
        <w:rPr>
          <w:sz w:val="28"/>
          <w:szCs w:val="28"/>
        </w:rPr>
        <w:t xml:space="preserve"> the Legislature’s </w:t>
      </w:r>
      <w:r w:rsidR="00ED5E98">
        <w:rPr>
          <w:sz w:val="28"/>
          <w:szCs w:val="28"/>
        </w:rPr>
        <w:t xml:space="preserve">legitimate </w:t>
      </w:r>
      <w:r w:rsidR="00B83565">
        <w:rPr>
          <w:sz w:val="28"/>
          <w:szCs w:val="28"/>
        </w:rPr>
        <w:t>interest in the protection and maintenance of the health, safety, or welfare of Arizonans.</w:t>
      </w:r>
      <w:r w:rsidR="00426D00">
        <w:rPr>
          <w:rStyle w:val="FootnoteReference"/>
          <w:sz w:val="28"/>
          <w:szCs w:val="28"/>
        </w:rPr>
        <w:footnoteReference w:id="1"/>
      </w:r>
      <w:r w:rsidR="00B83565">
        <w:rPr>
          <w:sz w:val="28"/>
          <w:szCs w:val="28"/>
        </w:rPr>
        <w:t xml:space="preserve"> </w:t>
      </w:r>
      <w:r w:rsidR="00B83565">
        <w:rPr>
          <w:sz w:val="28"/>
          <w:szCs w:val="28"/>
        </w:rPr>
        <w:lastRenderedPageBreak/>
        <w:t>Moreover, the</w:t>
      </w:r>
      <w:r w:rsidR="00445C37">
        <w:rPr>
          <w:sz w:val="28"/>
          <w:szCs w:val="28"/>
        </w:rPr>
        <w:t xml:space="preserve">se efforts </w:t>
      </w:r>
      <w:r w:rsidR="00B83565">
        <w:rPr>
          <w:sz w:val="28"/>
          <w:szCs w:val="28"/>
        </w:rPr>
        <w:t xml:space="preserve">are consistent with </w:t>
      </w:r>
      <w:r w:rsidR="00445C37">
        <w:rPr>
          <w:sz w:val="28"/>
          <w:szCs w:val="28"/>
        </w:rPr>
        <w:t xml:space="preserve">the </w:t>
      </w:r>
      <w:r w:rsidR="00D03DDB">
        <w:rPr>
          <w:sz w:val="28"/>
          <w:szCs w:val="28"/>
        </w:rPr>
        <w:t>lawful</w:t>
      </w:r>
      <w:r w:rsidR="002E7AB3">
        <w:rPr>
          <w:sz w:val="28"/>
          <w:szCs w:val="28"/>
        </w:rPr>
        <w:t xml:space="preserve"> </w:t>
      </w:r>
      <w:r w:rsidR="00445C37">
        <w:rPr>
          <w:sz w:val="28"/>
          <w:szCs w:val="28"/>
        </w:rPr>
        <w:t>authority</w:t>
      </w:r>
      <w:r w:rsidR="0055581D">
        <w:rPr>
          <w:rStyle w:val="FootnoteReference"/>
          <w:sz w:val="28"/>
          <w:szCs w:val="28"/>
        </w:rPr>
        <w:footnoteReference w:id="2"/>
      </w:r>
      <w:r w:rsidR="00445C37">
        <w:rPr>
          <w:sz w:val="28"/>
          <w:szCs w:val="28"/>
        </w:rPr>
        <w:t xml:space="preserve"> of a coequal branch of state government to protect the constitutional rights of all its citizens; to ensure transparency of governance; and to assure the SBA </w:t>
      </w:r>
      <w:r w:rsidR="009E0477">
        <w:rPr>
          <w:sz w:val="28"/>
          <w:szCs w:val="28"/>
        </w:rPr>
        <w:t>fulfills</w:t>
      </w:r>
      <w:r w:rsidR="00445C37">
        <w:rPr>
          <w:sz w:val="28"/>
          <w:szCs w:val="28"/>
        </w:rPr>
        <w:t xml:space="preserve"> </w:t>
      </w:r>
      <w:r w:rsidR="00827BF4">
        <w:rPr>
          <w:sz w:val="28"/>
          <w:szCs w:val="28"/>
        </w:rPr>
        <w:t xml:space="preserve">its </w:t>
      </w:r>
      <w:r w:rsidR="00ED5E98">
        <w:rPr>
          <w:sz w:val="28"/>
          <w:szCs w:val="28"/>
        </w:rPr>
        <w:t xml:space="preserve">recently-adopted </w:t>
      </w:r>
      <w:r w:rsidR="00445C37">
        <w:rPr>
          <w:sz w:val="28"/>
          <w:szCs w:val="28"/>
        </w:rPr>
        <w:t>public protection</w:t>
      </w:r>
      <w:r w:rsidR="00827BF4">
        <w:rPr>
          <w:sz w:val="28"/>
          <w:szCs w:val="28"/>
        </w:rPr>
        <w:t xml:space="preserve"> mission</w:t>
      </w:r>
      <w:r w:rsidR="00445C37">
        <w:rPr>
          <w:sz w:val="28"/>
          <w:szCs w:val="28"/>
        </w:rPr>
        <w:t>.</w:t>
      </w:r>
      <w:r w:rsidR="00ED5E98">
        <w:rPr>
          <w:rStyle w:val="FootnoteReference"/>
          <w:sz w:val="28"/>
          <w:szCs w:val="28"/>
        </w:rPr>
        <w:footnoteReference w:id="3"/>
      </w:r>
      <w:r w:rsidR="00827BF4">
        <w:rPr>
          <w:sz w:val="28"/>
          <w:szCs w:val="28"/>
        </w:rPr>
        <w:t xml:space="preserve"> </w:t>
      </w:r>
      <w:r w:rsidR="009E0477">
        <w:rPr>
          <w:sz w:val="28"/>
          <w:szCs w:val="28"/>
        </w:rPr>
        <w:t>Lawmakers</w:t>
      </w:r>
      <w:r w:rsidR="00370846">
        <w:rPr>
          <w:sz w:val="28"/>
          <w:szCs w:val="28"/>
        </w:rPr>
        <w:t>,</w:t>
      </w:r>
      <w:r w:rsidR="009E0477">
        <w:rPr>
          <w:sz w:val="28"/>
          <w:szCs w:val="28"/>
        </w:rPr>
        <w:t xml:space="preserve"> like the Petitioner</w:t>
      </w:r>
      <w:r w:rsidR="00370846">
        <w:rPr>
          <w:sz w:val="28"/>
          <w:szCs w:val="28"/>
        </w:rPr>
        <w:t>,</w:t>
      </w:r>
      <w:r w:rsidR="009E0477">
        <w:rPr>
          <w:sz w:val="28"/>
          <w:szCs w:val="28"/>
        </w:rPr>
        <w:t xml:space="preserve"> aspire to </w:t>
      </w:r>
      <w:r w:rsidR="00827BF4">
        <w:rPr>
          <w:sz w:val="28"/>
          <w:szCs w:val="28"/>
        </w:rPr>
        <w:t xml:space="preserve">the </w:t>
      </w:r>
      <w:r w:rsidR="00827BF4">
        <w:rPr>
          <w:sz w:val="28"/>
          <w:szCs w:val="28"/>
        </w:rPr>
        <w:lastRenderedPageBreak/>
        <w:t>goal</w:t>
      </w:r>
      <w:r w:rsidR="002D5B5C">
        <w:rPr>
          <w:rStyle w:val="FootnoteReference"/>
          <w:sz w:val="28"/>
          <w:szCs w:val="28"/>
        </w:rPr>
        <w:footnoteReference w:id="4"/>
      </w:r>
      <w:r w:rsidR="00827BF4">
        <w:rPr>
          <w:sz w:val="28"/>
          <w:szCs w:val="28"/>
        </w:rPr>
        <w:t xml:space="preserve"> of eliminating the existing regulator/trade association conflict of interest by </w:t>
      </w:r>
      <w:proofErr w:type="gramStart"/>
      <w:r w:rsidR="00827BF4">
        <w:rPr>
          <w:sz w:val="28"/>
          <w:szCs w:val="28"/>
        </w:rPr>
        <w:t>bifurcating</w:t>
      </w:r>
      <w:proofErr w:type="gramEnd"/>
      <w:r w:rsidR="00827BF4">
        <w:rPr>
          <w:sz w:val="28"/>
          <w:szCs w:val="28"/>
        </w:rPr>
        <w:t xml:space="preserve"> those two functions.</w:t>
      </w:r>
      <w:r w:rsidR="002E7AB3">
        <w:rPr>
          <w:sz w:val="28"/>
          <w:szCs w:val="28"/>
        </w:rPr>
        <w:t xml:space="preserve"> Under the active supervi</w:t>
      </w:r>
      <w:r w:rsidR="00D03DDB">
        <w:rPr>
          <w:sz w:val="28"/>
          <w:szCs w:val="28"/>
        </w:rPr>
        <w:t>sion of this Court, the</w:t>
      </w:r>
      <w:r w:rsidR="002E7AB3">
        <w:rPr>
          <w:sz w:val="28"/>
          <w:szCs w:val="28"/>
        </w:rPr>
        <w:t xml:space="preserve"> proposed bills provide</w:t>
      </w:r>
      <w:r w:rsidR="001E4DF8">
        <w:rPr>
          <w:sz w:val="28"/>
          <w:szCs w:val="28"/>
        </w:rPr>
        <w:t>d for mandatory assessment</w:t>
      </w:r>
      <w:r w:rsidR="002E7AB3">
        <w:rPr>
          <w:sz w:val="28"/>
          <w:szCs w:val="28"/>
        </w:rPr>
        <w:t>s to be expended only for the following regulatory functions: (1) admitting an attorney to the practice of law; (2) maintaining attorney records; (3) enforcing the ethical rules that govern attorneys; (4) regulating any continuing legal education mandates for attorneys; (5) maintaining attorney trust account records; (6) preventing the unauthorized practice of law; and (7) maintaining the client protection fund, board of legal specialization and the appointment of conservatorships to protect client interests. The SBA would establish, collect and use voluntary membership dues from an attorney for any lawful activity not included in the foregoing enumerated functions.</w:t>
      </w:r>
    </w:p>
    <w:p w:rsidR="00742F35" w:rsidRDefault="00742F35" w:rsidP="00742F35">
      <w:pPr>
        <w:pStyle w:val="Body"/>
        <w:widowControl w:val="0"/>
        <w:spacing w:line="480" w:lineRule="auto"/>
        <w:ind w:firstLine="720"/>
        <w:jc w:val="both"/>
        <w:rPr>
          <w:sz w:val="28"/>
          <w:szCs w:val="28"/>
        </w:rPr>
      </w:pPr>
      <w:r>
        <w:rPr>
          <w:sz w:val="28"/>
          <w:szCs w:val="28"/>
        </w:rPr>
        <w:t xml:space="preserve">Like the proposed bar reform bills, implicit in the Petition’s provision to keep lawyer regulation and discipline </w:t>
      </w:r>
      <w:r w:rsidRPr="001543AA">
        <w:rPr>
          <w:i/>
          <w:sz w:val="28"/>
          <w:szCs w:val="28"/>
        </w:rPr>
        <w:t>as it is</w:t>
      </w:r>
      <w:r>
        <w:rPr>
          <w:sz w:val="28"/>
          <w:szCs w:val="28"/>
        </w:rPr>
        <w:t xml:space="preserve"> and under Court oversight --- but separate from the Bar’s non-regulat</w:t>
      </w:r>
      <w:r w:rsidR="00AD52BD">
        <w:rPr>
          <w:sz w:val="28"/>
          <w:szCs w:val="28"/>
        </w:rPr>
        <w:t>ory activities --- is the</w:t>
      </w:r>
      <w:r>
        <w:rPr>
          <w:sz w:val="28"/>
          <w:szCs w:val="28"/>
        </w:rPr>
        <w:t xml:space="preserve"> preeminence public protection must be accorded over the Bar’s traditional trade association</w:t>
      </w:r>
      <w:r>
        <w:rPr>
          <w:rStyle w:val="FootnoteReference"/>
          <w:sz w:val="28"/>
          <w:szCs w:val="28"/>
        </w:rPr>
        <w:footnoteReference w:id="5"/>
      </w:r>
      <w:r>
        <w:rPr>
          <w:sz w:val="28"/>
          <w:szCs w:val="28"/>
        </w:rPr>
        <w:t xml:space="preserve"> functions. </w:t>
      </w:r>
    </w:p>
    <w:p w:rsidR="00FC18C6" w:rsidRDefault="00170EE1" w:rsidP="008514AE">
      <w:pPr>
        <w:pStyle w:val="Body"/>
        <w:widowControl w:val="0"/>
        <w:spacing w:line="480" w:lineRule="auto"/>
        <w:ind w:firstLine="720"/>
        <w:jc w:val="both"/>
        <w:rPr>
          <w:sz w:val="28"/>
          <w:szCs w:val="28"/>
        </w:rPr>
      </w:pPr>
      <w:r>
        <w:rPr>
          <w:sz w:val="28"/>
          <w:szCs w:val="28"/>
        </w:rPr>
        <w:lastRenderedPageBreak/>
        <w:t>L</w:t>
      </w:r>
      <w:r w:rsidR="002E7AB3">
        <w:rPr>
          <w:sz w:val="28"/>
          <w:szCs w:val="28"/>
        </w:rPr>
        <w:t>imiting forced funding solely to lawyer regulation</w:t>
      </w:r>
      <w:r>
        <w:rPr>
          <w:sz w:val="28"/>
          <w:szCs w:val="28"/>
        </w:rPr>
        <w:t xml:space="preserve"> strengthens</w:t>
      </w:r>
      <w:r w:rsidR="002E7AB3">
        <w:rPr>
          <w:sz w:val="28"/>
          <w:szCs w:val="28"/>
        </w:rPr>
        <w:t xml:space="preserve"> attorney </w:t>
      </w:r>
      <w:r>
        <w:rPr>
          <w:sz w:val="28"/>
          <w:szCs w:val="28"/>
        </w:rPr>
        <w:t>First Amendment rights</w:t>
      </w:r>
      <w:r w:rsidR="002E7AB3">
        <w:rPr>
          <w:sz w:val="28"/>
          <w:szCs w:val="28"/>
        </w:rPr>
        <w:t>.</w:t>
      </w:r>
      <w:r>
        <w:rPr>
          <w:sz w:val="28"/>
          <w:szCs w:val="28"/>
        </w:rPr>
        <w:t xml:space="preserve"> It’</w:t>
      </w:r>
      <w:r w:rsidR="00FC18C6">
        <w:rPr>
          <w:sz w:val="28"/>
          <w:szCs w:val="28"/>
        </w:rPr>
        <w:t xml:space="preserve">s long past </w:t>
      </w:r>
      <w:r>
        <w:rPr>
          <w:sz w:val="28"/>
          <w:szCs w:val="28"/>
        </w:rPr>
        <w:t xml:space="preserve">time for lawyers to </w:t>
      </w:r>
      <w:r w:rsidR="00FB57BB">
        <w:rPr>
          <w:sz w:val="28"/>
          <w:szCs w:val="28"/>
        </w:rPr>
        <w:t>start</w:t>
      </w:r>
      <w:r>
        <w:rPr>
          <w:sz w:val="28"/>
          <w:szCs w:val="28"/>
        </w:rPr>
        <w:t xml:space="preserve"> reclaiming th</w:t>
      </w:r>
      <w:r w:rsidR="00AD52BD">
        <w:rPr>
          <w:sz w:val="28"/>
          <w:szCs w:val="28"/>
        </w:rPr>
        <w:t xml:space="preserve">ese </w:t>
      </w:r>
      <w:r>
        <w:rPr>
          <w:sz w:val="28"/>
          <w:szCs w:val="28"/>
        </w:rPr>
        <w:t>rights</w:t>
      </w:r>
      <w:r w:rsidR="00AD52BD">
        <w:rPr>
          <w:sz w:val="28"/>
          <w:szCs w:val="28"/>
        </w:rPr>
        <w:t>. T</w:t>
      </w:r>
      <w:r w:rsidR="00C27D93">
        <w:rPr>
          <w:sz w:val="28"/>
          <w:szCs w:val="28"/>
        </w:rPr>
        <w:t>heir</w:t>
      </w:r>
      <w:r>
        <w:rPr>
          <w:sz w:val="28"/>
          <w:szCs w:val="28"/>
        </w:rPr>
        <w:t xml:space="preserve"> erosion has </w:t>
      </w:r>
      <w:r w:rsidR="00FB57BB">
        <w:rPr>
          <w:sz w:val="28"/>
          <w:szCs w:val="28"/>
        </w:rPr>
        <w:t xml:space="preserve">too often </w:t>
      </w:r>
      <w:r>
        <w:rPr>
          <w:sz w:val="28"/>
          <w:szCs w:val="28"/>
        </w:rPr>
        <w:t xml:space="preserve">been unknowingly </w:t>
      </w:r>
      <w:r w:rsidR="00FB57BB">
        <w:rPr>
          <w:sz w:val="28"/>
          <w:szCs w:val="28"/>
        </w:rPr>
        <w:t>allowed</w:t>
      </w:r>
      <w:r>
        <w:rPr>
          <w:sz w:val="28"/>
          <w:szCs w:val="28"/>
        </w:rPr>
        <w:t xml:space="preserve"> </w:t>
      </w:r>
      <w:r w:rsidR="00FB57BB">
        <w:rPr>
          <w:sz w:val="28"/>
          <w:szCs w:val="28"/>
        </w:rPr>
        <w:t>in many spheres</w:t>
      </w:r>
      <w:r w:rsidR="00AD52BD">
        <w:rPr>
          <w:sz w:val="28"/>
          <w:szCs w:val="28"/>
        </w:rPr>
        <w:t>,</w:t>
      </w:r>
      <w:r w:rsidR="00FB57BB">
        <w:rPr>
          <w:sz w:val="28"/>
          <w:szCs w:val="28"/>
        </w:rPr>
        <w:t xml:space="preserve"> not just with respect to compelled speech and association.</w:t>
      </w:r>
      <w:r w:rsidR="00005C2E">
        <w:rPr>
          <w:rStyle w:val="FootnoteReference"/>
          <w:sz w:val="28"/>
          <w:szCs w:val="28"/>
        </w:rPr>
        <w:footnoteReference w:id="6"/>
      </w:r>
      <w:r>
        <w:rPr>
          <w:sz w:val="28"/>
          <w:szCs w:val="28"/>
        </w:rPr>
        <w:t xml:space="preserve"> </w:t>
      </w:r>
      <w:r w:rsidR="002E7AB3">
        <w:rPr>
          <w:sz w:val="28"/>
          <w:szCs w:val="28"/>
        </w:rPr>
        <w:t xml:space="preserve"> </w:t>
      </w:r>
    </w:p>
    <w:p w:rsidR="00E5789D" w:rsidRDefault="00FB57BB" w:rsidP="00FC18C6">
      <w:pPr>
        <w:pStyle w:val="Body"/>
        <w:widowControl w:val="0"/>
        <w:spacing w:line="480" w:lineRule="auto"/>
        <w:ind w:firstLine="720"/>
        <w:jc w:val="both"/>
        <w:rPr>
          <w:sz w:val="28"/>
          <w:szCs w:val="28"/>
        </w:rPr>
      </w:pPr>
      <w:r>
        <w:rPr>
          <w:sz w:val="28"/>
          <w:szCs w:val="28"/>
        </w:rPr>
        <w:t xml:space="preserve">The </w:t>
      </w:r>
      <w:r w:rsidR="00174C2F">
        <w:rPr>
          <w:sz w:val="28"/>
          <w:szCs w:val="28"/>
        </w:rPr>
        <w:t>P</w:t>
      </w:r>
      <w:r>
        <w:rPr>
          <w:sz w:val="28"/>
          <w:szCs w:val="28"/>
        </w:rPr>
        <w:t xml:space="preserve">etition offers a first step on the road to reclaiming these cherished </w:t>
      </w:r>
      <w:r w:rsidR="00384116">
        <w:rPr>
          <w:sz w:val="28"/>
          <w:szCs w:val="28"/>
        </w:rPr>
        <w:t xml:space="preserve">First Amendment </w:t>
      </w:r>
      <w:r>
        <w:rPr>
          <w:sz w:val="28"/>
          <w:szCs w:val="28"/>
        </w:rPr>
        <w:t xml:space="preserve">freedoms. </w:t>
      </w:r>
      <w:r w:rsidR="00384116">
        <w:rPr>
          <w:sz w:val="28"/>
          <w:szCs w:val="28"/>
        </w:rPr>
        <w:t>It’</w:t>
      </w:r>
      <w:r w:rsidR="00DD2D36">
        <w:rPr>
          <w:sz w:val="28"/>
          <w:szCs w:val="28"/>
        </w:rPr>
        <w:t>s not</w:t>
      </w:r>
      <w:r w:rsidR="00C059F2">
        <w:rPr>
          <w:sz w:val="28"/>
          <w:szCs w:val="28"/>
        </w:rPr>
        <w:t xml:space="preserve"> surprising, though</w:t>
      </w:r>
      <w:r w:rsidR="00384116">
        <w:rPr>
          <w:sz w:val="28"/>
          <w:szCs w:val="28"/>
        </w:rPr>
        <w:t xml:space="preserve">, that </w:t>
      </w:r>
      <w:r>
        <w:rPr>
          <w:sz w:val="28"/>
          <w:szCs w:val="28"/>
        </w:rPr>
        <w:t xml:space="preserve">the SBA </w:t>
      </w:r>
      <w:r w:rsidR="00DD2D36">
        <w:rPr>
          <w:sz w:val="28"/>
          <w:szCs w:val="28"/>
        </w:rPr>
        <w:t xml:space="preserve">rises again in opposition. Arizona’s legal establishment </w:t>
      </w:r>
      <w:r w:rsidR="00384116">
        <w:rPr>
          <w:sz w:val="28"/>
          <w:szCs w:val="28"/>
        </w:rPr>
        <w:t xml:space="preserve">has not always been on the </w:t>
      </w:r>
      <w:r w:rsidR="00E5789D">
        <w:rPr>
          <w:sz w:val="28"/>
          <w:szCs w:val="28"/>
        </w:rPr>
        <w:t>correct</w:t>
      </w:r>
      <w:r w:rsidR="00384116">
        <w:rPr>
          <w:sz w:val="28"/>
          <w:szCs w:val="28"/>
        </w:rPr>
        <w:t xml:space="preserve"> side of </w:t>
      </w:r>
      <w:r w:rsidR="00DD2D36">
        <w:rPr>
          <w:sz w:val="28"/>
          <w:szCs w:val="28"/>
        </w:rPr>
        <w:t>safeguarding</w:t>
      </w:r>
      <w:r w:rsidR="00384116">
        <w:rPr>
          <w:sz w:val="28"/>
          <w:szCs w:val="28"/>
        </w:rPr>
        <w:t xml:space="preserve"> the </w:t>
      </w:r>
      <w:r w:rsidR="00174C2F">
        <w:rPr>
          <w:sz w:val="28"/>
          <w:szCs w:val="28"/>
        </w:rPr>
        <w:t>free speech</w:t>
      </w:r>
      <w:r w:rsidR="00E5789D">
        <w:rPr>
          <w:sz w:val="28"/>
          <w:szCs w:val="28"/>
        </w:rPr>
        <w:t xml:space="preserve"> rights</w:t>
      </w:r>
      <w:r w:rsidR="00384116">
        <w:rPr>
          <w:sz w:val="28"/>
          <w:szCs w:val="28"/>
        </w:rPr>
        <w:t xml:space="preserve"> of Arizona’s lawyers.</w:t>
      </w:r>
      <w:r w:rsidR="00384116">
        <w:rPr>
          <w:rStyle w:val="FootnoteReference"/>
          <w:sz w:val="28"/>
          <w:szCs w:val="28"/>
        </w:rPr>
        <w:footnoteReference w:id="7"/>
      </w:r>
      <w:r w:rsidR="00384116">
        <w:rPr>
          <w:sz w:val="28"/>
          <w:szCs w:val="28"/>
        </w:rPr>
        <w:t xml:space="preserve"> </w:t>
      </w:r>
    </w:p>
    <w:p w:rsidR="00F07BDE" w:rsidRDefault="00FB57BB" w:rsidP="00FC18C6">
      <w:pPr>
        <w:pStyle w:val="Body"/>
        <w:widowControl w:val="0"/>
        <w:spacing w:line="480" w:lineRule="auto"/>
        <w:ind w:firstLine="720"/>
        <w:jc w:val="both"/>
        <w:rPr>
          <w:sz w:val="28"/>
          <w:szCs w:val="28"/>
        </w:rPr>
      </w:pPr>
      <w:r>
        <w:rPr>
          <w:sz w:val="28"/>
          <w:szCs w:val="28"/>
        </w:rPr>
        <w:t xml:space="preserve"> </w:t>
      </w:r>
      <w:r w:rsidR="00BB60BB">
        <w:rPr>
          <w:sz w:val="28"/>
          <w:szCs w:val="28"/>
        </w:rPr>
        <w:t>T</w:t>
      </w:r>
      <w:r w:rsidR="00174C2F">
        <w:rPr>
          <w:sz w:val="28"/>
          <w:szCs w:val="28"/>
        </w:rPr>
        <w:t>he SBA</w:t>
      </w:r>
      <w:r w:rsidR="00E5789D">
        <w:rPr>
          <w:sz w:val="28"/>
          <w:szCs w:val="28"/>
        </w:rPr>
        <w:t xml:space="preserve"> has</w:t>
      </w:r>
      <w:r w:rsidR="00BB60BB">
        <w:rPr>
          <w:sz w:val="28"/>
          <w:szCs w:val="28"/>
        </w:rPr>
        <w:t>, for instance,</w:t>
      </w:r>
      <w:r w:rsidR="00E5789D">
        <w:rPr>
          <w:sz w:val="28"/>
          <w:szCs w:val="28"/>
        </w:rPr>
        <w:t xml:space="preserve"> long taken an expansive interpretation of the permissible activities it alone deems “essential” to its mission and purpose</w:t>
      </w:r>
      <w:r w:rsidR="00BB60BB">
        <w:rPr>
          <w:sz w:val="28"/>
          <w:szCs w:val="28"/>
        </w:rPr>
        <w:t>. So</w:t>
      </w:r>
      <w:r w:rsidR="00E5789D">
        <w:rPr>
          <w:sz w:val="28"/>
          <w:szCs w:val="28"/>
        </w:rPr>
        <w:t xml:space="preserve"> its </w:t>
      </w:r>
      <w:r w:rsidR="00174C2F">
        <w:rPr>
          <w:sz w:val="28"/>
          <w:szCs w:val="28"/>
        </w:rPr>
        <w:t>current promises</w:t>
      </w:r>
      <w:r w:rsidR="00E5789D">
        <w:rPr>
          <w:sz w:val="28"/>
          <w:szCs w:val="28"/>
        </w:rPr>
        <w:t xml:space="preserve"> of heightened transparency are less than assuring</w:t>
      </w:r>
      <w:r w:rsidR="00174C2F">
        <w:rPr>
          <w:sz w:val="28"/>
          <w:szCs w:val="28"/>
        </w:rPr>
        <w:t>.</w:t>
      </w:r>
      <w:r w:rsidR="00E5789D">
        <w:rPr>
          <w:sz w:val="28"/>
          <w:szCs w:val="28"/>
        </w:rPr>
        <w:t xml:space="preserve"> This is why a non-Bar-contracted, truly independent and disinterested audit listing every expenditure is so crucial</w:t>
      </w:r>
      <w:r w:rsidR="002E7AB3">
        <w:rPr>
          <w:sz w:val="28"/>
          <w:szCs w:val="28"/>
        </w:rPr>
        <w:t xml:space="preserve">. </w:t>
      </w:r>
    </w:p>
    <w:p w:rsidR="002A13FC" w:rsidRDefault="008514AE" w:rsidP="002A13FC">
      <w:pPr>
        <w:pStyle w:val="Default"/>
        <w:spacing w:line="480" w:lineRule="auto"/>
        <w:ind w:firstLine="720"/>
        <w:rPr>
          <w:sz w:val="28"/>
          <w:szCs w:val="28"/>
        </w:rPr>
      </w:pPr>
      <w:r>
        <w:rPr>
          <w:sz w:val="28"/>
          <w:szCs w:val="28"/>
        </w:rPr>
        <w:lastRenderedPageBreak/>
        <w:t xml:space="preserve">Petitioner’s proposed amendments to Rule 32 </w:t>
      </w:r>
      <w:r w:rsidR="00F07BDE">
        <w:rPr>
          <w:sz w:val="28"/>
          <w:szCs w:val="28"/>
        </w:rPr>
        <w:t>properly rely on</w:t>
      </w:r>
      <w:r w:rsidR="002A13FC">
        <w:rPr>
          <w:sz w:val="28"/>
          <w:szCs w:val="28"/>
        </w:rPr>
        <w:t xml:space="preserve"> “exacting scrutiny</w:t>
      </w:r>
      <w:r w:rsidR="00430B28">
        <w:rPr>
          <w:sz w:val="28"/>
          <w:szCs w:val="28"/>
        </w:rPr>
        <w:t>,</w:t>
      </w:r>
      <w:r w:rsidR="002A13FC">
        <w:rPr>
          <w:sz w:val="28"/>
          <w:szCs w:val="28"/>
        </w:rPr>
        <w:t>” a standard now required under</w:t>
      </w:r>
      <w:r>
        <w:rPr>
          <w:sz w:val="28"/>
          <w:szCs w:val="28"/>
        </w:rPr>
        <w:t xml:space="preserve"> </w:t>
      </w:r>
      <w:r>
        <w:rPr>
          <w:i/>
          <w:sz w:val="28"/>
          <w:szCs w:val="28"/>
        </w:rPr>
        <w:t>Janus v. AFSCME</w:t>
      </w:r>
      <w:r>
        <w:rPr>
          <w:sz w:val="28"/>
          <w:szCs w:val="28"/>
        </w:rPr>
        <w:t>, 138 S. Ct. 2448 (2018)</w:t>
      </w:r>
      <w:r w:rsidR="002A13FC">
        <w:rPr>
          <w:sz w:val="28"/>
          <w:szCs w:val="28"/>
        </w:rPr>
        <w:t xml:space="preserve">. </w:t>
      </w:r>
      <w:r w:rsidR="00621D2D">
        <w:rPr>
          <w:sz w:val="28"/>
          <w:szCs w:val="28"/>
        </w:rPr>
        <w:t xml:space="preserve">This means that </w:t>
      </w:r>
      <w:r w:rsidR="00430B28">
        <w:rPr>
          <w:sz w:val="28"/>
          <w:szCs w:val="28"/>
        </w:rPr>
        <w:t>forcing</w:t>
      </w:r>
      <w:r w:rsidR="002A13FC">
        <w:rPr>
          <w:sz w:val="28"/>
          <w:szCs w:val="28"/>
        </w:rPr>
        <w:t xml:space="preserve"> lawyers to join and fund the SBA’s non-regulatory trade association activities must</w:t>
      </w:r>
      <w:r w:rsidR="00621D2D">
        <w:rPr>
          <w:sz w:val="28"/>
          <w:szCs w:val="28"/>
        </w:rPr>
        <w:t xml:space="preserve"> now</w:t>
      </w:r>
      <w:r w:rsidR="002A13FC">
        <w:rPr>
          <w:sz w:val="28"/>
          <w:szCs w:val="28"/>
        </w:rPr>
        <w:t xml:space="preserve"> “‘serve a compelling state interest that cannot be achieved through means significantly less restrictive of associational freedoms.’” </w:t>
      </w:r>
      <w:r w:rsidR="002A13FC">
        <w:rPr>
          <w:i/>
          <w:iCs/>
          <w:sz w:val="28"/>
          <w:szCs w:val="28"/>
        </w:rPr>
        <w:t>Id</w:t>
      </w:r>
      <w:r w:rsidR="002A13FC">
        <w:rPr>
          <w:sz w:val="28"/>
          <w:szCs w:val="28"/>
        </w:rPr>
        <w:t xml:space="preserve">. at 2465 (quoting </w:t>
      </w:r>
      <w:r w:rsidR="002A13FC">
        <w:rPr>
          <w:i/>
          <w:iCs/>
          <w:sz w:val="28"/>
          <w:szCs w:val="28"/>
        </w:rPr>
        <w:t>Knox v. SEIU</w:t>
      </w:r>
      <w:r w:rsidR="002A13FC">
        <w:rPr>
          <w:sz w:val="28"/>
          <w:szCs w:val="28"/>
        </w:rPr>
        <w:t>, 567 U.S. 298, 310 (2012)).</w:t>
      </w:r>
      <w:r w:rsidR="0053355D">
        <w:rPr>
          <w:rStyle w:val="FootnoteReference"/>
          <w:sz w:val="28"/>
          <w:szCs w:val="28"/>
        </w:rPr>
        <w:footnoteReference w:id="8"/>
      </w:r>
      <w:r w:rsidR="002A13FC">
        <w:rPr>
          <w:sz w:val="28"/>
          <w:szCs w:val="28"/>
        </w:rPr>
        <w:t xml:space="preserve"> </w:t>
      </w:r>
    </w:p>
    <w:p w:rsidR="008514AE" w:rsidRDefault="008514AE" w:rsidP="008514AE">
      <w:pPr>
        <w:pStyle w:val="Body"/>
        <w:widowControl w:val="0"/>
        <w:spacing w:line="480" w:lineRule="auto"/>
        <w:ind w:firstLine="720"/>
        <w:jc w:val="center"/>
        <w:rPr>
          <w:b/>
          <w:sz w:val="28"/>
          <w:szCs w:val="28"/>
        </w:rPr>
      </w:pPr>
      <w:r>
        <w:rPr>
          <w:b/>
          <w:sz w:val="28"/>
          <w:szCs w:val="28"/>
        </w:rPr>
        <w:t xml:space="preserve">DISCUSSION </w:t>
      </w:r>
    </w:p>
    <w:p w:rsidR="008514AE" w:rsidRDefault="00C20AD8" w:rsidP="008514AE">
      <w:pPr>
        <w:pStyle w:val="Body"/>
        <w:widowControl w:val="0"/>
        <w:numPr>
          <w:ilvl w:val="0"/>
          <w:numId w:val="15"/>
        </w:numPr>
        <w:spacing w:line="240" w:lineRule="auto"/>
        <w:jc w:val="both"/>
        <w:rPr>
          <w:b/>
          <w:sz w:val="28"/>
          <w:szCs w:val="28"/>
        </w:rPr>
      </w:pPr>
      <w:r>
        <w:rPr>
          <w:b/>
          <w:sz w:val="28"/>
          <w:szCs w:val="28"/>
        </w:rPr>
        <w:t xml:space="preserve">In a changing </w:t>
      </w:r>
      <w:r w:rsidR="00F62E8C">
        <w:rPr>
          <w:b/>
          <w:sz w:val="28"/>
          <w:szCs w:val="28"/>
        </w:rPr>
        <w:t xml:space="preserve">lawyer regulatory </w:t>
      </w:r>
      <w:r>
        <w:rPr>
          <w:b/>
          <w:sz w:val="28"/>
          <w:szCs w:val="28"/>
        </w:rPr>
        <w:t>landscape, t</w:t>
      </w:r>
      <w:r w:rsidR="008514AE">
        <w:rPr>
          <w:b/>
          <w:sz w:val="28"/>
          <w:szCs w:val="28"/>
        </w:rPr>
        <w:t xml:space="preserve">he </w:t>
      </w:r>
      <w:r>
        <w:rPr>
          <w:b/>
          <w:sz w:val="28"/>
          <w:szCs w:val="28"/>
        </w:rPr>
        <w:t>status quo is no longer viable</w:t>
      </w:r>
      <w:r w:rsidR="008514AE">
        <w:rPr>
          <w:b/>
          <w:sz w:val="28"/>
          <w:szCs w:val="28"/>
        </w:rPr>
        <w:t xml:space="preserve">. </w:t>
      </w:r>
    </w:p>
    <w:p w:rsidR="008514AE" w:rsidRPr="00B85DEC" w:rsidRDefault="008514AE" w:rsidP="008514AE">
      <w:pPr>
        <w:pStyle w:val="Body"/>
        <w:widowControl w:val="0"/>
        <w:spacing w:line="240" w:lineRule="auto"/>
        <w:ind w:left="1440" w:firstLine="0"/>
        <w:jc w:val="both"/>
        <w:rPr>
          <w:b/>
          <w:sz w:val="28"/>
          <w:szCs w:val="28"/>
        </w:rPr>
      </w:pPr>
    </w:p>
    <w:p w:rsidR="0064681A" w:rsidRDefault="008514AE" w:rsidP="008514AE">
      <w:pPr>
        <w:pStyle w:val="Body"/>
        <w:widowControl w:val="0"/>
        <w:spacing w:line="480" w:lineRule="auto"/>
        <w:ind w:firstLine="0"/>
        <w:jc w:val="both"/>
        <w:rPr>
          <w:sz w:val="28"/>
          <w:szCs w:val="28"/>
        </w:rPr>
      </w:pPr>
      <w:r>
        <w:rPr>
          <w:sz w:val="28"/>
          <w:szCs w:val="28"/>
        </w:rPr>
        <w:tab/>
      </w:r>
      <w:r w:rsidR="00621D2D">
        <w:rPr>
          <w:sz w:val="28"/>
          <w:szCs w:val="28"/>
        </w:rPr>
        <w:t xml:space="preserve">Queen Gertrude said in </w:t>
      </w:r>
      <w:r w:rsidR="00621D2D" w:rsidRPr="00621D2D">
        <w:rPr>
          <w:i/>
          <w:sz w:val="28"/>
          <w:szCs w:val="28"/>
        </w:rPr>
        <w:t>Hamlet</w:t>
      </w:r>
      <w:r w:rsidR="00621D2D">
        <w:rPr>
          <w:sz w:val="28"/>
          <w:szCs w:val="28"/>
        </w:rPr>
        <w:t>, the other player ‘doth protest too much</w:t>
      </w:r>
      <w:r w:rsidR="0063567B">
        <w:rPr>
          <w:sz w:val="28"/>
          <w:szCs w:val="28"/>
        </w:rPr>
        <w:t>.</w:t>
      </w:r>
      <w:r w:rsidR="00621D2D">
        <w:rPr>
          <w:sz w:val="28"/>
          <w:szCs w:val="28"/>
        </w:rPr>
        <w:t xml:space="preserve">’ </w:t>
      </w:r>
      <w:r w:rsidR="0063567B">
        <w:rPr>
          <w:sz w:val="28"/>
          <w:szCs w:val="28"/>
        </w:rPr>
        <w:t xml:space="preserve">Here the SBA </w:t>
      </w:r>
      <w:r w:rsidR="006E2E63">
        <w:rPr>
          <w:sz w:val="28"/>
          <w:szCs w:val="28"/>
        </w:rPr>
        <w:t xml:space="preserve">also </w:t>
      </w:r>
      <w:r w:rsidR="0063567B">
        <w:rPr>
          <w:sz w:val="28"/>
          <w:szCs w:val="28"/>
        </w:rPr>
        <w:t xml:space="preserve">protests </w:t>
      </w:r>
      <w:r w:rsidR="006E2E63">
        <w:rPr>
          <w:sz w:val="28"/>
          <w:szCs w:val="28"/>
        </w:rPr>
        <w:t xml:space="preserve">“too much” </w:t>
      </w:r>
      <w:r w:rsidR="0063567B">
        <w:rPr>
          <w:sz w:val="28"/>
          <w:szCs w:val="28"/>
        </w:rPr>
        <w:t xml:space="preserve">when </w:t>
      </w:r>
      <w:r w:rsidR="00621D2D">
        <w:rPr>
          <w:sz w:val="28"/>
          <w:szCs w:val="28"/>
        </w:rPr>
        <w:t>t</w:t>
      </w:r>
      <w:r w:rsidR="0063567B">
        <w:rPr>
          <w:sz w:val="28"/>
          <w:szCs w:val="28"/>
        </w:rPr>
        <w:t>he</w:t>
      </w:r>
      <w:r w:rsidR="00621D2D">
        <w:rPr>
          <w:sz w:val="28"/>
          <w:szCs w:val="28"/>
        </w:rPr>
        <w:t xml:space="preserve"> Petitioner calls</w:t>
      </w:r>
      <w:r w:rsidR="00AF5570">
        <w:rPr>
          <w:sz w:val="28"/>
          <w:szCs w:val="28"/>
        </w:rPr>
        <w:t xml:space="preserve"> </w:t>
      </w:r>
      <w:r w:rsidR="00C059F2">
        <w:rPr>
          <w:sz w:val="28"/>
          <w:szCs w:val="28"/>
        </w:rPr>
        <w:t>the integr</w:t>
      </w:r>
      <w:r w:rsidR="00AF5570">
        <w:rPr>
          <w:sz w:val="28"/>
          <w:szCs w:val="28"/>
        </w:rPr>
        <w:t>a</w:t>
      </w:r>
      <w:r w:rsidR="00C059F2">
        <w:rPr>
          <w:sz w:val="28"/>
          <w:szCs w:val="28"/>
        </w:rPr>
        <w:t xml:space="preserve">ted </w:t>
      </w:r>
      <w:r w:rsidR="00336DAE">
        <w:rPr>
          <w:sz w:val="28"/>
          <w:szCs w:val="28"/>
        </w:rPr>
        <w:t>bar</w:t>
      </w:r>
      <w:r w:rsidR="00C059F2">
        <w:rPr>
          <w:sz w:val="28"/>
          <w:szCs w:val="28"/>
        </w:rPr>
        <w:t xml:space="preserve"> a</w:t>
      </w:r>
      <w:r w:rsidR="00AF5570">
        <w:rPr>
          <w:sz w:val="28"/>
          <w:szCs w:val="28"/>
        </w:rPr>
        <w:t xml:space="preserve"> “fad of the past century</w:t>
      </w:r>
      <w:r w:rsidR="00621D2D">
        <w:rPr>
          <w:sz w:val="28"/>
          <w:szCs w:val="28"/>
        </w:rPr>
        <w:t xml:space="preserve">.” </w:t>
      </w:r>
      <w:r w:rsidR="0063567B">
        <w:rPr>
          <w:sz w:val="28"/>
          <w:szCs w:val="28"/>
        </w:rPr>
        <w:t>But the description is apt.</w:t>
      </w:r>
      <w:r w:rsidR="00822F82">
        <w:rPr>
          <w:sz w:val="28"/>
          <w:szCs w:val="28"/>
        </w:rPr>
        <w:t xml:space="preserve"> </w:t>
      </w:r>
      <w:r w:rsidR="0063567B">
        <w:rPr>
          <w:sz w:val="28"/>
          <w:szCs w:val="28"/>
        </w:rPr>
        <w:t>W</w:t>
      </w:r>
      <w:r w:rsidR="00621D2D">
        <w:rPr>
          <w:sz w:val="28"/>
          <w:szCs w:val="28"/>
        </w:rPr>
        <w:t>hat</w:t>
      </w:r>
      <w:r w:rsidR="00AF5570">
        <w:rPr>
          <w:sz w:val="28"/>
          <w:szCs w:val="28"/>
        </w:rPr>
        <w:t xml:space="preserve"> was once in vogue in the last century will no longer </w:t>
      </w:r>
      <w:r w:rsidR="00822F82">
        <w:rPr>
          <w:sz w:val="28"/>
          <w:szCs w:val="28"/>
        </w:rPr>
        <w:t>hold sway</w:t>
      </w:r>
      <w:r w:rsidR="00C20AD8">
        <w:rPr>
          <w:sz w:val="28"/>
          <w:szCs w:val="28"/>
        </w:rPr>
        <w:t xml:space="preserve"> </w:t>
      </w:r>
      <w:r w:rsidR="00AF5570">
        <w:rPr>
          <w:sz w:val="28"/>
          <w:szCs w:val="28"/>
        </w:rPr>
        <w:t xml:space="preserve">in this one. </w:t>
      </w:r>
      <w:r w:rsidR="00621D2D">
        <w:rPr>
          <w:sz w:val="28"/>
          <w:szCs w:val="28"/>
        </w:rPr>
        <w:t>T</w:t>
      </w:r>
      <w:r w:rsidR="00AF5570">
        <w:rPr>
          <w:sz w:val="28"/>
          <w:szCs w:val="28"/>
        </w:rPr>
        <w:t xml:space="preserve">he opinion in </w:t>
      </w:r>
      <w:r w:rsidR="00AF5570" w:rsidRPr="00AF5570">
        <w:rPr>
          <w:i/>
          <w:sz w:val="28"/>
          <w:szCs w:val="28"/>
        </w:rPr>
        <w:t xml:space="preserve">Janus </w:t>
      </w:r>
      <w:r w:rsidR="00621D2D">
        <w:rPr>
          <w:sz w:val="28"/>
          <w:szCs w:val="28"/>
        </w:rPr>
        <w:t xml:space="preserve">reversing </w:t>
      </w:r>
      <w:r w:rsidR="00AF5570">
        <w:rPr>
          <w:sz w:val="28"/>
          <w:szCs w:val="28"/>
        </w:rPr>
        <w:t xml:space="preserve">the First Amendment precedent in </w:t>
      </w:r>
      <w:r w:rsidR="00AF5570" w:rsidRPr="00AF5570">
        <w:rPr>
          <w:i/>
          <w:sz w:val="28"/>
          <w:szCs w:val="28"/>
        </w:rPr>
        <w:t>Abood v. Detroit Bd. of Educ.</w:t>
      </w:r>
      <w:r w:rsidR="00AF5570">
        <w:rPr>
          <w:sz w:val="28"/>
          <w:szCs w:val="28"/>
        </w:rPr>
        <w:t xml:space="preserve">, 431 U.S. 209 </w:t>
      </w:r>
      <w:r w:rsidR="0063567B">
        <w:rPr>
          <w:sz w:val="28"/>
          <w:szCs w:val="28"/>
        </w:rPr>
        <w:t xml:space="preserve">is a game-changer. </w:t>
      </w:r>
      <w:r w:rsidR="00621D2D">
        <w:rPr>
          <w:sz w:val="28"/>
          <w:szCs w:val="28"/>
        </w:rPr>
        <w:t>A</w:t>
      </w:r>
      <w:r w:rsidR="00B25607">
        <w:rPr>
          <w:sz w:val="28"/>
          <w:szCs w:val="28"/>
        </w:rPr>
        <w:t>s James Coppess, associate general counsel for the American Federation of Labor and Congress of Industrial Organizations</w:t>
      </w:r>
      <w:r w:rsidR="00334C9B">
        <w:rPr>
          <w:sz w:val="28"/>
          <w:szCs w:val="28"/>
        </w:rPr>
        <w:t>,</w:t>
      </w:r>
      <w:r w:rsidR="00B25607">
        <w:rPr>
          <w:sz w:val="28"/>
          <w:szCs w:val="28"/>
        </w:rPr>
        <w:t xml:space="preserve"> </w:t>
      </w:r>
      <w:r w:rsidR="0064681A">
        <w:rPr>
          <w:sz w:val="28"/>
          <w:szCs w:val="28"/>
        </w:rPr>
        <w:t>w</w:t>
      </w:r>
      <w:r w:rsidR="00B25607">
        <w:rPr>
          <w:sz w:val="28"/>
          <w:szCs w:val="28"/>
        </w:rPr>
        <w:t xml:space="preserve">rites at </w:t>
      </w:r>
      <w:r w:rsidR="00B25607" w:rsidRPr="0064681A">
        <w:rPr>
          <w:i/>
          <w:sz w:val="28"/>
          <w:szCs w:val="28"/>
        </w:rPr>
        <w:t>Scotus Blog</w:t>
      </w:r>
      <w:r w:rsidR="00B25607">
        <w:rPr>
          <w:sz w:val="28"/>
          <w:szCs w:val="28"/>
        </w:rPr>
        <w:t>,</w:t>
      </w:r>
    </w:p>
    <w:p w:rsidR="0064681A" w:rsidRDefault="0064681A" w:rsidP="0064681A">
      <w:pPr>
        <w:pStyle w:val="Body"/>
        <w:widowControl w:val="0"/>
        <w:spacing w:line="240" w:lineRule="auto"/>
        <w:ind w:firstLine="0"/>
        <w:jc w:val="both"/>
        <w:rPr>
          <w:sz w:val="28"/>
          <w:szCs w:val="28"/>
        </w:rPr>
      </w:pPr>
      <w:r>
        <w:rPr>
          <w:sz w:val="28"/>
          <w:szCs w:val="28"/>
        </w:rPr>
        <w:tab/>
        <w:t xml:space="preserve">Finally, the </w:t>
      </w:r>
      <w:r w:rsidRPr="0064681A">
        <w:rPr>
          <w:i/>
          <w:sz w:val="28"/>
          <w:szCs w:val="28"/>
        </w:rPr>
        <w:t>Janus</w:t>
      </w:r>
      <w:r>
        <w:rPr>
          <w:sz w:val="28"/>
          <w:szCs w:val="28"/>
        </w:rPr>
        <w:t xml:space="preserve"> majority opinion indicates that requiring lawyers</w:t>
      </w:r>
    </w:p>
    <w:p w:rsidR="0064681A" w:rsidRDefault="0064681A" w:rsidP="0064681A">
      <w:pPr>
        <w:pStyle w:val="Body"/>
        <w:widowControl w:val="0"/>
        <w:spacing w:line="240" w:lineRule="auto"/>
        <w:ind w:firstLine="0"/>
        <w:jc w:val="both"/>
        <w:rPr>
          <w:sz w:val="28"/>
          <w:szCs w:val="28"/>
        </w:rPr>
      </w:pPr>
      <w:r>
        <w:rPr>
          <w:sz w:val="28"/>
          <w:szCs w:val="28"/>
        </w:rPr>
        <w:tab/>
        <w:t xml:space="preserve">to pay bar association fees as a condition of practicing law is </w:t>
      </w:r>
    </w:p>
    <w:p w:rsidR="00AF5570" w:rsidRDefault="0064681A" w:rsidP="0064681A">
      <w:pPr>
        <w:pStyle w:val="Body"/>
        <w:widowControl w:val="0"/>
        <w:spacing w:line="240" w:lineRule="auto"/>
        <w:ind w:firstLine="0"/>
        <w:jc w:val="both"/>
        <w:rPr>
          <w:sz w:val="28"/>
          <w:szCs w:val="28"/>
        </w:rPr>
      </w:pPr>
      <w:r>
        <w:rPr>
          <w:sz w:val="28"/>
          <w:szCs w:val="28"/>
        </w:rPr>
        <w:tab/>
        <w:t>unconstitutional. As Kagan</w:t>
      </w:r>
      <w:r w:rsidR="00B25607">
        <w:rPr>
          <w:sz w:val="28"/>
          <w:szCs w:val="28"/>
        </w:rPr>
        <w:t xml:space="preserve"> </w:t>
      </w:r>
      <w:r>
        <w:rPr>
          <w:sz w:val="28"/>
          <w:szCs w:val="28"/>
        </w:rPr>
        <w:t>notes repeatedly in her dissent, without</w:t>
      </w:r>
    </w:p>
    <w:p w:rsidR="0064681A" w:rsidRDefault="0064681A" w:rsidP="0064681A">
      <w:pPr>
        <w:pStyle w:val="Body"/>
        <w:widowControl w:val="0"/>
        <w:spacing w:line="240" w:lineRule="auto"/>
        <w:ind w:firstLine="0"/>
        <w:jc w:val="both"/>
        <w:rPr>
          <w:sz w:val="28"/>
          <w:szCs w:val="28"/>
        </w:rPr>
      </w:pPr>
      <w:r>
        <w:rPr>
          <w:sz w:val="28"/>
          <w:szCs w:val="28"/>
        </w:rPr>
        <w:lastRenderedPageBreak/>
        <w:tab/>
        <w:t xml:space="preserve">any denial by Alito, the court had relied upon </w:t>
      </w:r>
      <w:r w:rsidRPr="0064681A">
        <w:rPr>
          <w:i/>
          <w:sz w:val="28"/>
          <w:szCs w:val="28"/>
        </w:rPr>
        <w:t>Abood</w:t>
      </w:r>
      <w:r>
        <w:rPr>
          <w:sz w:val="28"/>
          <w:szCs w:val="28"/>
        </w:rPr>
        <w:t xml:space="preserve"> to “bless [ ] the </w:t>
      </w:r>
    </w:p>
    <w:p w:rsidR="0064681A" w:rsidRDefault="0064681A" w:rsidP="0064681A">
      <w:pPr>
        <w:pStyle w:val="Body"/>
        <w:widowControl w:val="0"/>
        <w:spacing w:line="240" w:lineRule="auto"/>
        <w:ind w:firstLine="0"/>
        <w:jc w:val="both"/>
        <w:rPr>
          <w:sz w:val="28"/>
          <w:szCs w:val="28"/>
        </w:rPr>
      </w:pPr>
      <w:r>
        <w:rPr>
          <w:sz w:val="28"/>
          <w:szCs w:val="28"/>
        </w:rPr>
        <w:tab/>
        <w:t>constitutionality” of “mandatory fees imposed on state bar members.”</w:t>
      </w:r>
    </w:p>
    <w:p w:rsidR="0064681A" w:rsidRDefault="0064681A" w:rsidP="0064681A">
      <w:pPr>
        <w:pStyle w:val="Body"/>
        <w:widowControl w:val="0"/>
        <w:spacing w:line="240" w:lineRule="auto"/>
        <w:ind w:firstLine="0"/>
        <w:jc w:val="both"/>
        <w:rPr>
          <w:sz w:val="28"/>
          <w:szCs w:val="28"/>
        </w:rPr>
      </w:pPr>
      <w:r>
        <w:rPr>
          <w:sz w:val="28"/>
          <w:szCs w:val="28"/>
        </w:rPr>
        <w:tab/>
        <w:t>Indeed, the court’s lead decision establishing the constitutionality of</w:t>
      </w:r>
    </w:p>
    <w:p w:rsidR="0064681A" w:rsidRDefault="0064681A" w:rsidP="0064681A">
      <w:pPr>
        <w:pStyle w:val="Body"/>
        <w:widowControl w:val="0"/>
        <w:spacing w:line="240" w:lineRule="auto"/>
        <w:ind w:firstLine="0"/>
        <w:jc w:val="both"/>
        <w:rPr>
          <w:sz w:val="28"/>
          <w:szCs w:val="28"/>
        </w:rPr>
      </w:pPr>
      <w:r>
        <w:rPr>
          <w:sz w:val="28"/>
          <w:szCs w:val="28"/>
        </w:rPr>
        <w:tab/>
        <w:t xml:space="preserve">mandatory bar fees, 1961’s </w:t>
      </w:r>
      <w:r w:rsidRPr="0064681A">
        <w:rPr>
          <w:i/>
          <w:sz w:val="28"/>
          <w:szCs w:val="28"/>
        </w:rPr>
        <w:t>Lathrop v. Donohue</w:t>
      </w:r>
      <w:r>
        <w:rPr>
          <w:sz w:val="28"/>
          <w:szCs w:val="28"/>
        </w:rPr>
        <w:t>, treats the issue as</w:t>
      </w:r>
    </w:p>
    <w:p w:rsidR="0064681A" w:rsidRDefault="0064681A" w:rsidP="0064681A">
      <w:pPr>
        <w:pStyle w:val="Body"/>
        <w:widowControl w:val="0"/>
        <w:spacing w:line="240" w:lineRule="auto"/>
        <w:ind w:firstLine="0"/>
        <w:jc w:val="both"/>
        <w:rPr>
          <w:sz w:val="28"/>
          <w:szCs w:val="28"/>
        </w:rPr>
      </w:pPr>
      <w:r>
        <w:rPr>
          <w:sz w:val="28"/>
          <w:szCs w:val="28"/>
        </w:rPr>
        <w:tab/>
        <w:t xml:space="preserve">having been settled in 1956 by </w:t>
      </w:r>
      <w:r w:rsidRPr="0064681A">
        <w:rPr>
          <w:i/>
          <w:sz w:val="28"/>
          <w:szCs w:val="28"/>
        </w:rPr>
        <w:t>Railway Employees’ Dept. v. Hanson</w:t>
      </w:r>
      <w:r>
        <w:rPr>
          <w:sz w:val="28"/>
          <w:szCs w:val="28"/>
        </w:rPr>
        <w:t>,</w:t>
      </w:r>
    </w:p>
    <w:p w:rsidR="0064681A" w:rsidRDefault="0064681A" w:rsidP="0064681A">
      <w:pPr>
        <w:pStyle w:val="Body"/>
        <w:widowControl w:val="0"/>
        <w:spacing w:line="240" w:lineRule="auto"/>
        <w:ind w:firstLine="0"/>
        <w:jc w:val="both"/>
        <w:rPr>
          <w:sz w:val="28"/>
          <w:szCs w:val="28"/>
        </w:rPr>
      </w:pPr>
      <w:r>
        <w:rPr>
          <w:sz w:val="28"/>
          <w:szCs w:val="28"/>
        </w:rPr>
        <w:tab/>
        <w:t xml:space="preserve">the same Railway Labor Act precedent that Janus criticizes </w:t>
      </w:r>
      <w:r w:rsidRPr="00334C9B">
        <w:rPr>
          <w:i/>
          <w:sz w:val="28"/>
          <w:szCs w:val="28"/>
        </w:rPr>
        <w:t xml:space="preserve">Abood </w:t>
      </w:r>
      <w:r>
        <w:rPr>
          <w:sz w:val="28"/>
          <w:szCs w:val="28"/>
        </w:rPr>
        <w:t>for</w:t>
      </w:r>
    </w:p>
    <w:p w:rsidR="0064681A" w:rsidRDefault="0064681A" w:rsidP="0064681A">
      <w:pPr>
        <w:pStyle w:val="Body"/>
        <w:widowControl w:val="0"/>
        <w:spacing w:line="240" w:lineRule="auto"/>
        <w:ind w:firstLine="0"/>
        <w:jc w:val="both"/>
        <w:rPr>
          <w:sz w:val="28"/>
          <w:szCs w:val="28"/>
        </w:rPr>
      </w:pPr>
      <w:r>
        <w:rPr>
          <w:sz w:val="28"/>
          <w:szCs w:val="28"/>
        </w:rPr>
        <w:tab/>
        <w:t xml:space="preserve">following. If </w:t>
      </w:r>
      <w:r w:rsidRPr="0064681A">
        <w:rPr>
          <w:i/>
          <w:sz w:val="28"/>
          <w:szCs w:val="28"/>
        </w:rPr>
        <w:t>Abood</w:t>
      </w:r>
      <w:r>
        <w:rPr>
          <w:sz w:val="28"/>
          <w:szCs w:val="28"/>
        </w:rPr>
        <w:t xml:space="preserve"> “went wrong” relying on </w:t>
      </w:r>
      <w:r w:rsidRPr="0064681A">
        <w:rPr>
          <w:i/>
          <w:sz w:val="28"/>
          <w:szCs w:val="28"/>
        </w:rPr>
        <w:t>Hanson</w:t>
      </w:r>
      <w:r>
        <w:rPr>
          <w:sz w:val="28"/>
          <w:szCs w:val="28"/>
        </w:rPr>
        <w:t>, then so did</w:t>
      </w:r>
    </w:p>
    <w:p w:rsidR="0064681A" w:rsidRDefault="0064681A" w:rsidP="0064681A">
      <w:pPr>
        <w:pStyle w:val="Body"/>
        <w:widowControl w:val="0"/>
        <w:spacing w:line="240" w:lineRule="auto"/>
        <w:ind w:firstLine="0"/>
        <w:jc w:val="both"/>
        <w:rPr>
          <w:sz w:val="28"/>
          <w:szCs w:val="28"/>
        </w:rPr>
      </w:pPr>
      <w:r>
        <w:rPr>
          <w:sz w:val="28"/>
          <w:szCs w:val="28"/>
        </w:rPr>
        <w:tab/>
      </w:r>
      <w:r w:rsidRPr="0064681A">
        <w:rPr>
          <w:i/>
          <w:sz w:val="28"/>
          <w:szCs w:val="28"/>
        </w:rPr>
        <w:t>Lathrop</w:t>
      </w:r>
      <w:r>
        <w:rPr>
          <w:sz w:val="28"/>
          <w:szCs w:val="28"/>
        </w:rPr>
        <w:t>. And it follows that the Supreme Court compounded its</w:t>
      </w:r>
    </w:p>
    <w:p w:rsidR="0064681A" w:rsidRDefault="0064681A" w:rsidP="0064681A">
      <w:pPr>
        <w:pStyle w:val="Body"/>
        <w:widowControl w:val="0"/>
        <w:spacing w:line="240" w:lineRule="auto"/>
        <w:ind w:firstLine="0"/>
        <w:jc w:val="both"/>
        <w:rPr>
          <w:sz w:val="28"/>
          <w:szCs w:val="28"/>
        </w:rPr>
      </w:pPr>
      <w:r>
        <w:rPr>
          <w:sz w:val="28"/>
          <w:szCs w:val="28"/>
        </w:rPr>
        <w:tab/>
        <w:t xml:space="preserve">error in 1990 with </w:t>
      </w:r>
      <w:r w:rsidRPr="0064681A">
        <w:rPr>
          <w:i/>
          <w:sz w:val="28"/>
          <w:szCs w:val="28"/>
        </w:rPr>
        <w:t>Keller v. State Bar of California</w:t>
      </w:r>
      <w:r>
        <w:rPr>
          <w:sz w:val="28"/>
          <w:szCs w:val="28"/>
        </w:rPr>
        <w:t xml:space="preserve"> by relying entirely</w:t>
      </w:r>
    </w:p>
    <w:p w:rsidR="0064681A" w:rsidRDefault="0064681A" w:rsidP="0064681A">
      <w:pPr>
        <w:pStyle w:val="Body"/>
        <w:widowControl w:val="0"/>
        <w:spacing w:line="240" w:lineRule="auto"/>
        <w:ind w:firstLine="0"/>
        <w:jc w:val="both"/>
        <w:rPr>
          <w:sz w:val="28"/>
          <w:szCs w:val="28"/>
        </w:rPr>
      </w:pPr>
      <w:r>
        <w:rPr>
          <w:sz w:val="28"/>
          <w:szCs w:val="28"/>
        </w:rPr>
        <w:tab/>
        <w:t xml:space="preserve">on </w:t>
      </w:r>
      <w:r w:rsidRPr="0064681A">
        <w:rPr>
          <w:i/>
          <w:sz w:val="28"/>
          <w:szCs w:val="28"/>
        </w:rPr>
        <w:t>Abood</w:t>
      </w:r>
      <w:r>
        <w:rPr>
          <w:sz w:val="28"/>
          <w:szCs w:val="28"/>
        </w:rPr>
        <w:t xml:space="preserve"> in setting the constitutional limits on mandatory bar fees.</w:t>
      </w:r>
      <w:r w:rsidR="008B3CFE">
        <w:rPr>
          <w:rStyle w:val="FootnoteReference"/>
          <w:sz w:val="28"/>
          <w:szCs w:val="28"/>
        </w:rPr>
        <w:footnoteReference w:id="9"/>
      </w:r>
    </w:p>
    <w:p w:rsidR="0064681A" w:rsidRDefault="0064681A" w:rsidP="0064681A">
      <w:pPr>
        <w:pStyle w:val="Body"/>
        <w:widowControl w:val="0"/>
        <w:spacing w:line="240" w:lineRule="auto"/>
        <w:ind w:firstLine="0"/>
        <w:jc w:val="both"/>
        <w:rPr>
          <w:sz w:val="28"/>
          <w:szCs w:val="28"/>
        </w:rPr>
      </w:pPr>
    </w:p>
    <w:p w:rsidR="005D30EF" w:rsidRDefault="00F51E96" w:rsidP="00F63942">
      <w:pPr>
        <w:pStyle w:val="Body"/>
        <w:widowControl w:val="0"/>
        <w:spacing w:line="480" w:lineRule="auto"/>
        <w:ind w:firstLine="720"/>
        <w:jc w:val="both"/>
        <w:rPr>
          <w:sz w:val="28"/>
          <w:szCs w:val="28"/>
        </w:rPr>
      </w:pPr>
      <w:r>
        <w:rPr>
          <w:sz w:val="28"/>
          <w:szCs w:val="28"/>
        </w:rPr>
        <w:t>In 2013, the Nebraska Supreme Court reached</w:t>
      </w:r>
      <w:r w:rsidR="00C70583">
        <w:rPr>
          <w:sz w:val="28"/>
          <w:szCs w:val="28"/>
        </w:rPr>
        <w:t xml:space="preserve"> </w:t>
      </w:r>
      <w:r w:rsidR="00AD74EF">
        <w:rPr>
          <w:sz w:val="28"/>
          <w:szCs w:val="28"/>
        </w:rPr>
        <w:t xml:space="preserve">its own </w:t>
      </w:r>
      <w:r w:rsidR="00C70583">
        <w:rPr>
          <w:sz w:val="28"/>
          <w:szCs w:val="28"/>
        </w:rPr>
        <w:t>important watershed ordering bifurcation of the Nebraska Bar Association.</w:t>
      </w:r>
      <w:r w:rsidR="0026094A">
        <w:rPr>
          <w:rStyle w:val="FootnoteReference"/>
          <w:sz w:val="28"/>
          <w:szCs w:val="28"/>
        </w:rPr>
        <w:footnoteReference w:id="10"/>
      </w:r>
      <w:r w:rsidR="00C70583">
        <w:rPr>
          <w:sz w:val="28"/>
          <w:szCs w:val="28"/>
        </w:rPr>
        <w:t xml:space="preserve"> While </w:t>
      </w:r>
      <w:r w:rsidR="008334FD">
        <w:rPr>
          <w:sz w:val="28"/>
          <w:szCs w:val="28"/>
        </w:rPr>
        <w:t>not expressly decided to resolve a conflicted mission, the Court</w:t>
      </w:r>
      <w:r w:rsidR="00AD74EF">
        <w:rPr>
          <w:sz w:val="28"/>
          <w:szCs w:val="28"/>
        </w:rPr>
        <w:t xml:space="preserve"> severed the integrated bar by formalizing</w:t>
      </w:r>
      <w:r w:rsidR="00DC4224">
        <w:rPr>
          <w:sz w:val="28"/>
          <w:szCs w:val="28"/>
        </w:rPr>
        <w:t xml:space="preserve"> as part of its judicial branch</w:t>
      </w:r>
      <w:r w:rsidR="00C70583">
        <w:rPr>
          <w:sz w:val="28"/>
          <w:szCs w:val="28"/>
        </w:rPr>
        <w:t xml:space="preserve"> the Attorney Services Division</w:t>
      </w:r>
      <w:r w:rsidR="00AD74EF">
        <w:rPr>
          <w:sz w:val="28"/>
          <w:szCs w:val="28"/>
        </w:rPr>
        <w:t>. A</w:t>
      </w:r>
      <w:r w:rsidR="005D30EF">
        <w:rPr>
          <w:sz w:val="28"/>
          <w:szCs w:val="28"/>
        </w:rPr>
        <w:t>long with</w:t>
      </w:r>
      <w:r w:rsidR="00D648CB">
        <w:rPr>
          <w:sz w:val="28"/>
          <w:szCs w:val="28"/>
        </w:rPr>
        <w:t xml:space="preserve"> other regulatory activities</w:t>
      </w:r>
      <w:r w:rsidR="00AD74EF">
        <w:rPr>
          <w:sz w:val="28"/>
          <w:szCs w:val="28"/>
        </w:rPr>
        <w:t>, the Division</w:t>
      </w:r>
      <w:r w:rsidR="00D648CB">
        <w:rPr>
          <w:sz w:val="28"/>
          <w:szCs w:val="28"/>
        </w:rPr>
        <w:t xml:space="preserve"> </w:t>
      </w:r>
      <w:r w:rsidR="00C70583">
        <w:rPr>
          <w:sz w:val="28"/>
          <w:szCs w:val="28"/>
        </w:rPr>
        <w:t>oversee</w:t>
      </w:r>
      <w:r w:rsidR="00AD74EF">
        <w:rPr>
          <w:sz w:val="28"/>
          <w:szCs w:val="28"/>
        </w:rPr>
        <w:t>s</w:t>
      </w:r>
      <w:r w:rsidR="00C70583">
        <w:rPr>
          <w:sz w:val="28"/>
          <w:szCs w:val="28"/>
        </w:rPr>
        <w:t xml:space="preserve"> licensing and discipline</w:t>
      </w:r>
      <w:r w:rsidR="008334FD">
        <w:rPr>
          <w:sz w:val="28"/>
          <w:szCs w:val="28"/>
        </w:rPr>
        <w:t>.</w:t>
      </w:r>
      <w:r w:rsidR="00D648CB">
        <w:rPr>
          <w:rStyle w:val="FootnoteReference"/>
          <w:sz w:val="28"/>
          <w:szCs w:val="28"/>
        </w:rPr>
        <w:footnoteReference w:id="11"/>
      </w:r>
      <w:r w:rsidR="008334FD">
        <w:rPr>
          <w:sz w:val="28"/>
          <w:szCs w:val="28"/>
        </w:rPr>
        <w:t xml:space="preserve"> </w:t>
      </w:r>
    </w:p>
    <w:p w:rsidR="008514AE" w:rsidRDefault="005D30EF" w:rsidP="00F63942">
      <w:pPr>
        <w:pStyle w:val="Body"/>
        <w:widowControl w:val="0"/>
        <w:spacing w:line="480" w:lineRule="auto"/>
        <w:ind w:firstLine="720"/>
        <w:jc w:val="both"/>
        <w:rPr>
          <w:sz w:val="28"/>
          <w:szCs w:val="28"/>
        </w:rPr>
      </w:pPr>
      <w:r>
        <w:rPr>
          <w:sz w:val="28"/>
          <w:szCs w:val="28"/>
        </w:rPr>
        <w:t>B</w:t>
      </w:r>
      <w:r w:rsidR="008334FD">
        <w:rPr>
          <w:sz w:val="28"/>
          <w:szCs w:val="28"/>
        </w:rPr>
        <w:t>y separating these functions from the Nebraska Bar</w:t>
      </w:r>
      <w:r>
        <w:rPr>
          <w:sz w:val="28"/>
          <w:szCs w:val="28"/>
        </w:rPr>
        <w:t>’s non-regulatory activities, the Court</w:t>
      </w:r>
      <w:r w:rsidR="008334FD">
        <w:rPr>
          <w:sz w:val="28"/>
          <w:szCs w:val="28"/>
        </w:rPr>
        <w:t xml:space="preserve"> presciently sought to “ensure that the Bar Association remains well within the limits of the compelled-speech jurisprudence of the U.S. Supreme Court and avoid embroiling this court and the legal profession in unending quarrels and litigation</w:t>
      </w:r>
      <w:r w:rsidR="00D648CB">
        <w:rPr>
          <w:rStyle w:val="FootnoteReference"/>
          <w:sz w:val="28"/>
          <w:szCs w:val="28"/>
        </w:rPr>
        <w:footnoteReference w:id="12"/>
      </w:r>
      <w:r w:rsidR="008334FD">
        <w:rPr>
          <w:sz w:val="28"/>
          <w:szCs w:val="28"/>
        </w:rPr>
        <w:t xml:space="preserve"> over the germaneness of an activity in whole or in part, the </w:t>
      </w:r>
      <w:r w:rsidR="008334FD">
        <w:rPr>
          <w:sz w:val="28"/>
          <w:szCs w:val="28"/>
        </w:rPr>
        <w:lastRenderedPageBreak/>
        <w:t>constitutional adequacy of a particular opt-in or opt-out system, or the appropriateness of a given grievance procedure.”</w:t>
      </w:r>
      <w:r w:rsidR="008334FD">
        <w:rPr>
          <w:rStyle w:val="FootnoteReference"/>
          <w:sz w:val="28"/>
          <w:szCs w:val="28"/>
        </w:rPr>
        <w:footnoteReference w:id="13"/>
      </w:r>
      <w:r w:rsidR="001A5DB6">
        <w:rPr>
          <w:sz w:val="28"/>
          <w:szCs w:val="28"/>
        </w:rPr>
        <w:t xml:space="preserve"> </w:t>
      </w:r>
    </w:p>
    <w:p w:rsidR="00086D6F" w:rsidRDefault="00F62E8C" w:rsidP="00822F82">
      <w:pPr>
        <w:pStyle w:val="Body"/>
        <w:widowControl w:val="0"/>
        <w:spacing w:line="480" w:lineRule="auto"/>
        <w:ind w:firstLine="720"/>
        <w:jc w:val="both"/>
        <w:rPr>
          <w:sz w:val="28"/>
          <w:szCs w:val="28"/>
        </w:rPr>
      </w:pPr>
      <w:r>
        <w:rPr>
          <w:sz w:val="28"/>
          <w:szCs w:val="28"/>
        </w:rPr>
        <w:t>On October 2, 2017, California Governor Jerry Brown signed</w:t>
      </w:r>
      <w:r w:rsidR="00CD73E1">
        <w:rPr>
          <w:sz w:val="28"/>
          <w:szCs w:val="28"/>
        </w:rPr>
        <w:t xml:space="preserve"> SB</w:t>
      </w:r>
      <w:r>
        <w:rPr>
          <w:sz w:val="28"/>
          <w:szCs w:val="28"/>
        </w:rPr>
        <w:t xml:space="preserve"> 36 into law</w:t>
      </w:r>
      <w:r w:rsidR="007A120C">
        <w:rPr>
          <w:sz w:val="28"/>
          <w:szCs w:val="28"/>
        </w:rPr>
        <w:t xml:space="preserve"> that </w:t>
      </w:r>
      <w:r w:rsidR="00ED3BB5">
        <w:rPr>
          <w:sz w:val="28"/>
          <w:szCs w:val="28"/>
        </w:rPr>
        <w:t>set</w:t>
      </w:r>
      <w:r w:rsidR="007A120C">
        <w:rPr>
          <w:sz w:val="28"/>
          <w:szCs w:val="28"/>
        </w:rPr>
        <w:t xml:space="preserve"> the California Bar’s annual lawyer licensing fee</w:t>
      </w:r>
      <w:r w:rsidR="00ED3BB5">
        <w:rPr>
          <w:sz w:val="28"/>
          <w:szCs w:val="28"/>
        </w:rPr>
        <w:t xml:space="preserve"> and narrowed</w:t>
      </w:r>
      <w:r w:rsidR="007A120C">
        <w:rPr>
          <w:sz w:val="28"/>
          <w:szCs w:val="28"/>
        </w:rPr>
        <w:t xml:space="preserve"> the Bar’s focus to protecting Californians. </w:t>
      </w:r>
      <w:r w:rsidR="00086D6F">
        <w:rPr>
          <w:sz w:val="28"/>
          <w:szCs w:val="28"/>
        </w:rPr>
        <w:t>L</w:t>
      </w:r>
      <w:r w:rsidR="007A120C">
        <w:rPr>
          <w:sz w:val="28"/>
          <w:szCs w:val="28"/>
        </w:rPr>
        <w:t>ike</w:t>
      </w:r>
      <w:r w:rsidR="00086D6F">
        <w:rPr>
          <w:sz w:val="28"/>
          <w:szCs w:val="28"/>
        </w:rPr>
        <w:t xml:space="preserve"> </w:t>
      </w:r>
      <w:r w:rsidR="007A120C">
        <w:rPr>
          <w:sz w:val="28"/>
          <w:szCs w:val="28"/>
        </w:rPr>
        <w:t>Nebraska’s</w:t>
      </w:r>
      <w:r w:rsidR="00CD73E1">
        <w:rPr>
          <w:sz w:val="28"/>
          <w:szCs w:val="28"/>
        </w:rPr>
        <w:t xml:space="preserve"> now</w:t>
      </w:r>
      <w:r w:rsidR="005436AE">
        <w:rPr>
          <w:sz w:val="28"/>
          <w:szCs w:val="28"/>
        </w:rPr>
        <w:t xml:space="preserve"> bifurcated bar;</w:t>
      </w:r>
      <w:r w:rsidR="007A120C">
        <w:rPr>
          <w:sz w:val="28"/>
          <w:szCs w:val="28"/>
        </w:rPr>
        <w:t xml:space="preserve"> </w:t>
      </w:r>
      <w:r w:rsidR="00CD73E1">
        <w:rPr>
          <w:sz w:val="28"/>
          <w:szCs w:val="28"/>
        </w:rPr>
        <w:t>Arizona’s repeated</w:t>
      </w:r>
      <w:r w:rsidR="007A120C">
        <w:rPr>
          <w:sz w:val="28"/>
          <w:szCs w:val="28"/>
        </w:rPr>
        <w:t xml:space="preserve"> </w:t>
      </w:r>
      <w:r w:rsidR="00CD73E1">
        <w:rPr>
          <w:sz w:val="28"/>
          <w:szCs w:val="28"/>
        </w:rPr>
        <w:t xml:space="preserve">legislative </w:t>
      </w:r>
      <w:r w:rsidR="007A120C">
        <w:rPr>
          <w:sz w:val="28"/>
          <w:szCs w:val="28"/>
        </w:rPr>
        <w:t>bar reform</w:t>
      </w:r>
      <w:r w:rsidR="00CD73E1">
        <w:rPr>
          <w:sz w:val="28"/>
          <w:szCs w:val="28"/>
        </w:rPr>
        <w:t xml:space="preserve"> efforts;</w:t>
      </w:r>
      <w:r w:rsidR="007A120C">
        <w:rPr>
          <w:sz w:val="28"/>
          <w:szCs w:val="28"/>
        </w:rPr>
        <w:t xml:space="preserve"> and the instant Petition,</w:t>
      </w:r>
      <w:r w:rsidR="00CD73E1">
        <w:rPr>
          <w:sz w:val="28"/>
          <w:szCs w:val="28"/>
        </w:rPr>
        <w:t xml:space="preserve"> SB 36 separated</w:t>
      </w:r>
      <w:r w:rsidR="007A120C">
        <w:rPr>
          <w:sz w:val="28"/>
          <w:szCs w:val="28"/>
        </w:rPr>
        <w:t xml:space="preserve"> the voluntary sections </w:t>
      </w:r>
      <w:r w:rsidR="00086D6F">
        <w:rPr>
          <w:sz w:val="28"/>
          <w:szCs w:val="28"/>
        </w:rPr>
        <w:t xml:space="preserve">from the regulatory </w:t>
      </w:r>
      <w:r w:rsidR="005436AE">
        <w:rPr>
          <w:sz w:val="28"/>
          <w:szCs w:val="28"/>
        </w:rPr>
        <w:t>function</w:t>
      </w:r>
      <w:r w:rsidR="00086D6F">
        <w:rPr>
          <w:sz w:val="28"/>
          <w:szCs w:val="28"/>
        </w:rPr>
        <w:t xml:space="preserve">s and created </w:t>
      </w:r>
      <w:r w:rsidR="007A120C">
        <w:rPr>
          <w:sz w:val="28"/>
          <w:szCs w:val="28"/>
        </w:rPr>
        <w:t>a private</w:t>
      </w:r>
      <w:r w:rsidR="00ED3BB5">
        <w:rPr>
          <w:sz w:val="28"/>
          <w:szCs w:val="28"/>
        </w:rPr>
        <w:t>,</w:t>
      </w:r>
      <w:r w:rsidR="007A120C">
        <w:rPr>
          <w:sz w:val="28"/>
          <w:szCs w:val="28"/>
        </w:rPr>
        <w:t xml:space="preserve"> non-profit </w:t>
      </w:r>
      <w:r w:rsidR="00CD73E1">
        <w:rPr>
          <w:sz w:val="28"/>
          <w:szCs w:val="28"/>
        </w:rPr>
        <w:t xml:space="preserve">professional trade association. </w:t>
      </w:r>
    </w:p>
    <w:p w:rsidR="00DC7F75" w:rsidRDefault="00CD73E1" w:rsidP="00822F82">
      <w:pPr>
        <w:pStyle w:val="Body"/>
        <w:widowControl w:val="0"/>
        <w:spacing w:line="480" w:lineRule="auto"/>
        <w:ind w:firstLine="720"/>
        <w:jc w:val="both"/>
        <w:rPr>
          <w:sz w:val="28"/>
          <w:szCs w:val="28"/>
        </w:rPr>
      </w:pPr>
      <w:r>
        <w:rPr>
          <w:sz w:val="28"/>
          <w:szCs w:val="28"/>
        </w:rPr>
        <w:t xml:space="preserve">According to </w:t>
      </w:r>
      <w:r w:rsidR="007A120C">
        <w:rPr>
          <w:sz w:val="28"/>
          <w:szCs w:val="28"/>
        </w:rPr>
        <w:t xml:space="preserve">State Bar Executive Director Leah T. Wilson, </w:t>
      </w:r>
      <w:r>
        <w:rPr>
          <w:sz w:val="28"/>
          <w:szCs w:val="28"/>
        </w:rPr>
        <w:t>“SB 36 supports the State Bar in our ongoing reforms to focus on our mission of public protection.”</w:t>
      </w:r>
      <w:r w:rsidR="00794238">
        <w:rPr>
          <w:rStyle w:val="FootnoteReference"/>
          <w:sz w:val="28"/>
          <w:szCs w:val="28"/>
        </w:rPr>
        <w:footnoteReference w:id="14"/>
      </w:r>
      <w:r>
        <w:rPr>
          <w:sz w:val="28"/>
          <w:szCs w:val="28"/>
        </w:rPr>
        <w:t xml:space="preserve"> Wilson went on to add, “While transition and change can present challenges, I am confident that we are on the right track to best serve the people of </w:t>
      </w:r>
      <w:r w:rsidR="00DC7F75">
        <w:rPr>
          <w:sz w:val="28"/>
          <w:szCs w:val="28"/>
        </w:rPr>
        <w:t>California.”</w:t>
      </w:r>
    </w:p>
    <w:p w:rsidR="005D30EF" w:rsidRDefault="00DC7F75" w:rsidP="00822F82">
      <w:pPr>
        <w:pStyle w:val="Body"/>
        <w:widowControl w:val="0"/>
        <w:spacing w:line="480" w:lineRule="auto"/>
        <w:ind w:firstLine="720"/>
        <w:jc w:val="both"/>
        <w:rPr>
          <w:sz w:val="28"/>
          <w:szCs w:val="28"/>
        </w:rPr>
      </w:pPr>
      <w:r>
        <w:rPr>
          <w:sz w:val="28"/>
          <w:szCs w:val="28"/>
        </w:rPr>
        <w:t xml:space="preserve">It took considerable effort for </w:t>
      </w:r>
      <w:r w:rsidR="00CD73E1">
        <w:rPr>
          <w:sz w:val="28"/>
          <w:szCs w:val="28"/>
        </w:rPr>
        <w:t>California</w:t>
      </w:r>
      <w:r>
        <w:rPr>
          <w:sz w:val="28"/>
          <w:szCs w:val="28"/>
        </w:rPr>
        <w:t xml:space="preserve"> to</w:t>
      </w:r>
      <w:r w:rsidR="00ED3BB5">
        <w:rPr>
          <w:sz w:val="28"/>
          <w:szCs w:val="28"/>
        </w:rPr>
        <w:t xml:space="preserve"> whittle</w:t>
      </w:r>
      <w:r w:rsidR="00CD73E1">
        <w:rPr>
          <w:sz w:val="28"/>
          <w:szCs w:val="28"/>
        </w:rPr>
        <w:t xml:space="preserve"> away </w:t>
      </w:r>
      <w:r w:rsidR="00F62E8C">
        <w:rPr>
          <w:sz w:val="28"/>
          <w:szCs w:val="28"/>
        </w:rPr>
        <w:t>at the lawyer regulatory status quo</w:t>
      </w:r>
      <w:r w:rsidR="00CD73E1">
        <w:rPr>
          <w:sz w:val="28"/>
          <w:szCs w:val="28"/>
        </w:rPr>
        <w:t xml:space="preserve"> </w:t>
      </w:r>
      <w:r w:rsidR="00E428C9">
        <w:rPr>
          <w:sz w:val="28"/>
          <w:szCs w:val="28"/>
        </w:rPr>
        <w:t xml:space="preserve">to accomplish its reforms. But California achieved reform with </w:t>
      </w:r>
      <w:r w:rsidR="00794238">
        <w:rPr>
          <w:sz w:val="28"/>
          <w:szCs w:val="28"/>
        </w:rPr>
        <w:t xml:space="preserve">legislative </w:t>
      </w:r>
      <w:r w:rsidR="00CD73E1">
        <w:rPr>
          <w:sz w:val="28"/>
          <w:szCs w:val="28"/>
        </w:rPr>
        <w:t>unanim</w:t>
      </w:r>
      <w:r w:rsidR="00794238">
        <w:rPr>
          <w:sz w:val="28"/>
          <w:szCs w:val="28"/>
        </w:rPr>
        <w:t>ity</w:t>
      </w:r>
      <w:r w:rsidR="00CD73E1">
        <w:rPr>
          <w:sz w:val="28"/>
          <w:szCs w:val="28"/>
        </w:rPr>
        <w:t xml:space="preserve"> and </w:t>
      </w:r>
      <w:r w:rsidR="00794238">
        <w:rPr>
          <w:sz w:val="28"/>
          <w:szCs w:val="28"/>
        </w:rPr>
        <w:t xml:space="preserve">the </w:t>
      </w:r>
      <w:r w:rsidR="00CD73E1">
        <w:rPr>
          <w:sz w:val="28"/>
          <w:szCs w:val="28"/>
        </w:rPr>
        <w:t xml:space="preserve">ultimate endorsement of the State Bar and the </w:t>
      </w:r>
      <w:r w:rsidR="00CD73E1">
        <w:rPr>
          <w:sz w:val="28"/>
          <w:szCs w:val="28"/>
        </w:rPr>
        <w:lastRenderedPageBreak/>
        <w:t>state supreme court</w:t>
      </w:r>
      <w:r w:rsidR="00E428C9">
        <w:rPr>
          <w:sz w:val="28"/>
          <w:szCs w:val="28"/>
        </w:rPr>
        <w:t>. This demonstrates</w:t>
      </w:r>
      <w:r w:rsidR="00794238">
        <w:rPr>
          <w:sz w:val="28"/>
          <w:szCs w:val="28"/>
        </w:rPr>
        <w:t xml:space="preserve"> how far out of step</w:t>
      </w:r>
      <w:r>
        <w:rPr>
          <w:sz w:val="28"/>
          <w:szCs w:val="28"/>
        </w:rPr>
        <w:t xml:space="preserve"> the SBA is with the</w:t>
      </w:r>
      <w:r w:rsidR="00794238">
        <w:rPr>
          <w:sz w:val="28"/>
          <w:szCs w:val="28"/>
        </w:rPr>
        <w:t xml:space="preserve"> </w:t>
      </w:r>
      <w:r w:rsidR="00CD73E1">
        <w:rPr>
          <w:sz w:val="28"/>
          <w:szCs w:val="28"/>
        </w:rPr>
        <w:t>times.</w:t>
      </w:r>
      <w:r>
        <w:rPr>
          <w:sz w:val="28"/>
          <w:szCs w:val="28"/>
        </w:rPr>
        <w:t xml:space="preserve"> The Bar in Arizona has instead long adopted an ‘if ain’t broke – don’t fix it’ mentality. But like typewriters, telegraphs</w:t>
      </w:r>
      <w:r w:rsidR="00E428C9">
        <w:rPr>
          <w:sz w:val="28"/>
          <w:szCs w:val="28"/>
        </w:rPr>
        <w:t>,</w:t>
      </w:r>
      <w:r>
        <w:rPr>
          <w:sz w:val="28"/>
          <w:szCs w:val="28"/>
        </w:rPr>
        <w:t xml:space="preserve"> and fax machines, something that doesn’t need fixing needs replacing with something better.</w:t>
      </w:r>
    </w:p>
    <w:p w:rsidR="00822F82" w:rsidRDefault="00E428C9" w:rsidP="00822F82">
      <w:pPr>
        <w:pStyle w:val="Body"/>
        <w:widowControl w:val="0"/>
        <w:spacing w:line="480" w:lineRule="auto"/>
        <w:ind w:firstLine="720"/>
        <w:jc w:val="both"/>
        <w:rPr>
          <w:sz w:val="28"/>
          <w:szCs w:val="28"/>
        </w:rPr>
      </w:pPr>
      <w:r>
        <w:rPr>
          <w:sz w:val="28"/>
          <w:szCs w:val="28"/>
        </w:rPr>
        <w:t>I</w:t>
      </w:r>
      <w:r w:rsidR="00A419D1">
        <w:rPr>
          <w:sz w:val="28"/>
          <w:szCs w:val="28"/>
        </w:rPr>
        <w:t xml:space="preserve">t wasn’t </w:t>
      </w:r>
      <w:r w:rsidR="00355478">
        <w:rPr>
          <w:sz w:val="28"/>
          <w:szCs w:val="28"/>
        </w:rPr>
        <w:t xml:space="preserve">until January 1, 2017 -- </w:t>
      </w:r>
      <w:r w:rsidR="00822F82">
        <w:rPr>
          <w:sz w:val="28"/>
          <w:szCs w:val="28"/>
        </w:rPr>
        <w:t>some 84 years after its creation</w:t>
      </w:r>
      <w:r w:rsidR="00A419D1">
        <w:rPr>
          <w:sz w:val="28"/>
          <w:szCs w:val="28"/>
        </w:rPr>
        <w:t xml:space="preserve"> –</w:t>
      </w:r>
      <w:r w:rsidR="00822F82">
        <w:rPr>
          <w:sz w:val="28"/>
          <w:szCs w:val="28"/>
        </w:rPr>
        <w:t xml:space="preserve"> </w:t>
      </w:r>
      <w:r w:rsidR="00A419D1">
        <w:rPr>
          <w:sz w:val="28"/>
          <w:szCs w:val="28"/>
        </w:rPr>
        <w:t xml:space="preserve">that the </w:t>
      </w:r>
      <w:r w:rsidR="00822F82">
        <w:rPr>
          <w:sz w:val="28"/>
          <w:szCs w:val="28"/>
        </w:rPr>
        <w:t>SB</w:t>
      </w:r>
      <w:r w:rsidR="003B0409">
        <w:rPr>
          <w:sz w:val="28"/>
          <w:szCs w:val="28"/>
        </w:rPr>
        <w:t>A</w:t>
      </w:r>
      <w:r w:rsidR="00355478">
        <w:rPr>
          <w:sz w:val="28"/>
          <w:szCs w:val="28"/>
        </w:rPr>
        <w:t xml:space="preserve"> </w:t>
      </w:r>
      <w:r w:rsidR="00A419D1">
        <w:rPr>
          <w:sz w:val="28"/>
          <w:szCs w:val="28"/>
        </w:rPr>
        <w:t xml:space="preserve">finally </w:t>
      </w:r>
      <w:r w:rsidR="00355478">
        <w:rPr>
          <w:sz w:val="28"/>
          <w:szCs w:val="28"/>
        </w:rPr>
        <w:t>expressly enshrine</w:t>
      </w:r>
      <w:r w:rsidR="00A419D1">
        <w:rPr>
          <w:sz w:val="28"/>
          <w:szCs w:val="28"/>
        </w:rPr>
        <w:t>d</w:t>
      </w:r>
      <w:r w:rsidR="00A06BE4">
        <w:rPr>
          <w:sz w:val="28"/>
          <w:szCs w:val="28"/>
        </w:rPr>
        <w:t>,</w:t>
      </w:r>
      <w:r w:rsidR="00355478">
        <w:rPr>
          <w:sz w:val="28"/>
          <w:szCs w:val="28"/>
        </w:rPr>
        <w:t xml:space="preserve"> as </w:t>
      </w:r>
      <w:r w:rsidR="00A419D1">
        <w:rPr>
          <w:sz w:val="28"/>
          <w:szCs w:val="28"/>
        </w:rPr>
        <w:t xml:space="preserve">directed by </w:t>
      </w:r>
      <w:r w:rsidR="00822F82">
        <w:rPr>
          <w:sz w:val="28"/>
          <w:szCs w:val="28"/>
        </w:rPr>
        <w:t>this Court</w:t>
      </w:r>
      <w:r w:rsidR="00A06BE4">
        <w:rPr>
          <w:sz w:val="28"/>
          <w:szCs w:val="28"/>
        </w:rPr>
        <w:t>,</w:t>
      </w:r>
      <w:r w:rsidR="00822F82">
        <w:rPr>
          <w:sz w:val="28"/>
          <w:szCs w:val="28"/>
        </w:rPr>
        <w:t xml:space="preserve"> that the State Bar </w:t>
      </w:r>
      <w:r w:rsidR="00822F82">
        <w:rPr>
          <w:i/>
          <w:sz w:val="28"/>
          <w:szCs w:val="28"/>
        </w:rPr>
        <w:t xml:space="preserve">“exists to serve and protect the public with respect to the provision of legal services and access to justice.” </w:t>
      </w:r>
      <w:r w:rsidR="00822F82">
        <w:rPr>
          <w:sz w:val="28"/>
          <w:szCs w:val="28"/>
        </w:rPr>
        <w:t>Arizonans, the state legislature</w:t>
      </w:r>
      <w:r w:rsidR="00A06BE4">
        <w:rPr>
          <w:sz w:val="28"/>
          <w:szCs w:val="28"/>
        </w:rPr>
        <w:t>,</w:t>
      </w:r>
      <w:r w:rsidR="00822F82">
        <w:rPr>
          <w:sz w:val="28"/>
          <w:szCs w:val="28"/>
        </w:rPr>
        <w:t xml:space="preserve"> and concerned lawyers</w:t>
      </w:r>
      <w:r w:rsidR="00A419D1">
        <w:rPr>
          <w:sz w:val="28"/>
          <w:szCs w:val="28"/>
        </w:rPr>
        <w:t xml:space="preserve"> had</w:t>
      </w:r>
      <w:r w:rsidR="00822F82">
        <w:rPr>
          <w:sz w:val="28"/>
          <w:szCs w:val="28"/>
        </w:rPr>
        <w:t>, however, already express</w:t>
      </w:r>
      <w:r w:rsidR="00DC7F75">
        <w:rPr>
          <w:sz w:val="28"/>
          <w:szCs w:val="28"/>
        </w:rPr>
        <w:t>ed</w:t>
      </w:r>
      <w:r w:rsidR="00A419D1">
        <w:rPr>
          <w:sz w:val="28"/>
          <w:szCs w:val="28"/>
        </w:rPr>
        <w:t xml:space="preserve"> their</w:t>
      </w:r>
      <w:r w:rsidR="00A06BE4">
        <w:rPr>
          <w:sz w:val="28"/>
          <w:szCs w:val="28"/>
        </w:rPr>
        <w:t xml:space="preserve"> </w:t>
      </w:r>
      <w:r w:rsidR="00822F82">
        <w:rPr>
          <w:sz w:val="28"/>
          <w:szCs w:val="28"/>
        </w:rPr>
        <w:t>displeasure</w:t>
      </w:r>
      <w:r w:rsidR="00822F82">
        <w:rPr>
          <w:rStyle w:val="FootnoteReference"/>
          <w:sz w:val="28"/>
          <w:szCs w:val="28"/>
        </w:rPr>
        <w:footnoteReference w:id="15"/>
      </w:r>
      <w:r w:rsidR="00822F82">
        <w:rPr>
          <w:sz w:val="28"/>
          <w:szCs w:val="28"/>
        </w:rPr>
        <w:t xml:space="preserve"> over </w:t>
      </w:r>
      <w:r w:rsidR="00A419D1">
        <w:rPr>
          <w:sz w:val="28"/>
          <w:szCs w:val="28"/>
        </w:rPr>
        <w:t>the</w:t>
      </w:r>
      <w:r w:rsidR="00A06BE4">
        <w:rPr>
          <w:sz w:val="28"/>
          <w:szCs w:val="28"/>
        </w:rPr>
        <w:t xml:space="preserve"> </w:t>
      </w:r>
      <w:r w:rsidR="00822F82">
        <w:rPr>
          <w:sz w:val="28"/>
          <w:szCs w:val="28"/>
        </w:rPr>
        <w:t>subordination of the public’s consumer p</w:t>
      </w:r>
      <w:r w:rsidR="00DC7F75">
        <w:rPr>
          <w:sz w:val="28"/>
          <w:szCs w:val="28"/>
        </w:rPr>
        <w:t>rotection interests in favor of</w:t>
      </w:r>
      <w:r w:rsidR="00A419D1">
        <w:rPr>
          <w:sz w:val="28"/>
          <w:szCs w:val="28"/>
        </w:rPr>
        <w:t xml:space="preserve"> </w:t>
      </w:r>
      <w:r w:rsidR="00822F82">
        <w:rPr>
          <w:sz w:val="28"/>
          <w:szCs w:val="28"/>
        </w:rPr>
        <w:t>law</w:t>
      </w:r>
      <w:r w:rsidR="00A419D1">
        <w:rPr>
          <w:sz w:val="28"/>
          <w:szCs w:val="28"/>
        </w:rPr>
        <w:t>yers, particularly those</w:t>
      </w:r>
      <w:r w:rsidR="00822F82">
        <w:rPr>
          <w:sz w:val="28"/>
          <w:szCs w:val="28"/>
        </w:rPr>
        <w:t xml:space="preserve"> perceived to possess </w:t>
      </w:r>
      <w:r w:rsidR="00A419D1">
        <w:rPr>
          <w:sz w:val="28"/>
          <w:szCs w:val="28"/>
        </w:rPr>
        <w:t xml:space="preserve">superior resources and greater </w:t>
      </w:r>
      <w:r w:rsidR="00822F82">
        <w:rPr>
          <w:sz w:val="28"/>
          <w:szCs w:val="28"/>
        </w:rPr>
        <w:t xml:space="preserve">influence. </w:t>
      </w:r>
    </w:p>
    <w:p w:rsidR="00477039" w:rsidRDefault="00DC7F75" w:rsidP="00822F82">
      <w:pPr>
        <w:pStyle w:val="Body"/>
        <w:widowControl w:val="0"/>
        <w:spacing w:line="480" w:lineRule="auto"/>
        <w:ind w:firstLine="720"/>
        <w:jc w:val="both"/>
        <w:rPr>
          <w:sz w:val="28"/>
          <w:szCs w:val="28"/>
        </w:rPr>
      </w:pPr>
      <w:r>
        <w:rPr>
          <w:sz w:val="28"/>
          <w:szCs w:val="28"/>
        </w:rPr>
        <w:t>To further u</w:t>
      </w:r>
      <w:r w:rsidR="00012A1D">
        <w:rPr>
          <w:sz w:val="28"/>
          <w:szCs w:val="28"/>
        </w:rPr>
        <w:t>nderscore</w:t>
      </w:r>
      <w:r w:rsidR="004845FA">
        <w:rPr>
          <w:sz w:val="28"/>
          <w:szCs w:val="28"/>
        </w:rPr>
        <w:t xml:space="preserve"> </w:t>
      </w:r>
      <w:r>
        <w:rPr>
          <w:sz w:val="28"/>
          <w:szCs w:val="28"/>
        </w:rPr>
        <w:t xml:space="preserve">how the status quo no longer works, consider the </w:t>
      </w:r>
      <w:r w:rsidR="00A06BE4">
        <w:rPr>
          <w:sz w:val="28"/>
          <w:szCs w:val="28"/>
        </w:rPr>
        <w:t>other reform efforts</w:t>
      </w:r>
      <w:r>
        <w:rPr>
          <w:sz w:val="28"/>
          <w:szCs w:val="28"/>
        </w:rPr>
        <w:t xml:space="preserve"> in</w:t>
      </w:r>
      <w:r w:rsidR="004845FA">
        <w:rPr>
          <w:sz w:val="28"/>
          <w:szCs w:val="28"/>
        </w:rPr>
        <w:t xml:space="preserve"> the </w:t>
      </w:r>
      <w:r w:rsidR="006E7EC7">
        <w:rPr>
          <w:sz w:val="28"/>
          <w:szCs w:val="28"/>
        </w:rPr>
        <w:t xml:space="preserve">months </w:t>
      </w:r>
      <w:r w:rsidR="004845FA">
        <w:rPr>
          <w:sz w:val="28"/>
          <w:szCs w:val="28"/>
        </w:rPr>
        <w:t xml:space="preserve">after </w:t>
      </w:r>
      <w:r w:rsidR="004845FA" w:rsidRPr="006239AF">
        <w:rPr>
          <w:i/>
          <w:sz w:val="28"/>
          <w:szCs w:val="28"/>
        </w:rPr>
        <w:t>Janus</w:t>
      </w:r>
      <w:r>
        <w:rPr>
          <w:sz w:val="28"/>
          <w:szCs w:val="28"/>
        </w:rPr>
        <w:t>.</w:t>
      </w:r>
      <w:r w:rsidR="004845FA">
        <w:rPr>
          <w:sz w:val="28"/>
          <w:szCs w:val="28"/>
        </w:rPr>
        <w:t xml:space="preserve"> </w:t>
      </w:r>
      <w:r>
        <w:rPr>
          <w:sz w:val="28"/>
          <w:szCs w:val="28"/>
        </w:rPr>
        <w:t>L</w:t>
      </w:r>
      <w:r w:rsidR="004845FA">
        <w:rPr>
          <w:sz w:val="28"/>
          <w:szCs w:val="28"/>
        </w:rPr>
        <w:t>awsuits</w:t>
      </w:r>
      <w:r w:rsidR="006239AF">
        <w:rPr>
          <w:sz w:val="28"/>
          <w:szCs w:val="28"/>
        </w:rPr>
        <w:t xml:space="preserve"> against mandatory bar associations</w:t>
      </w:r>
      <w:r w:rsidR="00477039">
        <w:rPr>
          <w:rStyle w:val="FootnoteReference"/>
          <w:sz w:val="28"/>
          <w:szCs w:val="28"/>
        </w:rPr>
        <w:footnoteReference w:id="16"/>
      </w:r>
      <w:r w:rsidR="006239AF">
        <w:rPr>
          <w:sz w:val="28"/>
          <w:szCs w:val="28"/>
        </w:rPr>
        <w:t xml:space="preserve"> in Oregon, Oklahoma,</w:t>
      </w:r>
      <w:r w:rsidR="00477039">
        <w:rPr>
          <w:rStyle w:val="FootnoteReference"/>
          <w:sz w:val="28"/>
          <w:szCs w:val="28"/>
        </w:rPr>
        <w:footnoteReference w:id="17"/>
      </w:r>
      <w:r w:rsidR="006239AF">
        <w:rPr>
          <w:sz w:val="28"/>
          <w:szCs w:val="28"/>
        </w:rPr>
        <w:t xml:space="preserve"> Texas</w:t>
      </w:r>
      <w:r w:rsidR="006239AF">
        <w:rPr>
          <w:rStyle w:val="FootnoteReference"/>
          <w:sz w:val="28"/>
          <w:szCs w:val="28"/>
        </w:rPr>
        <w:footnoteReference w:id="18"/>
      </w:r>
      <w:r w:rsidR="006239AF">
        <w:rPr>
          <w:sz w:val="28"/>
          <w:szCs w:val="28"/>
        </w:rPr>
        <w:t xml:space="preserve"> and Wisconsin</w:t>
      </w:r>
      <w:r w:rsidR="006239AF">
        <w:rPr>
          <w:rStyle w:val="FootnoteReference"/>
          <w:sz w:val="28"/>
          <w:szCs w:val="28"/>
        </w:rPr>
        <w:footnoteReference w:id="19"/>
      </w:r>
      <w:r w:rsidR="00E03BB3">
        <w:rPr>
          <w:sz w:val="28"/>
          <w:szCs w:val="28"/>
        </w:rPr>
        <w:t xml:space="preserve"> </w:t>
      </w:r>
      <w:r w:rsidR="006E7EC7">
        <w:rPr>
          <w:sz w:val="28"/>
          <w:szCs w:val="28"/>
        </w:rPr>
        <w:t xml:space="preserve">have been filed to </w:t>
      </w:r>
      <w:r w:rsidR="006E7EC7">
        <w:rPr>
          <w:sz w:val="28"/>
          <w:szCs w:val="28"/>
        </w:rPr>
        <w:lastRenderedPageBreak/>
        <w:t xml:space="preserve">free lawyers </w:t>
      </w:r>
      <w:r w:rsidR="006239AF">
        <w:rPr>
          <w:sz w:val="28"/>
          <w:szCs w:val="28"/>
        </w:rPr>
        <w:t>from compelled speech and coerced association</w:t>
      </w:r>
      <w:r w:rsidR="006E7EC7">
        <w:rPr>
          <w:sz w:val="28"/>
          <w:szCs w:val="28"/>
        </w:rPr>
        <w:t>. It’s</w:t>
      </w:r>
      <w:r w:rsidR="004845FA">
        <w:rPr>
          <w:sz w:val="28"/>
          <w:szCs w:val="28"/>
        </w:rPr>
        <w:t xml:space="preserve"> conceivable even more will follow.</w:t>
      </w:r>
      <w:r w:rsidR="00AD71A3">
        <w:rPr>
          <w:sz w:val="28"/>
          <w:szCs w:val="28"/>
        </w:rPr>
        <w:t xml:space="preserve"> </w:t>
      </w:r>
    </w:p>
    <w:p w:rsidR="004845FA" w:rsidRPr="00477039" w:rsidRDefault="00AD71A3" w:rsidP="00822F82">
      <w:pPr>
        <w:pStyle w:val="Body"/>
        <w:widowControl w:val="0"/>
        <w:spacing w:line="480" w:lineRule="auto"/>
        <w:ind w:firstLine="720"/>
        <w:jc w:val="both"/>
        <w:rPr>
          <w:sz w:val="28"/>
          <w:szCs w:val="28"/>
        </w:rPr>
      </w:pPr>
      <w:r w:rsidRPr="00477039">
        <w:rPr>
          <w:sz w:val="28"/>
          <w:szCs w:val="28"/>
        </w:rPr>
        <w:t xml:space="preserve">And on a separate </w:t>
      </w:r>
      <w:r w:rsidR="00477039" w:rsidRPr="00477039">
        <w:rPr>
          <w:sz w:val="28"/>
          <w:szCs w:val="28"/>
        </w:rPr>
        <w:t xml:space="preserve">but related </w:t>
      </w:r>
      <w:r w:rsidR="003A65F4">
        <w:rPr>
          <w:sz w:val="28"/>
          <w:szCs w:val="28"/>
        </w:rPr>
        <w:t>track</w:t>
      </w:r>
      <w:r w:rsidRPr="00477039">
        <w:rPr>
          <w:sz w:val="28"/>
          <w:szCs w:val="28"/>
        </w:rPr>
        <w:t>, a proposal to repeal the State Bar Act and turn the bar's essential duties over to the Washington State Supreme Court has been working its way through the Washington State Legislature.</w:t>
      </w:r>
      <w:r w:rsidRPr="00477039">
        <w:rPr>
          <w:rStyle w:val="FootnoteReference"/>
          <w:sz w:val="28"/>
          <w:szCs w:val="28"/>
        </w:rPr>
        <w:footnoteReference w:id="20"/>
      </w:r>
    </w:p>
    <w:p w:rsidR="00E03BB3" w:rsidRDefault="00570876" w:rsidP="00E03BB3">
      <w:pPr>
        <w:autoSpaceDE w:val="0"/>
        <w:autoSpaceDN w:val="0"/>
        <w:adjustRightInd w:val="0"/>
        <w:spacing w:line="480" w:lineRule="auto"/>
        <w:ind w:left="720"/>
        <w:jc w:val="both"/>
        <w:rPr>
          <w:sz w:val="28"/>
          <w:szCs w:val="28"/>
        </w:rPr>
      </w:pPr>
      <w:r>
        <w:rPr>
          <w:sz w:val="28"/>
          <w:szCs w:val="28"/>
        </w:rPr>
        <w:t>Amidst all of this, i</w:t>
      </w:r>
      <w:r w:rsidR="00742F35" w:rsidRPr="00477039">
        <w:rPr>
          <w:sz w:val="28"/>
          <w:szCs w:val="28"/>
        </w:rPr>
        <w:t>t</w:t>
      </w:r>
      <w:r>
        <w:rPr>
          <w:sz w:val="28"/>
          <w:szCs w:val="28"/>
        </w:rPr>
        <w:t xml:space="preserve"> remains</w:t>
      </w:r>
      <w:r w:rsidR="003A65F4">
        <w:rPr>
          <w:sz w:val="28"/>
          <w:szCs w:val="28"/>
        </w:rPr>
        <w:t xml:space="preserve"> hardly surprising hidebound mandato</w:t>
      </w:r>
      <w:r w:rsidR="00E03BB3">
        <w:rPr>
          <w:sz w:val="28"/>
          <w:szCs w:val="28"/>
        </w:rPr>
        <w:t xml:space="preserve">ry bars </w:t>
      </w:r>
    </w:p>
    <w:p w:rsidR="00742F35" w:rsidRPr="00477039" w:rsidRDefault="003A65F4" w:rsidP="00E03BB3">
      <w:pPr>
        <w:autoSpaceDE w:val="0"/>
        <w:autoSpaceDN w:val="0"/>
        <w:adjustRightInd w:val="0"/>
        <w:spacing w:line="480" w:lineRule="auto"/>
        <w:jc w:val="both"/>
        <w:rPr>
          <w:sz w:val="28"/>
          <w:szCs w:val="28"/>
        </w:rPr>
      </w:pPr>
      <w:r>
        <w:rPr>
          <w:sz w:val="28"/>
          <w:szCs w:val="28"/>
        </w:rPr>
        <w:t>continue opposing</w:t>
      </w:r>
      <w:r w:rsidR="00742F35" w:rsidRPr="00477039">
        <w:rPr>
          <w:sz w:val="28"/>
          <w:szCs w:val="28"/>
        </w:rPr>
        <w:t xml:space="preserve"> change. </w:t>
      </w:r>
    </w:p>
    <w:p w:rsidR="00742F35" w:rsidRDefault="00742F35" w:rsidP="00742F35">
      <w:pPr>
        <w:autoSpaceDE w:val="0"/>
        <w:autoSpaceDN w:val="0"/>
        <w:adjustRightInd w:val="0"/>
        <w:spacing w:line="240" w:lineRule="auto"/>
        <w:ind w:left="720"/>
        <w:rPr>
          <w:sz w:val="28"/>
          <w:szCs w:val="28"/>
        </w:rPr>
      </w:pPr>
      <w:r>
        <w:rPr>
          <w:sz w:val="28"/>
          <w:szCs w:val="28"/>
        </w:rPr>
        <w:t xml:space="preserve">The profession has resisted change. </w:t>
      </w:r>
      <w:r w:rsidRPr="00520845">
        <w:rPr>
          <w:sz w:val="28"/>
          <w:szCs w:val="28"/>
        </w:rPr>
        <w:t xml:space="preserve">When it did institute change, the </w:t>
      </w:r>
      <w:r>
        <w:rPr>
          <w:sz w:val="28"/>
          <w:szCs w:val="28"/>
        </w:rPr>
        <w:t xml:space="preserve">change </w:t>
      </w:r>
      <w:r w:rsidRPr="00520845">
        <w:rPr>
          <w:sz w:val="28"/>
          <w:szCs w:val="28"/>
        </w:rPr>
        <w:t>was directed not at the existing members of the profession, but at new entrants. Mostly, change that has come has been forced by influences of society, culture, economics, and globalization—not by the profession itself. Watergate, communist infiltration, the arrival of waves of immigrants, the litigation explosion, the civility crisis, and the current economic crisis have blended with dramatic changes in technology, communications, and globalization.</w:t>
      </w:r>
      <w:r>
        <w:rPr>
          <w:sz w:val="28"/>
          <w:szCs w:val="28"/>
        </w:rPr>
        <w:t>(citation omitted)</w:t>
      </w:r>
      <w:r w:rsidRPr="00520845">
        <w:rPr>
          <w:sz w:val="28"/>
          <w:szCs w:val="28"/>
        </w:rPr>
        <w:t xml:space="preserve"> In each of these instances, the</w:t>
      </w:r>
      <w:r>
        <w:rPr>
          <w:sz w:val="28"/>
          <w:szCs w:val="28"/>
        </w:rPr>
        <w:t xml:space="preserve"> </w:t>
      </w:r>
      <w:r w:rsidRPr="00520845">
        <w:rPr>
          <w:sz w:val="28"/>
          <w:szCs w:val="28"/>
        </w:rPr>
        <w:t>profession held fast to its history and ways long after those ways had become</w:t>
      </w:r>
      <w:r>
        <w:rPr>
          <w:sz w:val="28"/>
          <w:szCs w:val="28"/>
        </w:rPr>
        <w:t xml:space="preserve"> </w:t>
      </w:r>
      <w:r w:rsidRPr="00520845">
        <w:rPr>
          <w:sz w:val="28"/>
          <w:szCs w:val="28"/>
        </w:rPr>
        <w:t>anachronistic.</w:t>
      </w:r>
      <w:r>
        <w:rPr>
          <w:sz w:val="28"/>
          <w:szCs w:val="28"/>
        </w:rPr>
        <w:t xml:space="preserve"> (citation omitted)</w:t>
      </w:r>
      <w:r w:rsidRPr="00520845">
        <w:rPr>
          <w:sz w:val="28"/>
          <w:szCs w:val="28"/>
        </w:rPr>
        <w:t xml:space="preserve"> The profession seems to repeat the same question in response to</w:t>
      </w:r>
      <w:r>
        <w:rPr>
          <w:sz w:val="28"/>
          <w:szCs w:val="28"/>
        </w:rPr>
        <w:t xml:space="preserve"> </w:t>
      </w:r>
      <w:r w:rsidRPr="00520845">
        <w:rPr>
          <w:sz w:val="28"/>
          <w:szCs w:val="28"/>
        </w:rPr>
        <w:t>every crisis: How can we stay even more “the same” than we already are?</w:t>
      </w:r>
      <w:r>
        <w:rPr>
          <w:rStyle w:val="FootnoteReference"/>
          <w:sz w:val="28"/>
          <w:szCs w:val="28"/>
        </w:rPr>
        <w:footnoteReference w:id="21"/>
      </w:r>
    </w:p>
    <w:p w:rsidR="00520845" w:rsidRPr="00520845" w:rsidRDefault="00520845" w:rsidP="00520845">
      <w:pPr>
        <w:autoSpaceDE w:val="0"/>
        <w:autoSpaceDN w:val="0"/>
        <w:adjustRightInd w:val="0"/>
        <w:spacing w:line="240" w:lineRule="auto"/>
        <w:ind w:left="720"/>
        <w:rPr>
          <w:sz w:val="28"/>
          <w:szCs w:val="28"/>
        </w:rPr>
      </w:pPr>
    </w:p>
    <w:p w:rsidR="00856AEA" w:rsidRDefault="003A65F4" w:rsidP="00F91740">
      <w:pPr>
        <w:pStyle w:val="Body"/>
        <w:widowControl w:val="0"/>
        <w:numPr>
          <w:ilvl w:val="0"/>
          <w:numId w:val="15"/>
        </w:numPr>
        <w:spacing w:line="240" w:lineRule="auto"/>
        <w:jc w:val="both"/>
        <w:rPr>
          <w:sz w:val="28"/>
          <w:szCs w:val="28"/>
        </w:rPr>
      </w:pPr>
      <w:r>
        <w:rPr>
          <w:b/>
          <w:sz w:val="28"/>
          <w:szCs w:val="28"/>
        </w:rPr>
        <w:t>The</w:t>
      </w:r>
      <w:r w:rsidR="00856AEA" w:rsidRPr="00856AEA">
        <w:rPr>
          <w:b/>
          <w:sz w:val="28"/>
          <w:szCs w:val="28"/>
        </w:rPr>
        <w:t xml:space="preserve"> “integrated bar” </w:t>
      </w:r>
      <w:r w:rsidR="00856AEA">
        <w:rPr>
          <w:b/>
          <w:sz w:val="28"/>
          <w:szCs w:val="28"/>
        </w:rPr>
        <w:t>continue</w:t>
      </w:r>
      <w:r w:rsidR="00F91740">
        <w:rPr>
          <w:b/>
          <w:sz w:val="28"/>
          <w:szCs w:val="28"/>
        </w:rPr>
        <w:t>s</w:t>
      </w:r>
      <w:r w:rsidR="00856AEA" w:rsidRPr="00856AEA">
        <w:rPr>
          <w:b/>
          <w:sz w:val="28"/>
          <w:szCs w:val="28"/>
        </w:rPr>
        <w:t xml:space="preserve"> </w:t>
      </w:r>
      <w:r w:rsidR="005436AE">
        <w:rPr>
          <w:b/>
          <w:sz w:val="28"/>
          <w:szCs w:val="28"/>
        </w:rPr>
        <w:t>sowin</w:t>
      </w:r>
      <w:r w:rsidR="00856AEA">
        <w:rPr>
          <w:b/>
          <w:sz w:val="28"/>
          <w:szCs w:val="28"/>
        </w:rPr>
        <w:t>g</w:t>
      </w:r>
      <w:r w:rsidR="00856AEA" w:rsidRPr="00856AEA">
        <w:rPr>
          <w:b/>
          <w:sz w:val="28"/>
          <w:szCs w:val="28"/>
        </w:rPr>
        <w:t xml:space="preserve"> confusion</w:t>
      </w:r>
      <w:r w:rsidR="00856AEA">
        <w:rPr>
          <w:sz w:val="28"/>
          <w:szCs w:val="28"/>
        </w:rPr>
        <w:t>.</w:t>
      </w:r>
    </w:p>
    <w:p w:rsidR="00F91740" w:rsidRDefault="00F91740" w:rsidP="00F91740">
      <w:pPr>
        <w:pStyle w:val="Body"/>
        <w:widowControl w:val="0"/>
        <w:spacing w:line="240" w:lineRule="auto"/>
        <w:ind w:left="1440" w:firstLine="0"/>
        <w:jc w:val="both"/>
        <w:rPr>
          <w:sz w:val="28"/>
          <w:szCs w:val="28"/>
        </w:rPr>
      </w:pPr>
    </w:p>
    <w:p w:rsidR="00331FC3" w:rsidRDefault="005C2967" w:rsidP="00FE2DD3">
      <w:pPr>
        <w:pStyle w:val="Body"/>
        <w:widowControl w:val="0"/>
        <w:spacing w:line="480" w:lineRule="auto"/>
        <w:jc w:val="both"/>
        <w:rPr>
          <w:sz w:val="28"/>
          <w:szCs w:val="28"/>
        </w:rPr>
      </w:pPr>
      <w:r>
        <w:rPr>
          <w:sz w:val="28"/>
          <w:szCs w:val="28"/>
        </w:rPr>
        <w:t>N</w:t>
      </w:r>
      <w:r w:rsidR="003A65F4">
        <w:rPr>
          <w:sz w:val="28"/>
          <w:szCs w:val="28"/>
        </w:rPr>
        <w:t xml:space="preserve">o sooner </w:t>
      </w:r>
      <w:r>
        <w:rPr>
          <w:sz w:val="28"/>
          <w:szCs w:val="28"/>
        </w:rPr>
        <w:t xml:space="preserve">after </w:t>
      </w:r>
      <w:r w:rsidR="00856AEA">
        <w:rPr>
          <w:sz w:val="28"/>
          <w:szCs w:val="28"/>
        </w:rPr>
        <w:t>th</w:t>
      </w:r>
      <w:r w:rsidR="0038612B">
        <w:rPr>
          <w:sz w:val="28"/>
          <w:szCs w:val="28"/>
        </w:rPr>
        <w:t>is C</w:t>
      </w:r>
      <w:r w:rsidR="00856AEA">
        <w:rPr>
          <w:sz w:val="28"/>
          <w:szCs w:val="28"/>
        </w:rPr>
        <w:t>ourt</w:t>
      </w:r>
      <w:r>
        <w:rPr>
          <w:sz w:val="28"/>
          <w:szCs w:val="28"/>
        </w:rPr>
        <w:t xml:space="preserve"> had</w:t>
      </w:r>
      <w:r w:rsidR="00856AEA">
        <w:rPr>
          <w:sz w:val="28"/>
          <w:szCs w:val="28"/>
        </w:rPr>
        <w:t xml:space="preserve"> direct</w:t>
      </w:r>
      <w:r w:rsidR="003A65F4">
        <w:rPr>
          <w:sz w:val="28"/>
          <w:szCs w:val="28"/>
        </w:rPr>
        <w:t>ed</w:t>
      </w:r>
      <w:r w:rsidR="00856AEA">
        <w:rPr>
          <w:sz w:val="28"/>
          <w:szCs w:val="28"/>
        </w:rPr>
        <w:t xml:space="preserve"> the</w:t>
      </w:r>
      <w:r w:rsidR="00FE2DD3">
        <w:rPr>
          <w:sz w:val="28"/>
          <w:szCs w:val="28"/>
        </w:rPr>
        <w:t xml:space="preserve"> SBA under a modified rule </w:t>
      </w:r>
      <w:r w:rsidR="0038612B">
        <w:rPr>
          <w:sz w:val="28"/>
          <w:szCs w:val="28"/>
        </w:rPr>
        <w:t xml:space="preserve">to expressly </w:t>
      </w:r>
      <w:r w:rsidR="00856AEA">
        <w:rPr>
          <w:sz w:val="28"/>
          <w:szCs w:val="28"/>
        </w:rPr>
        <w:t>prioritiz</w:t>
      </w:r>
      <w:r w:rsidR="0038612B">
        <w:rPr>
          <w:sz w:val="28"/>
          <w:szCs w:val="28"/>
        </w:rPr>
        <w:t>e</w:t>
      </w:r>
      <w:r w:rsidR="00856AEA">
        <w:rPr>
          <w:sz w:val="28"/>
          <w:szCs w:val="28"/>
        </w:rPr>
        <w:t xml:space="preserve"> public protection</w:t>
      </w:r>
      <w:r w:rsidR="00F91740">
        <w:rPr>
          <w:sz w:val="28"/>
          <w:szCs w:val="28"/>
        </w:rPr>
        <w:t xml:space="preserve"> “with respect to the provision of legal services and access to justice</w:t>
      </w:r>
      <w:r w:rsidR="003A65F4">
        <w:rPr>
          <w:sz w:val="28"/>
          <w:szCs w:val="28"/>
        </w:rPr>
        <w:t>,</w:t>
      </w:r>
      <w:r w:rsidR="00F91740">
        <w:rPr>
          <w:sz w:val="28"/>
          <w:szCs w:val="28"/>
        </w:rPr>
        <w:t>”</w:t>
      </w:r>
      <w:r w:rsidR="0038612B">
        <w:rPr>
          <w:sz w:val="28"/>
          <w:szCs w:val="28"/>
        </w:rPr>
        <w:t xml:space="preserve"> </w:t>
      </w:r>
      <w:r>
        <w:rPr>
          <w:sz w:val="28"/>
          <w:szCs w:val="28"/>
        </w:rPr>
        <w:t>th</w:t>
      </w:r>
      <w:r w:rsidR="00F91740">
        <w:rPr>
          <w:sz w:val="28"/>
          <w:szCs w:val="28"/>
        </w:rPr>
        <w:t xml:space="preserve">e </w:t>
      </w:r>
      <w:r>
        <w:rPr>
          <w:sz w:val="28"/>
          <w:szCs w:val="28"/>
        </w:rPr>
        <w:t>SBA</w:t>
      </w:r>
      <w:r w:rsidR="00FE2DD3">
        <w:rPr>
          <w:sz w:val="28"/>
          <w:szCs w:val="28"/>
        </w:rPr>
        <w:t xml:space="preserve"> </w:t>
      </w:r>
      <w:r w:rsidR="00F91740">
        <w:rPr>
          <w:sz w:val="28"/>
          <w:szCs w:val="28"/>
        </w:rPr>
        <w:t>was announcing its</w:t>
      </w:r>
      <w:r>
        <w:rPr>
          <w:sz w:val="28"/>
          <w:szCs w:val="28"/>
        </w:rPr>
        <w:t xml:space="preserve"> Public Service Center.</w:t>
      </w:r>
      <w:r w:rsidR="00FE2DD3">
        <w:rPr>
          <w:sz w:val="28"/>
          <w:szCs w:val="28"/>
        </w:rPr>
        <w:t xml:space="preserve"> </w:t>
      </w:r>
      <w:r>
        <w:rPr>
          <w:sz w:val="28"/>
          <w:szCs w:val="28"/>
        </w:rPr>
        <w:lastRenderedPageBreak/>
        <w:t xml:space="preserve">In a mass email announcing the </w:t>
      </w:r>
      <w:r w:rsidR="00FE2DD3">
        <w:rPr>
          <w:sz w:val="28"/>
          <w:szCs w:val="28"/>
        </w:rPr>
        <w:t>Center t</w:t>
      </w:r>
      <w:r w:rsidR="003A65F4">
        <w:rPr>
          <w:sz w:val="28"/>
          <w:szCs w:val="28"/>
        </w:rPr>
        <w:t>o members, the SBA declared</w:t>
      </w:r>
      <w:r w:rsidR="00FE2DD3">
        <w:rPr>
          <w:sz w:val="28"/>
          <w:szCs w:val="28"/>
        </w:rPr>
        <w:t xml:space="preserve"> it was about “improving the public’s access to justice” in accord with the </w:t>
      </w:r>
      <w:r w:rsidR="003A65F4">
        <w:rPr>
          <w:sz w:val="28"/>
          <w:szCs w:val="28"/>
        </w:rPr>
        <w:t xml:space="preserve">new mission statement ordered by the </w:t>
      </w:r>
      <w:r w:rsidR="00FE2DD3">
        <w:rPr>
          <w:sz w:val="28"/>
          <w:szCs w:val="28"/>
        </w:rPr>
        <w:t>a</w:t>
      </w:r>
      <w:r w:rsidR="00F91740">
        <w:rPr>
          <w:sz w:val="28"/>
          <w:szCs w:val="28"/>
        </w:rPr>
        <w:t>forementioned a</w:t>
      </w:r>
      <w:r w:rsidR="00FE2DD3">
        <w:rPr>
          <w:sz w:val="28"/>
          <w:szCs w:val="28"/>
        </w:rPr>
        <w:t xml:space="preserve">mended rule. </w:t>
      </w:r>
    </w:p>
    <w:p w:rsidR="00856AEA" w:rsidRDefault="005C2967" w:rsidP="00FE2DD3">
      <w:pPr>
        <w:pStyle w:val="Body"/>
        <w:widowControl w:val="0"/>
        <w:spacing w:line="480" w:lineRule="auto"/>
        <w:jc w:val="both"/>
        <w:rPr>
          <w:sz w:val="28"/>
          <w:szCs w:val="28"/>
        </w:rPr>
      </w:pPr>
      <w:r>
        <w:rPr>
          <w:sz w:val="28"/>
          <w:szCs w:val="28"/>
        </w:rPr>
        <w:t xml:space="preserve">Integral to the new </w:t>
      </w:r>
      <w:r w:rsidR="0038612B">
        <w:rPr>
          <w:sz w:val="28"/>
          <w:szCs w:val="28"/>
        </w:rPr>
        <w:t xml:space="preserve">Center </w:t>
      </w:r>
      <w:r w:rsidR="00FE2DD3">
        <w:rPr>
          <w:sz w:val="28"/>
          <w:szCs w:val="28"/>
        </w:rPr>
        <w:t xml:space="preserve">was </w:t>
      </w:r>
      <w:r w:rsidR="00856AEA">
        <w:rPr>
          <w:sz w:val="28"/>
          <w:szCs w:val="28"/>
        </w:rPr>
        <w:t>the</w:t>
      </w:r>
      <w:r w:rsidR="000F376F">
        <w:rPr>
          <w:sz w:val="28"/>
          <w:szCs w:val="28"/>
        </w:rPr>
        <w:t xml:space="preserve"> incorporation of a web-based</w:t>
      </w:r>
      <w:r w:rsidR="00FE2DD3">
        <w:rPr>
          <w:sz w:val="28"/>
          <w:szCs w:val="28"/>
        </w:rPr>
        <w:t xml:space="preserve"> referral platform</w:t>
      </w:r>
      <w:r w:rsidR="00856AEA">
        <w:rPr>
          <w:sz w:val="28"/>
          <w:szCs w:val="28"/>
        </w:rPr>
        <w:t xml:space="preserve"> </w:t>
      </w:r>
      <w:r w:rsidR="000F376F">
        <w:rPr>
          <w:sz w:val="28"/>
          <w:szCs w:val="28"/>
        </w:rPr>
        <w:t xml:space="preserve">helping lawyers </w:t>
      </w:r>
      <w:r w:rsidR="003A65F4">
        <w:rPr>
          <w:sz w:val="28"/>
          <w:szCs w:val="28"/>
        </w:rPr>
        <w:t>(</w:t>
      </w:r>
      <w:r w:rsidR="00955F3B">
        <w:rPr>
          <w:sz w:val="28"/>
          <w:szCs w:val="28"/>
        </w:rPr>
        <w:t>for</w:t>
      </w:r>
      <w:r w:rsidR="000F376F">
        <w:rPr>
          <w:sz w:val="28"/>
          <w:szCs w:val="28"/>
        </w:rPr>
        <w:t xml:space="preserve"> </w:t>
      </w:r>
      <w:r w:rsidR="003A65F4">
        <w:rPr>
          <w:sz w:val="28"/>
          <w:szCs w:val="28"/>
        </w:rPr>
        <w:t>an extra</w:t>
      </w:r>
      <w:r w:rsidR="000F376F">
        <w:rPr>
          <w:sz w:val="28"/>
          <w:szCs w:val="28"/>
        </w:rPr>
        <w:t xml:space="preserve"> annual cost</w:t>
      </w:r>
      <w:r w:rsidR="003A65F4">
        <w:rPr>
          <w:sz w:val="28"/>
          <w:szCs w:val="28"/>
        </w:rPr>
        <w:t>)</w:t>
      </w:r>
      <w:r w:rsidR="000F376F">
        <w:rPr>
          <w:sz w:val="28"/>
          <w:szCs w:val="28"/>
        </w:rPr>
        <w:t xml:space="preserve"> to prospect for clients and get more business. Arizonans seeking legal help </w:t>
      </w:r>
      <w:r w:rsidR="003A65F4">
        <w:rPr>
          <w:sz w:val="28"/>
          <w:szCs w:val="28"/>
        </w:rPr>
        <w:t xml:space="preserve">would </w:t>
      </w:r>
      <w:r w:rsidR="000F376F">
        <w:rPr>
          <w:sz w:val="28"/>
          <w:szCs w:val="28"/>
        </w:rPr>
        <w:t>complete an online form stating</w:t>
      </w:r>
      <w:r>
        <w:rPr>
          <w:sz w:val="28"/>
          <w:szCs w:val="28"/>
        </w:rPr>
        <w:t xml:space="preserve"> their legal needs to create a “legal project.”</w:t>
      </w:r>
      <w:r w:rsidR="000F376F">
        <w:rPr>
          <w:sz w:val="28"/>
          <w:szCs w:val="28"/>
        </w:rPr>
        <w:t xml:space="preserve"> Participating SBA members </w:t>
      </w:r>
      <w:r w:rsidR="003A65F4">
        <w:rPr>
          <w:sz w:val="28"/>
          <w:szCs w:val="28"/>
        </w:rPr>
        <w:t xml:space="preserve">would </w:t>
      </w:r>
      <w:r w:rsidR="000F376F">
        <w:rPr>
          <w:sz w:val="28"/>
          <w:szCs w:val="28"/>
        </w:rPr>
        <w:t>review the posted projects that c</w:t>
      </w:r>
      <w:r w:rsidR="003A65F4">
        <w:rPr>
          <w:sz w:val="28"/>
          <w:szCs w:val="28"/>
        </w:rPr>
        <w:t xml:space="preserve">ould </w:t>
      </w:r>
      <w:r w:rsidR="000F376F">
        <w:rPr>
          <w:sz w:val="28"/>
          <w:szCs w:val="28"/>
        </w:rPr>
        <w:t>be either paid or pro bono. Interested members then disclose</w:t>
      </w:r>
      <w:r w:rsidR="005F3A88">
        <w:rPr>
          <w:sz w:val="28"/>
          <w:szCs w:val="28"/>
        </w:rPr>
        <w:t>d</w:t>
      </w:r>
      <w:r w:rsidR="000F376F">
        <w:rPr>
          <w:sz w:val="28"/>
          <w:szCs w:val="28"/>
        </w:rPr>
        <w:t xml:space="preserve"> their profile, fees if applicable, and other related information to the prospective client. Although the SBA’s email promoted the new lawyer referral program as an access to justice initiative targeted at pro bono and low</w:t>
      </w:r>
      <w:r w:rsidR="005F3A88">
        <w:rPr>
          <w:sz w:val="28"/>
          <w:szCs w:val="28"/>
        </w:rPr>
        <w:t xml:space="preserve"> bono</w:t>
      </w:r>
      <w:r>
        <w:rPr>
          <w:rStyle w:val="FootnoteReference"/>
          <w:sz w:val="28"/>
          <w:szCs w:val="28"/>
        </w:rPr>
        <w:footnoteReference w:id="22"/>
      </w:r>
      <w:r w:rsidR="00334294">
        <w:rPr>
          <w:sz w:val="28"/>
          <w:szCs w:val="28"/>
        </w:rPr>
        <w:t xml:space="preserve"> clients, this</w:t>
      </w:r>
      <w:r w:rsidR="000F376F">
        <w:rPr>
          <w:sz w:val="28"/>
          <w:szCs w:val="28"/>
        </w:rPr>
        <w:t xml:space="preserve"> objective was merely incidental to the undertaking. </w:t>
      </w:r>
      <w:r w:rsidR="0086764A">
        <w:rPr>
          <w:sz w:val="28"/>
          <w:szCs w:val="28"/>
        </w:rPr>
        <w:t xml:space="preserve">“It’s magical thinking to believe that by running a client lead-generator to grow the business of members, the state bar will also be helping the large swath of Arizonans who can’t afford to hire a lawyer,” I </w:t>
      </w:r>
      <w:r w:rsidR="005F3A88">
        <w:rPr>
          <w:sz w:val="28"/>
          <w:szCs w:val="28"/>
        </w:rPr>
        <w:t>said</w:t>
      </w:r>
      <w:r w:rsidR="0086764A">
        <w:rPr>
          <w:sz w:val="28"/>
          <w:szCs w:val="28"/>
        </w:rPr>
        <w:t xml:space="preserve"> in a commentary </w:t>
      </w:r>
      <w:r w:rsidR="005F3A88">
        <w:rPr>
          <w:sz w:val="28"/>
          <w:szCs w:val="28"/>
        </w:rPr>
        <w:t>critical of the Center</w:t>
      </w:r>
      <w:r w:rsidR="000F376F">
        <w:rPr>
          <w:sz w:val="28"/>
          <w:szCs w:val="28"/>
        </w:rPr>
        <w:t xml:space="preserve"> </w:t>
      </w:r>
      <w:r w:rsidR="0086764A">
        <w:rPr>
          <w:sz w:val="28"/>
          <w:szCs w:val="28"/>
        </w:rPr>
        <w:t xml:space="preserve">in </w:t>
      </w:r>
      <w:r w:rsidR="0086764A" w:rsidRPr="000522FB">
        <w:rPr>
          <w:i/>
          <w:sz w:val="28"/>
          <w:szCs w:val="28"/>
        </w:rPr>
        <w:t>The Record-Reporter</w:t>
      </w:r>
      <w:r w:rsidR="0086764A">
        <w:rPr>
          <w:sz w:val="28"/>
          <w:szCs w:val="28"/>
        </w:rPr>
        <w:t>.</w:t>
      </w:r>
      <w:r w:rsidR="0086764A">
        <w:rPr>
          <w:rStyle w:val="FootnoteReference"/>
          <w:sz w:val="28"/>
          <w:szCs w:val="28"/>
        </w:rPr>
        <w:footnoteReference w:id="23"/>
      </w:r>
      <w:r w:rsidR="0086764A">
        <w:rPr>
          <w:sz w:val="28"/>
          <w:szCs w:val="28"/>
        </w:rPr>
        <w:t xml:space="preserve"> “Ventures like this</w:t>
      </w:r>
      <w:r w:rsidR="005F3A88">
        <w:rPr>
          <w:sz w:val="28"/>
          <w:szCs w:val="28"/>
        </w:rPr>
        <w:t>,” I asserted,</w:t>
      </w:r>
      <w:r w:rsidR="0086764A">
        <w:rPr>
          <w:sz w:val="28"/>
          <w:szCs w:val="28"/>
        </w:rPr>
        <w:t xml:space="preserve"> </w:t>
      </w:r>
      <w:r w:rsidR="005F3A88">
        <w:rPr>
          <w:sz w:val="28"/>
          <w:szCs w:val="28"/>
        </w:rPr>
        <w:t>“</w:t>
      </w:r>
      <w:r w:rsidR="0086764A">
        <w:rPr>
          <w:sz w:val="28"/>
          <w:szCs w:val="28"/>
        </w:rPr>
        <w:t xml:space="preserve">arise when a </w:t>
      </w:r>
      <w:r w:rsidR="0086764A">
        <w:rPr>
          <w:sz w:val="28"/>
          <w:szCs w:val="28"/>
        </w:rPr>
        <w:lastRenderedPageBreak/>
        <w:t>trade association promoting the interests of its members tries to also serve the interests of the public.”</w:t>
      </w:r>
      <w:r w:rsidR="0086764A">
        <w:rPr>
          <w:rStyle w:val="FootnoteReference"/>
          <w:sz w:val="28"/>
          <w:szCs w:val="28"/>
        </w:rPr>
        <w:footnoteReference w:id="24"/>
      </w:r>
      <w:r w:rsidR="005F3A88">
        <w:rPr>
          <w:sz w:val="28"/>
          <w:szCs w:val="28"/>
        </w:rPr>
        <w:t xml:space="preserve"> But t</w:t>
      </w:r>
      <w:r w:rsidR="0086764A">
        <w:rPr>
          <w:sz w:val="28"/>
          <w:szCs w:val="28"/>
        </w:rPr>
        <w:t>he most telling statement i</w:t>
      </w:r>
      <w:r w:rsidR="005F3A88">
        <w:rPr>
          <w:sz w:val="28"/>
          <w:szCs w:val="28"/>
        </w:rPr>
        <w:t>n the SBA’s mass email</w:t>
      </w:r>
      <w:r w:rsidR="0086764A">
        <w:rPr>
          <w:sz w:val="28"/>
          <w:szCs w:val="28"/>
        </w:rPr>
        <w:t xml:space="preserve"> </w:t>
      </w:r>
      <w:r w:rsidR="005F3A88">
        <w:rPr>
          <w:sz w:val="28"/>
          <w:szCs w:val="28"/>
        </w:rPr>
        <w:t>highlight</w:t>
      </w:r>
      <w:r w:rsidR="0084454B">
        <w:rPr>
          <w:sz w:val="28"/>
          <w:szCs w:val="28"/>
        </w:rPr>
        <w:t>ing its conflicted mission w</w:t>
      </w:r>
      <w:r w:rsidR="0086764A">
        <w:rPr>
          <w:sz w:val="28"/>
          <w:szCs w:val="28"/>
        </w:rPr>
        <w:t>as this, “Our job today is to find the best way to help both the public and our members</w:t>
      </w:r>
      <w:r w:rsidR="0084454B">
        <w:rPr>
          <w:sz w:val="28"/>
          <w:szCs w:val="28"/>
        </w:rPr>
        <w:t>.”</w:t>
      </w:r>
      <w:r w:rsidR="0084454B">
        <w:rPr>
          <w:rStyle w:val="FootnoteReference"/>
          <w:sz w:val="28"/>
          <w:szCs w:val="28"/>
        </w:rPr>
        <w:footnoteReference w:id="25"/>
      </w:r>
    </w:p>
    <w:p w:rsidR="00400B84" w:rsidRDefault="00400B84" w:rsidP="00FE2DD3">
      <w:pPr>
        <w:pStyle w:val="Body"/>
        <w:widowControl w:val="0"/>
        <w:spacing w:line="480" w:lineRule="auto"/>
        <w:jc w:val="both"/>
        <w:rPr>
          <w:sz w:val="28"/>
          <w:szCs w:val="28"/>
        </w:rPr>
      </w:pPr>
      <w:r>
        <w:rPr>
          <w:sz w:val="28"/>
          <w:szCs w:val="28"/>
        </w:rPr>
        <w:t>A</w:t>
      </w:r>
      <w:r w:rsidR="005F3A88">
        <w:rPr>
          <w:sz w:val="28"/>
          <w:szCs w:val="28"/>
        </w:rPr>
        <w:t>l</w:t>
      </w:r>
      <w:r>
        <w:rPr>
          <w:sz w:val="28"/>
          <w:szCs w:val="28"/>
        </w:rPr>
        <w:t>though the SBA’s mission has now been clarified by this Court, members</w:t>
      </w:r>
      <w:r w:rsidR="005F3A88">
        <w:rPr>
          <w:sz w:val="28"/>
          <w:szCs w:val="28"/>
        </w:rPr>
        <w:t xml:space="preserve"> </w:t>
      </w:r>
      <w:r w:rsidR="000522FB">
        <w:rPr>
          <w:sz w:val="28"/>
          <w:szCs w:val="28"/>
        </w:rPr>
        <w:t>still view</w:t>
      </w:r>
      <w:r w:rsidR="005F3A88">
        <w:rPr>
          <w:sz w:val="28"/>
          <w:szCs w:val="28"/>
        </w:rPr>
        <w:t xml:space="preserve"> a</w:t>
      </w:r>
      <w:r>
        <w:rPr>
          <w:sz w:val="28"/>
          <w:szCs w:val="28"/>
        </w:rPr>
        <w:t xml:space="preserve"> mandatory bar </w:t>
      </w:r>
      <w:r w:rsidR="005F3A88">
        <w:rPr>
          <w:sz w:val="28"/>
          <w:szCs w:val="28"/>
        </w:rPr>
        <w:t xml:space="preserve">not just as </w:t>
      </w:r>
      <w:r>
        <w:rPr>
          <w:sz w:val="28"/>
          <w:szCs w:val="28"/>
        </w:rPr>
        <w:t xml:space="preserve">a </w:t>
      </w:r>
      <w:r w:rsidR="006913CD">
        <w:rPr>
          <w:sz w:val="28"/>
          <w:szCs w:val="28"/>
        </w:rPr>
        <w:t xml:space="preserve">type of </w:t>
      </w:r>
      <w:r>
        <w:rPr>
          <w:sz w:val="28"/>
          <w:szCs w:val="28"/>
        </w:rPr>
        <w:t>regulatory</w:t>
      </w:r>
      <w:r w:rsidR="006913CD">
        <w:rPr>
          <w:sz w:val="28"/>
          <w:szCs w:val="28"/>
        </w:rPr>
        <w:t xml:space="preserve"> state</w:t>
      </w:r>
      <w:r>
        <w:rPr>
          <w:sz w:val="28"/>
          <w:szCs w:val="28"/>
        </w:rPr>
        <w:t xml:space="preserve"> agency </w:t>
      </w:r>
      <w:r w:rsidR="005F3A88">
        <w:rPr>
          <w:sz w:val="28"/>
          <w:szCs w:val="28"/>
        </w:rPr>
        <w:t>but as a</w:t>
      </w:r>
      <w:r>
        <w:rPr>
          <w:sz w:val="28"/>
          <w:szCs w:val="28"/>
        </w:rPr>
        <w:t xml:space="preserve"> </w:t>
      </w:r>
      <w:r w:rsidR="006913CD">
        <w:rPr>
          <w:sz w:val="28"/>
          <w:szCs w:val="28"/>
        </w:rPr>
        <w:t xml:space="preserve">member </w:t>
      </w:r>
      <w:r>
        <w:rPr>
          <w:sz w:val="28"/>
          <w:szCs w:val="28"/>
        </w:rPr>
        <w:t>association charged with helping and promoting the profession.</w:t>
      </w:r>
      <w:r w:rsidR="00D25F05">
        <w:rPr>
          <w:rStyle w:val="FootnoteReference"/>
          <w:sz w:val="28"/>
          <w:szCs w:val="28"/>
        </w:rPr>
        <w:footnoteReference w:id="26"/>
      </w:r>
      <w:r>
        <w:rPr>
          <w:sz w:val="28"/>
          <w:szCs w:val="28"/>
        </w:rPr>
        <w:t xml:space="preserve"> The most visible manifestation is found among those running its governing bo</w:t>
      </w:r>
      <w:r w:rsidR="000522FB">
        <w:rPr>
          <w:sz w:val="28"/>
          <w:szCs w:val="28"/>
        </w:rPr>
        <w:t>ard -- notwithstanding that as “insiders”</w:t>
      </w:r>
      <w:r>
        <w:rPr>
          <w:sz w:val="28"/>
          <w:szCs w:val="28"/>
        </w:rPr>
        <w:t xml:space="preserve"> one would presume they should know better.</w:t>
      </w:r>
      <w:r>
        <w:rPr>
          <w:rStyle w:val="FootnoteReference"/>
          <w:sz w:val="28"/>
          <w:szCs w:val="28"/>
        </w:rPr>
        <w:footnoteReference w:id="27"/>
      </w:r>
    </w:p>
    <w:p w:rsidR="008514AE" w:rsidRDefault="008514AE" w:rsidP="00570876">
      <w:pPr>
        <w:pStyle w:val="Body"/>
        <w:widowControl w:val="0"/>
        <w:numPr>
          <w:ilvl w:val="0"/>
          <w:numId w:val="15"/>
        </w:numPr>
        <w:spacing w:line="240" w:lineRule="auto"/>
        <w:jc w:val="both"/>
        <w:rPr>
          <w:b/>
          <w:sz w:val="28"/>
          <w:szCs w:val="28"/>
        </w:rPr>
      </w:pPr>
      <w:r>
        <w:rPr>
          <w:b/>
          <w:sz w:val="28"/>
          <w:szCs w:val="28"/>
        </w:rPr>
        <w:t xml:space="preserve">The </w:t>
      </w:r>
      <w:r w:rsidR="00570876">
        <w:rPr>
          <w:b/>
          <w:sz w:val="28"/>
          <w:szCs w:val="28"/>
        </w:rPr>
        <w:t>SBA</w:t>
      </w:r>
      <w:r>
        <w:rPr>
          <w:b/>
          <w:sz w:val="28"/>
          <w:szCs w:val="28"/>
        </w:rPr>
        <w:t xml:space="preserve">’s programs and functions, beyond lawyer regulation, </w:t>
      </w:r>
      <w:r w:rsidR="00570876">
        <w:rPr>
          <w:b/>
          <w:sz w:val="28"/>
          <w:szCs w:val="28"/>
        </w:rPr>
        <w:t>are n</w:t>
      </w:r>
      <w:r w:rsidR="003E6079">
        <w:rPr>
          <w:b/>
          <w:sz w:val="28"/>
          <w:szCs w:val="28"/>
        </w:rPr>
        <w:t>either</w:t>
      </w:r>
      <w:r w:rsidR="00570876">
        <w:rPr>
          <w:b/>
          <w:sz w:val="28"/>
          <w:szCs w:val="28"/>
        </w:rPr>
        <w:t xml:space="preserve"> intricate, unique</w:t>
      </w:r>
      <w:r w:rsidR="000522FB">
        <w:rPr>
          <w:b/>
          <w:sz w:val="28"/>
          <w:szCs w:val="28"/>
        </w:rPr>
        <w:t>,</w:t>
      </w:r>
      <w:r w:rsidR="00570876">
        <w:rPr>
          <w:b/>
          <w:sz w:val="28"/>
          <w:szCs w:val="28"/>
        </w:rPr>
        <w:t xml:space="preserve"> or exclusive to a</w:t>
      </w:r>
      <w:r w:rsidR="005F3A88">
        <w:rPr>
          <w:b/>
          <w:sz w:val="28"/>
          <w:szCs w:val="28"/>
        </w:rPr>
        <w:t>n integrated bar</w:t>
      </w:r>
      <w:r>
        <w:rPr>
          <w:b/>
          <w:sz w:val="28"/>
          <w:szCs w:val="28"/>
        </w:rPr>
        <w:t xml:space="preserve">. </w:t>
      </w:r>
    </w:p>
    <w:p w:rsidR="008514AE" w:rsidRDefault="008514AE" w:rsidP="008514AE">
      <w:pPr>
        <w:pStyle w:val="Body"/>
        <w:widowControl w:val="0"/>
        <w:spacing w:line="240" w:lineRule="auto"/>
        <w:ind w:left="1800" w:firstLine="0"/>
        <w:jc w:val="both"/>
        <w:rPr>
          <w:b/>
          <w:sz w:val="28"/>
          <w:szCs w:val="28"/>
        </w:rPr>
      </w:pPr>
    </w:p>
    <w:p w:rsidR="00CA2F41" w:rsidRDefault="008514AE" w:rsidP="008514AE">
      <w:pPr>
        <w:pStyle w:val="Body"/>
        <w:widowControl w:val="0"/>
        <w:spacing w:line="480" w:lineRule="auto"/>
        <w:ind w:firstLine="0"/>
        <w:jc w:val="both"/>
        <w:rPr>
          <w:sz w:val="28"/>
          <w:szCs w:val="28"/>
        </w:rPr>
      </w:pPr>
      <w:r>
        <w:rPr>
          <w:sz w:val="28"/>
          <w:szCs w:val="28"/>
        </w:rPr>
        <w:tab/>
      </w:r>
      <w:r w:rsidR="000522FB">
        <w:rPr>
          <w:sz w:val="28"/>
          <w:szCs w:val="28"/>
        </w:rPr>
        <w:t>I</w:t>
      </w:r>
      <w:r w:rsidR="003E6079">
        <w:rPr>
          <w:sz w:val="28"/>
          <w:szCs w:val="28"/>
        </w:rPr>
        <w:t xml:space="preserve">n the face of external challenges to its </w:t>
      </w:r>
      <w:r w:rsidR="00BB60C6">
        <w:rPr>
          <w:sz w:val="28"/>
          <w:szCs w:val="28"/>
        </w:rPr>
        <w:t>continued</w:t>
      </w:r>
      <w:r w:rsidR="004C1180">
        <w:rPr>
          <w:sz w:val="28"/>
          <w:szCs w:val="28"/>
        </w:rPr>
        <w:t xml:space="preserve"> </w:t>
      </w:r>
      <w:r w:rsidR="003E6079">
        <w:rPr>
          <w:sz w:val="28"/>
          <w:szCs w:val="28"/>
        </w:rPr>
        <w:t xml:space="preserve">Ivory Tower existence, the </w:t>
      </w:r>
      <w:r w:rsidR="003E6079">
        <w:rPr>
          <w:sz w:val="28"/>
          <w:szCs w:val="28"/>
        </w:rPr>
        <w:lastRenderedPageBreak/>
        <w:t xml:space="preserve">SBA </w:t>
      </w:r>
      <w:r w:rsidR="004C1180">
        <w:rPr>
          <w:sz w:val="28"/>
          <w:szCs w:val="28"/>
        </w:rPr>
        <w:t xml:space="preserve">has </w:t>
      </w:r>
      <w:r w:rsidR="00BB60C6">
        <w:rPr>
          <w:sz w:val="28"/>
          <w:szCs w:val="28"/>
        </w:rPr>
        <w:t>persisted</w:t>
      </w:r>
      <w:r w:rsidR="003E6079">
        <w:rPr>
          <w:sz w:val="28"/>
          <w:szCs w:val="28"/>
        </w:rPr>
        <w:t xml:space="preserve"> </w:t>
      </w:r>
      <w:r w:rsidR="004C1180">
        <w:rPr>
          <w:sz w:val="28"/>
          <w:szCs w:val="28"/>
        </w:rPr>
        <w:t>c</w:t>
      </w:r>
      <w:r w:rsidR="003E6079">
        <w:rPr>
          <w:sz w:val="28"/>
          <w:szCs w:val="28"/>
        </w:rPr>
        <w:t>onflat</w:t>
      </w:r>
      <w:r w:rsidR="00BB60C6">
        <w:rPr>
          <w:sz w:val="28"/>
          <w:szCs w:val="28"/>
        </w:rPr>
        <w:t>ing</w:t>
      </w:r>
      <w:r w:rsidR="003E6079">
        <w:rPr>
          <w:sz w:val="28"/>
          <w:szCs w:val="28"/>
        </w:rPr>
        <w:t xml:space="preserve"> </w:t>
      </w:r>
      <w:r w:rsidR="004C1180">
        <w:rPr>
          <w:sz w:val="28"/>
          <w:szCs w:val="28"/>
        </w:rPr>
        <w:t xml:space="preserve">not just </w:t>
      </w:r>
      <w:r w:rsidR="00BB60C6">
        <w:rPr>
          <w:sz w:val="28"/>
          <w:szCs w:val="28"/>
        </w:rPr>
        <w:t>its dual mission</w:t>
      </w:r>
      <w:r w:rsidR="003E6079">
        <w:rPr>
          <w:sz w:val="28"/>
          <w:szCs w:val="28"/>
        </w:rPr>
        <w:t xml:space="preserve"> as r</w:t>
      </w:r>
      <w:r w:rsidR="004C1180">
        <w:rPr>
          <w:sz w:val="28"/>
          <w:szCs w:val="28"/>
        </w:rPr>
        <w:t xml:space="preserve">egulator and trade association </w:t>
      </w:r>
      <w:r w:rsidR="00BB60C6">
        <w:rPr>
          <w:sz w:val="28"/>
          <w:szCs w:val="28"/>
        </w:rPr>
        <w:t>but</w:t>
      </w:r>
      <w:r w:rsidR="009A574C">
        <w:rPr>
          <w:sz w:val="28"/>
          <w:szCs w:val="28"/>
        </w:rPr>
        <w:t xml:space="preserve"> it</w:t>
      </w:r>
      <w:bookmarkStart w:id="2" w:name="_GoBack"/>
      <w:bookmarkEnd w:id="2"/>
      <w:r w:rsidR="004C1180">
        <w:rPr>
          <w:sz w:val="28"/>
          <w:szCs w:val="28"/>
        </w:rPr>
        <w:t xml:space="preserve"> </w:t>
      </w:r>
      <w:r w:rsidR="00E273FC">
        <w:rPr>
          <w:sz w:val="28"/>
          <w:szCs w:val="28"/>
        </w:rPr>
        <w:t xml:space="preserve">has </w:t>
      </w:r>
      <w:r w:rsidR="004C1180">
        <w:rPr>
          <w:sz w:val="28"/>
          <w:szCs w:val="28"/>
        </w:rPr>
        <w:t>conjured up</w:t>
      </w:r>
      <w:r w:rsidR="003E6079">
        <w:rPr>
          <w:sz w:val="28"/>
          <w:szCs w:val="28"/>
        </w:rPr>
        <w:t xml:space="preserve"> a </w:t>
      </w:r>
      <w:r w:rsidR="004C1180">
        <w:rPr>
          <w:sz w:val="28"/>
          <w:szCs w:val="28"/>
        </w:rPr>
        <w:t xml:space="preserve">fallacious </w:t>
      </w:r>
      <w:r w:rsidR="003E6079">
        <w:rPr>
          <w:sz w:val="28"/>
          <w:szCs w:val="28"/>
        </w:rPr>
        <w:t>nexus</w:t>
      </w:r>
      <w:r w:rsidR="004C1180">
        <w:rPr>
          <w:sz w:val="28"/>
          <w:szCs w:val="28"/>
        </w:rPr>
        <w:t xml:space="preserve"> tying</w:t>
      </w:r>
      <w:r w:rsidR="003E6079">
        <w:rPr>
          <w:sz w:val="28"/>
          <w:szCs w:val="28"/>
        </w:rPr>
        <w:t xml:space="preserve"> </w:t>
      </w:r>
      <w:r w:rsidR="004C1180">
        <w:rPr>
          <w:sz w:val="28"/>
          <w:szCs w:val="28"/>
        </w:rPr>
        <w:t>lawyer professionalism, civic-mindedness, and aspirational ideals to an integrated status.</w:t>
      </w:r>
      <w:r w:rsidR="00BB60C6">
        <w:rPr>
          <w:sz w:val="28"/>
          <w:szCs w:val="28"/>
        </w:rPr>
        <w:t xml:space="preserve"> But</w:t>
      </w:r>
      <w:r w:rsidR="00CA2F41">
        <w:rPr>
          <w:sz w:val="28"/>
          <w:szCs w:val="28"/>
        </w:rPr>
        <w:t xml:space="preserve"> there is no nexus between public protection and an integrated bar or </w:t>
      </w:r>
      <w:r w:rsidR="00E273FC">
        <w:rPr>
          <w:sz w:val="28"/>
          <w:szCs w:val="28"/>
        </w:rPr>
        <w:t xml:space="preserve">between </w:t>
      </w:r>
      <w:r w:rsidR="00CA2F41">
        <w:rPr>
          <w:sz w:val="28"/>
          <w:szCs w:val="28"/>
        </w:rPr>
        <w:t xml:space="preserve">lawyer professionalism and an integrated bar. Lawyers in all jurisdictions, whether voluntary or mandatory, take similar oaths to uphold the Constitution; to act with professionalism; to abide by ethical principles; to conduct themselves with integrity; and to discharge client obligations to the best of their abilities. </w:t>
      </w:r>
      <w:r w:rsidR="00BB01BE">
        <w:rPr>
          <w:sz w:val="28"/>
          <w:szCs w:val="28"/>
        </w:rPr>
        <w:t>Nor is there a non-severable connection between an integrated bar and no</w:t>
      </w:r>
      <w:r w:rsidR="004214A1">
        <w:rPr>
          <w:sz w:val="28"/>
          <w:szCs w:val="28"/>
        </w:rPr>
        <w:t xml:space="preserve">n-regulatory programs </w:t>
      </w:r>
      <w:r w:rsidR="00BB01BE">
        <w:rPr>
          <w:sz w:val="28"/>
          <w:szCs w:val="28"/>
        </w:rPr>
        <w:t xml:space="preserve">and activities like an ethics hotline, member assistance program, </w:t>
      </w:r>
      <w:r w:rsidR="004214A1">
        <w:rPr>
          <w:sz w:val="28"/>
          <w:szCs w:val="28"/>
        </w:rPr>
        <w:t>or practice man</w:t>
      </w:r>
      <w:r w:rsidR="00D51F63">
        <w:rPr>
          <w:sz w:val="28"/>
          <w:szCs w:val="28"/>
        </w:rPr>
        <w:t>agement assistance. Attached</w:t>
      </w:r>
      <w:r w:rsidR="004214A1">
        <w:rPr>
          <w:sz w:val="28"/>
          <w:szCs w:val="28"/>
        </w:rPr>
        <w:t xml:space="preserve"> Exhibit </w:t>
      </w:r>
      <w:r w:rsidR="00325259">
        <w:rPr>
          <w:sz w:val="28"/>
          <w:szCs w:val="28"/>
        </w:rPr>
        <w:t>A</w:t>
      </w:r>
      <w:r w:rsidR="004214A1">
        <w:rPr>
          <w:sz w:val="28"/>
          <w:szCs w:val="28"/>
        </w:rPr>
        <w:t xml:space="preserve"> makes abundantly clear that these and other services are not exclusive to an integrated bar but common offerings of voluntary bar jurisdictions.</w:t>
      </w:r>
    </w:p>
    <w:p w:rsidR="00C10DC2" w:rsidRDefault="005C26CA" w:rsidP="00CA2F41">
      <w:pPr>
        <w:pStyle w:val="Body"/>
        <w:widowControl w:val="0"/>
        <w:spacing w:line="480" w:lineRule="auto"/>
        <w:ind w:firstLine="720"/>
        <w:jc w:val="both"/>
        <w:rPr>
          <w:sz w:val="28"/>
          <w:szCs w:val="28"/>
        </w:rPr>
      </w:pPr>
      <w:r>
        <w:rPr>
          <w:sz w:val="28"/>
          <w:szCs w:val="28"/>
        </w:rPr>
        <w:t xml:space="preserve">In its </w:t>
      </w:r>
      <w:r w:rsidR="00D51F63">
        <w:rPr>
          <w:sz w:val="28"/>
          <w:szCs w:val="28"/>
        </w:rPr>
        <w:t>Comment opposing</w:t>
      </w:r>
      <w:r w:rsidR="00C10DC2">
        <w:rPr>
          <w:sz w:val="28"/>
          <w:szCs w:val="28"/>
        </w:rPr>
        <w:t xml:space="preserve"> the Petition, t</w:t>
      </w:r>
      <w:r>
        <w:rPr>
          <w:sz w:val="28"/>
          <w:szCs w:val="28"/>
        </w:rPr>
        <w:t>he</w:t>
      </w:r>
      <w:r w:rsidR="00CA2F41">
        <w:rPr>
          <w:sz w:val="28"/>
          <w:szCs w:val="28"/>
        </w:rPr>
        <w:t xml:space="preserve"> SBA </w:t>
      </w:r>
      <w:r w:rsidR="00C10DC2">
        <w:rPr>
          <w:sz w:val="28"/>
          <w:szCs w:val="28"/>
        </w:rPr>
        <w:t>makes</w:t>
      </w:r>
      <w:r>
        <w:rPr>
          <w:sz w:val="28"/>
          <w:szCs w:val="28"/>
        </w:rPr>
        <w:t xml:space="preserve"> </w:t>
      </w:r>
      <w:r w:rsidR="004C1180">
        <w:rPr>
          <w:sz w:val="28"/>
          <w:szCs w:val="28"/>
        </w:rPr>
        <w:t>claims</w:t>
      </w:r>
      <w:r w:rsidR="00C10DC2">
        <w:rPr>
          <w:sz w:val="28"/>
          <w:szCs w:val="28"/>
        </w:rPr>
        <w:t xml:space="preserve"> about</w:t>
      </w:r>
      <w:r w:rsidR="004C1180">
        <w:rPr>
          <w:sz w:val="28"/>
          <w:szCs w:val="28"/>
        </w:rPr>
        <w:t xml:space="preserve"> </w:t>
      </w:r>
      <w:r w:rsidR="00C10DC2">
        <w:rPr>
          <w:sz w:val="28"/>
          <w:szCs w:val="28"/>
        </w:rPr>
        <w:t>apparent</w:t>
      </w:r>
      <w:r w:rsidR="004C1180">
        <w:rPr>
          <w:sz w:val="28"/>
          <w:szCs w:val="28"/>
        </w:rPr>
        <w:t xml:space="preserve"> “intricacies [that] cannot be summarily separated into two subsets without a thorough understanding and thoughtful contemplation of what sho</w:t>
      </w:r>
      <w:r w:rsidR="00CA2F41">
        <w:rPr>
          <w:sz w:val="28"/>
          <w:szCs w:val="28"/>
        </w:rPr>
        <w:t>u</w:t>
      </w:r>
      <w:r w:rsidR="004C1180">
        <w:rPr>
          <w:sz w:val="28"/>
          <w:szCs w:val="28"/>
        </w:rPr>
        <w:t xml:space="preserve">ld be deemed regulatory and what could constitute the ‘other functions’ voluntary approach the Petition takes.” </w:t>
      </w:r>
      <w:r w:rsidR="00C10DC2">
        <w:rPr>
          <w:sz w:val="28"/>
          <w:szCs w:val="28"/>
        </w:rPr>
        <w:t xml:space="preserve">It characterizes the Petitioner’s bifurcation approach as “cavalier” because “the benefits of the State Bar’s programs to our members and the public is (sic) too important.” Comment at 7. </w:t>
      </w:r>
    </w:p>
    <w:p w:rsidR="00BB01BE" w:rsidRDefault="00C10DC2" w:rsidP="00CA2F41">
      <w:pPr>
        <w:pStyle w:val="Body"/>
        <w:widowControl w:val="0"/>
        <w:spacing w:line="480" w:lineRule="auto"/>
        <w:ind w:firstLine="720"/>
        <w:jc w:val="both"/>
        <w:rPr>
          <w:sz w:val="28"/>
          <w:szCs w:val="28"/>
        </w:rPr>
      </w:pPr>
      <w:r>
        <w:rPr>
          <w:sz w:val="28"/>
          <w:szCs w:val="28"/>
        </w:rPr>
        <w:lastRenderedPageBreak/>
        <w:t>The SBA’s non-regulatory programs cannot</w:t>
      </w:r>
      <w:r w:rsidR="00344D2F">
        <w:rPr>
          <w:sz w:val="28"/>
          <w:szCs w:val="28"/>
        </w:rPr>
        <w:t>,</w:t>
      </w:r>
      <w:r>
        <w:rPr>
          <w:sz w:val="28"/>
          <w:szCs w:val="28"/>
        </w:rPr>
        <w:t xml:space="preserve"> by any objective measure</w:t>
      </w:r>
      <w:r w:rsidR="00344D2F">
        <w:rPr>
          <w:sz w:val="28"/>
          <w:szCs w:val="28"/>
        </w:rPr>
        <w:t>,</w:t>
      </w:r>
      <w:r>
        <w:rPr>
          <w:sz w:val="28"/>
          <w:szCs w:val="28"/>
        </w:rPr>
        <w:t xml:space="preserve"> </w:t>
      </w:r>
      <w:r w:rsidR="002F7FF2">
        <w:rPr>
          <w:sz w:val="28"/>
          <w:szCs w:val="28"/>
        </w:rPr>
        <w:t>be deemed imperative</w:t>
      </w:r>
      <w:r>
        <w:rPr>
          <w:sz w:val="28"/>
          <w:szCs w:val="28"/>
        </w:rPr>
        <w:t xml:space="preserve"> </w:t>
      </w:r>
      <w:r w:rsidR="002F7FF2">
        <w:rPr>
          <w:sz w:val="28"/>
          <w:szCs w:val="28"/>
        </w:rPr>
        <w:t xml:space="preserve">to fulfilling </w:t>
      </w:r>
      <w:r w:rsidR="00D51F63">
        <w:rPr>
          <w:sz w:val="28"/>
          <w:szCs w:val="28"/>
        </w:rPr>
        <w:t xml:space="preserve">the </w:t>
      </w:r>
      <w:r>
        <w:rPr>
          <w:sz w:val="28"/>
          <w:szCs w:val="28"/>
        </w:rPr>
        <w:t>enumerated regulatory and disciplinary functions</w:t>
      </w:r>
      <w:r w:rsidR="008514AE">
        <w:rPr>
          <w:sz w:val="28"/>
          <w:szCs w:val="28"/>
        </w:rPr>
        <w:t xml:space="preserve"> </w:t>
      </w:r>
      <w:r w:rsidR="00D51F63">
        <w:rPr>
          <w:sz w:val="28"/>
          <w:szCs w:val="28"/>
        </w:rPr>
        <w:t>needed to</w:t>
      </w:r>
      <w:r w:rsidR="002F7FF2">
        <w:rPr>
          <w:sz w:val="28"/>
          <w:szCs w:val="28"/>
        </w:rPr>
        <w:t xml:space="preserve"> protect the public. </w:t>
      </w:r>
    </w:p>
    <w:p w:rsidR="008514AE" w:rsidRPr="009F1AE5" w:rsidRDefault="00D51F63" w:rsidP="00CA2F41">
      <w:pPr>
        <w:pStyle w:val="Body"/>
        <w:widowControl w:val="0"/>
        <w:spacing w:line="480" w:lineRule="auto"/>
        <w:ind w:firstLine="720"/>
        <w:jc w:val="both"/>
        <w:rPr>
          <w:sz w:val="28"/>
          <w:szCs w:val="28"/>
        </w:rPr>
      </w:pPr>
      <w:r>
        <w:rPr>
          <w:sz w:val="28"/>
          <w:szCs w:val="28"/>
        </w:rPr>
        <w:t>But to suit its</w:t>
      </w:r>
      <w:r w:rsidR="002F7FF2" w:rsidRPr="001365FF">
        <w:rPr>
          <w:sz w:val="28"/>
          <w:szCs w:val="28"/>
        </w:rPr>
        <w:t xml:space="preserve"> ends, the SBA has histo</w:t>
      </w:r>
      <w:r w:rsidR="001365FF">
        <w:rPr>
          <w:sz w:val="28"/>
          <w:szCs w:val="28"/>
        </w:rPr>
        <w:t>rically taken</w:t>
      </w:r>
      <w:r>
        <w:rPr>
          <w:sz w:val="28"/>
          <w:szCs w:val="28"/>
        </w:rPr>
        <w:t xml:space="preserve"> an</w:t>
      </w:r>
      <w:r w:rsidR="009F1AE5">
        <w:rPr>
          <w:sz w:val="28"/>
          <w:szCs w:val="28"/>
        </w:rPr>
        <w:t xml:space="preserve"> </w:t>
      </w:r>
      <w:r w:rsidR="002F7FF2" w:rsidRPr="001365FF">
        <w:rPr>
          <w:sz w:val="28"/>
          <w:szCs w:val="28"/>
        </w:rPr>
        <w:t xml:space="preserve">expansive </w:t>
      </w:r>
      <w:r w:rsidR="001365FF">
        <w:rPr>
          <w:sz w:val="28"/>
          <w:szCs w:val="28"/>
        </w:rPr>
        <w:t xml:space="preserve">interpretation </w:t>
      </w:r>
      <w:r w:rsidR="001365FF" w:rsidRPr="001365FF">
        <w:rPr>
          <w:sz w:val="28"/>
          <w:szCs w:val="28"/>
        </w:rPr>
        <w:t>of</w:t>
      </w:r>
      <w:r w:rsidR="009F1AE5">
        <w:rPr>
          <w:sz w:val="28"/>
          <w:szCs w:val="28"/>
        </w:rPr>
        <w:t xml:space="preserve"> </w:t>
      </w:r>
      <w:r>
        <w:rPr>
          <w:sz w:val="28"/>
          <w:szCs w:val="28"/>
        </w:rPr>
        <w:t>the permissible uses</w:t>
      </w:r>
      <w:r w:rsidR="00344D2F">
        <w:rPr>
          <w:sz w:val="28"/>
          <w:szCs w:val="28"/>
        </w:rPr>
        <w:t xml:space="preserve"> for</w:t>
      </w:r>
      <w:r w:rsidR="001365FF">
        <w:rPr>
          <w:sz w:val="28"/>
          <w:szCs w:val="28"/>
        </w:rPr>
        <w:t xml:space="preserve"> </w:t>
      </w:r>
      <w:r w:rsidR="009F1AE5">
        <w:rPr>
          <w:sz w:val="28"/>
          <w:szCs w:val="28"/>
        </w:rPr>
        <w:t xml:space="preserve">its </w:t>
      </w:r>
      <w:r w:rsidR="001365FF">
        <w:rPr>
          <w:sz w:val="28"/>
          <w:szCs w:val="28"/>
        </w:rPr>
        <w:t>members’ dues</w:t>
      </w:r>
      <w:r w:rsidR="009F1AE5">
        <w:rPr>
          <w:sz w:val="28"/>
          <w:szCs w:val="28"/>
        </w:rPr>
        <w:t xml:space="preserve">. Under </w:t>
      </w:r>
      <w:r w:rsidR="009F1AE5" w:rsidRPr="009F1AE5">
        <w:rPr>
          <w:i/>
          <w:sz w:val="28"/>
          <w:szCs w:val="28"/>
        </w:rPr>
        <w:t>Keller</w:t>
      </w:r>
      <w:r w:rsidR="009F1AE5">
        <w:rPr>
          <w:sz w:val="28"/>
          <w:szCs w:val="28"/>
        </w:rPr>
        <w:t>, a</w:t>
      </w:r>
      <w:r w:rsidR="009F1AE5" w:rsidRPr="001365FF">
        <w:rPr>
          <w:sz w:val="28"/>
          <w:szCs w:val="28"/>
        </w:rPr>
        <w:t xml:space="preserve"> mandatory bar </w:t>
      </w:r>
      <w:r w:rsidR="009F1AE5" w:rsidRPr="001365FF">
        <w:rPr>
          <w:rStyle w:val="headertext"/>
          <w:sz w:val="28"/>
          <w:szCs w:val="28"/>
        </w:rPr>
        <w:t xml:space="preserve">may constitutionally fund activities germane to the goals of regulating the legal profession </w:t>
      </w:r>
      <w:r w:rsidR="009F1AE5">
        <w:rPr>
          <w:rStyle w:val="headertext"/>
          <w:sz w:val="28"/>
          <w:szCs w:val="28"/>
        </w:rPr>
        <w:t>or</w:t>
      </w:r>
      <w:r w:rsidR="009F1AE5" w:rsidRPr="001365FF">
        <w:rPr>
          <w:rStyle w:val="headertext"/>
          <w:sz w:val="28"/>
          <w:szCs w:val="28"/>
        </w:rPr>
        <w:t xml:space="preserve"> improving the quality of legal services out of the mandatory dues of all members. </w:t>
      </w:r>
      <w:r w:rsidR="009F1AE5">
        <w:rPr>
          <w:rStyle w:val="headertext"/>
          <w:sz w:val="28"/>
          <w:szCs w:val="28"/>
        </w:rPr>
        <w:t>M</w:t>
      </w:r>
      <w:r w:rsidR="009F1AE5">
        <w:rPr>
          <w:sz w:val="28"/>
          <w:szCs w:val="28"/>
        </w:rPr>
        <w:t xml:space="preserve">andatory </w:t>
      </w:r>
      <w:r w:rsidR="00344D2F">
        <w:rPr>
          <w:sz w:val="28"/>
          <w:szCs w:val="28"/>
        </w:rPr>
        <w:t>dues</w:t>
      </w:r>
      <w:r w:rsidR="009F1AE5">
        <w:rPr>
          <w:sz w:val="28"/>
          <w:szCs w:val="28"/>
        </w:rPr>
        <w:t xml:space="preserve">, as the Court said, “may not, however, </w:t>
      </w:r>
      <w:r w:rsidR="001365FF" w:rsidRPr="001365FF">
        <w:rPr>
          <w:rStyle w:val="Emphasis"/>
          <w:i w:val="0"/>
          <w:sz w:val="28"/>
          <w:szCs w:val="28"/>
        </w:rPr>
        <w:t>in such manner fund activities of an ideological nature which fall outside of those areas of activity.”</w:t>
      </w:r>
      <w:r w:rsidR="008514AE" w:rsidRPr="001365FF">
        <w:rPr>
          <w:i/>
          <w:sz w:val="28"/>
          <w:szCs w:val="28"/>
        </w:rPr>
        <w:t xml:space="preserve"> </w:t>
      </w:r>
    </w:p>
    <w:p w:rsidR="001365FF" w:rsidRPr="009502C2" w:rsidRDefault="009F1AE5" w:rsidP="009F1AE5">
      <w:pPr>
        <w:pStyle w:val="NormalWeb"/>
        <w:spacing w:line="480" w:lineRule="auto"/>
        <w:ind w:firstLine="720"/>
        <w:rPr>
          <w:sz w:val="28"/>
          <w:szCs w:val="28"/>
        </w:rPr>
      </w:pPr>
      <w:r w:rsidRPr="009502C2">
        <w:rPr>
          <w:sz w:val="28"/>
          <w:szCs w:val="28"/>
        </w:rPr>
        <w:t>When members object</w:t>
      </w:r>
      <w:r w:rsidR="00D51F63">
        <w:rPr>
          <w:sz w:val="28"/>
          <w:szCs w:val="28"/>
        </w:rPr>
        <w:t>, for instance,</w:t>
      </w:r>
      <w:r w:rsidRPr="009502C2">
        <w:rPr>
          <w:sz w:val="28"/>
          <w:szCs w:val="28"/>
        </w:rPr>
        <w:t xml:space="preserve"> to its lobbying activities, the SBA</w:t>
      </w:r>
      <w:r w:rsidR="001365FF" w:rsidRPr="009502C2">
        <w:rPr>
          <w:sz w:val="28"/>
          <w:szCs w:val="28"/>
        </w:rPr>
        <w:t xml:space="preserve"> relies on a key talking point. </w:t>
      </w:r>
      <w:r w:rsidRPr="009502C2">
        <w:rPr>
          <w:sz w:val="28"/>
          <w:szCs w:val="28"/>
        </w:rPr>
        <w:t>It asserts it i</w:t>
      </w:r>
      <w:r w:rsidR="001365FF" w:rsidRPr="009502C2">
        <w:rPr>
          <w:sz w:val="28"/>
          <w:szCs w:val="28"/>
        </w:rPr>
        <w:t xml:space="preserve">s </w:t>
      </w:r>
      <w:r w:rsidR="001365FF" w:rsidRPr="009502C2">
        <w:rPr>
          <w:rStyle w:val="Emphasis"/>
          <w:bCs/>
          <w:i w:val="0"/>
          <w:sz w:val="28"/>
          <w:szCs w:val="28"/>
        </w:rPr>
        <w:t>“</w:t>
      </w:r>
      <w:r w:rsidR="001365FF" w:rsidRPr="009502C2">
        <w:rPr>
          <w:rStyle w:val="Emphasis"/>
          <w:bCs/>
          <w:sz w:val="28"/>
          <w:szCs w:val="28"/>
        </w:rPr>
        <w:t>Keller</w:t>
      </w:r>
      <w:r w:rsidR="001365FF" w:rsidRPr="009502C2">
        <w:rPr>
          <w:rStyle w:val="Emphasis"/>
          <w:bCs/>
          <w:i w:val="0"/>
          <w:sz w:val="28"/>
          <w:szCs w:val="28"/>
        </w:rPr>
        <w:t>-pure.”</w:t>
      </w:r>
      <w:r w:rsidR="001365FF" w:rsidRPr="009502C2">
        <w:rPr>
          <w:rStyle w:val="Strong"/>
          <w:sz w:val="28"/>
          <w:szCs w:val="28"/>
        </w:rPr>
        <w:t xml:space="preserve"> </w:t>
      </w:r>
      <w:r w:rsidR="001365FF" w:rsidRPr="009502C2">
        <w:rPr>
          <w:sz w:val="28"/>
          <w:szCs w:val="28"/>
        </w:rPr>
        <w:t>But it’s only under</w:t>
      </w:r>
      <w:r w:rsidR="00610779">
        <w:rPr>
          <w:sz w:val="28"/>
          <w:szCs w:val="28"/>
        </w:rPr>
        <w:t xml:space="preserve"> a tortured enlargement of the </w:t>
      </w:r>
      <w:r w:rsidR="001365FF" w:rsidRPr="009502C2">
        <w:rPr>
          <w:rStyle w:val="Emphasis"/>
          <w:sz w:val="28"/>
          <w:szCs w:val="28"/>
        </w:rPr>
        <w:t>Keller</w:t>
      </w:r>
      <w:r w:rsidR="001365FF" w:rsidRPr="009502C2">
        <w:rPr>
          <w:sz w:val="28"/>
          <w:szCs w:val="28"/>
        </w:rPr>
        <w:t xml:space="preserve"> criteria and </w:t>
      </w:r>
      <w:r w:rsidR="00610779">
        <w:rPr>
          <w:sz w:val="28"/>
          <w:szCs w:val="28"/>
        </w:rPr>
        <w:t>the</w:t>
      </w:r>
      <w:r w:rsidR="001365FF" w:rsidRPr="009502C2">
        <w:rPr>
          <w:sz w:val="28"/>
          <w:szCs w:val="28"/>
        </w:rPr>
        <w:t xml:space="preserve"> </w:t>
      </w:r>
      <w:r w:rsidRPr="009502C2">
        <w:rPr>
          <w:sz w:val="28"/>
          <w:szCs w:val="28"/>
        </w:rPr>
        <w:t>broad</w:t>
      </w:r>
      <w:r w:rsidR="001365FF" w:rsidRPr="009502C2">
        <w:rPr>
          <w:sz w:val="28"/>
          <w:szCs w:val="28"/>
        </w:rPr>
        <w:t xml:space="preserve"> interpretation under Article XIII of the S</w:t>
      </w:r>
      <w:r w:rsidRPr="009502C2">
        <w:rPr>
          <w:sz w:val="28"/>
          <w:szCs w:val="28"/>
        </w:rPr>
        <w:t>BA</w:t>
      </w:r>
      <w:r w:rsidR="00D51F63">
        <w:rPr>
          <w:sz w:val="28"/>
          <w:szCs w:val="28"/>
        </w:rPr>
        <w:t>’s bylaws that such dubious</w:t>
      </w:r>
      <w:r w:rsidRPr="009502C2">
        <w:rPr>
          <w:sz w:val="28"/>
          <w:szCs w:val="28"/>
        </w:rPr>
        <w:t xml:space="preserve"> assertions</w:t>
      </w:r>
      <w:r w:rsidR="00D51F63">
        <w:rPr>
          <w:sz w:val="28"/>
          <w:szCs w:val="28"/>
        </w:rPr>
        <w:t xml:space="preserve"> are </w:t>
      </w:r>
      <w:r w:rsidR="001365FF" w:rsidRPr="009502C2">
        <w:rPr>
          <w:sz w:val="28"/>
          <w:szCs w:val="28"/>
        </w:rPr>
        <w:t xml:space="preserve">maintained. Article XIII outlines the Bar’s </w:t>
      </w:r>
      <w:r w:rsidR="001365FF" w:rsidRPr="009502C2">
        <w:rPr>
          <w:rStyle w:val="Emphasis"/>
          <w:sz w:val="28"/>
          <w:szCs w:val="28"/>
        </w:rPr>
        <w:t>“Keller</w:t>
      </w:r>
      <w:r w:rsidR="001365FF" w:rsidRPr="009502C2">
        <w:rPr>
          <w:rStyle w:val="Emphasis"/>
          <w:i w:val="0"/>
          <w:sz w:val="28"/>
          <w:szCs w:val="28"/>
        </w:rPr>
        <w:t>-pure</w:t>
      </w:r>
      <w:r w:rsidR="001365FF" w:rsidRPr="009502C2">
        <w:rPr>
          <w:rStyle w:val="Emphasis"/>
          <w:sz w:val="28"/>
          <w:szCs w:val="28"/>
        </w:rPr>
        <w:t>”</w:t>
      </w:r>
      <w:r w:rsidR="001365FF" w:rsidRPr="009502C2">
        <w:rPr>
          <w:sz w:val="28"/>
          <w:szCs w:val="28"/>
        </w:rPr>
        <w:t xml:space="preserve"> policy. Section 13.01 provides that the S</w:t>
      </w:r>
      <w:r w:rsidRPr="009502C2">
        <w:rPr>
          <w:sz w:val="28"/>
          <w:szCs w:val="28"/>
        </w:rPr>
        <w:t>BA</w:t>
      </w:r>
      <w:r w:rsidR="001365FF" w:rsidRPr="009502C2">
        <w:rPr>
          <w:sz w:val="28"/>
          <w:szCs w:val="28"/>
        </w:rPr>
        <w:t>:</w:t>
      </w:r>
    </w:p>
    <w:p w:rsidR="001365FF" w:rsidRPr="001365FF" w:rsidRDefault="001365FF" w:rsidP="001365FF">
      <w:pPr>
        <w:pStyle w:val="NormalWeb"/>
        <w:rPr>
          <w:sz w:val="28"/>
          <w:szCs w:val="28"/>
        </w:rPr>
      </w:pPr>
      <w:r w:rsidRPr="001365FF">
        <w:rPr>
          <w:rStyle w:val="Emphasis"/>
          <w:sz w:val="28"/>
          <w:szCs w:val="28"/>
        </w:rPr>
        <w:t>“Shall not, except as provided herein, use the dues of its members to fund activities of a political or ideological nature that are not reasonably related to:</w:t>
      </w:r>
    </w:p>
    <w:p w:rsidR="001365FF" w:rsidRPr="001365FF" w:rsidRDefault="001365FF" w:rsidP="001365FF">
      <w:pPr>
        <w:pStyle w:val="NormalWeb"/>
        <w:rPr>
          <w:sz w:val="28"/>
          <w:szCs w:val="28"/>
        </w:rPr>
      </w:pPr>
      <w:r w:rsidRPr="001365FF">
        <w:rPr>
          <w:rStyle w:val="Emphasis"/>
          <w:sz w:val="28"/>
          <w:szCs w:val="28"/>
        </w:rPr>
        <w:t>1. (A) The regulation and discipline of attorneys;</w:t>
      </w:r>
    </w:p>
    <w:p w:rsidR="001365FF" w:rsidRPr="001365FF" w:rsidRDefault="001365FF" w:rsidP="001365FF">
      <w:pPr>
        <w:pStyle w:val="NormalWeb"/>
        <w:rPr>
          <w:sz w:val="28"/>
          <w:szCs w:val="28"/>
        </w:rPr>
      </w:pPr>
      <w:r w:rsidRPr="001365FF">
        <w:rPr>
          <w:rStyle w:val="Emphasis"/>
          <w:sz w:val="28"/>
          <w:szCs w:val="28"/>
        </w:rPr>
        <w:t>2. (B) Matters relating to the improvement of the functioning of the justice system;</w:t>
      </w:r>
    </w:p>
    <w:p w:rsidR="001365FF" w:rsidRPr="001365FF" w:rsidRDefault="001365FF" w:rsidP="001365FF">
      <w:pPr>
        <w:pStyle w:val="NormalWeb"/>
        <w:rPr>
          <w:sz w:val="28"/>
          <w:szCs w:val="28"/>
        </w:rPr>
      </w:pPr>
      <w:r w:rsidRPr="001365FF">
        <w:rPr>
          <w:rStyle w:val="Emphasis"/>
          <w:sz w:val="28"/>
          <w:szCs w:val="28"/>
        </w:rPr>
        <w:lastRenderedPageBreak/>
        <w:t>3. (C) Increasing the availability of legal services to the public;</w:t>
      </w:r>
    </w:p>
    <w:p w:rsidR="001365FF" w:rsidRPr="001365FF" w:rsidRDefault="001365FF" w:rsidP="001365FF">
      <w:pPr>
        <w:pStyle w:val="NormalWeb"/>
        <w:rPr>
          <w:sz w:val="28"/>
          <w:szCs w:val="28"/>
        </w:rPr>
      </w:pPr>
      <w:r w:rsidRPr="001365FF">
        <w:rPr>
          <w:rStyle w:val="Emphasis"/>
          <w:sz w:val="28"/>
          <w:szCs w:val="28"/>
        </w:rPr>
        <w:t>4. (D) Regulation of attorney trust accounts;</w:t>
      </w:r>
    </w:p>
    <w:p w:rsidR="001365FF" w:rsidRPr="001365FF" w:rsidRDefault="001365FF" w:rsidP="001365FF">
      <w:pPr>
        <w:pStyle w:val="NormalWeb"/>
        <w:rPr>
          <w:sz w:val="28"/>
          <w:szCs w:val="28"/>
        </w:rPr>
      </w:pPr>
      <w:r w:rsidRPr="001365FF">
        <w:rPr>
          <w:rStyle w:val="Emphasis"/>
          <w:sz w:val="28"/>
          <w:szCs w:val="28"/>
        </w:rPr>
        <w:t>5. (E) The education, ethics, competence, integrity and regulation of the legal profession; and</w:t>
      </w:r>
    </w:p>
    <w:p w:rsidR="001365FF" w:rsidRPr="001365FF" w:rsidRDefault="001365FF" w:rsidP="001365FF">
      <w:pPr>
        <w:pStyle w:val="NormalWeb"/>
        <w:rPr>
          <w:sz w:val="28"/>
          <w:szCs w:val="28"/>
        </w:rPr>
      </w:pPr>
      <w:r w:rsidRPr="001365FF">
        <w:rPr>
          <w:rStyle w:val="Emphasis"/>
          <w:sz w:val="28"/>
          <w:szCs w:val="28"/>
        </w:rPr>
        <w:t>6. (F) Any other activity authorized by law.”</w:t>
      </w:r>
    </w:p>
    <w:p w:rsidR="008514AE" w:rsidRPr="007A5949" w:rsidRDefault="008514AE" w:rsidP="00D51F63">
      <w:pPr>
        <w:pStyle w:val="Body"/>
        <w:widowControl w:val="0"/>
        <w:spacing w:line="480" w:lineRule="auto"/>
        <w:ind w:firstLine="0"/>
        <w:rPr>
          <w:sz w:val="28"/>
          <w:szCs w:val="28"/>
        </w:rPr>
      </w:pPr>
      <w:r>
        <w:rPr>
          <w:sz w:val="28"/>
          <w:szCs w:val="28"/>
        </w:rPr>
        <w:tab/>
      </w:r>
      <w:r w:rsidR="00610779">
        <w:rPr>
          <w:sz w:val="28"/>
          <w:szCs w:val="28"/>
        </w:rPr>
        <w:t xml:space="preserve">The </w:t>
      </w:r>
      <w:r w:rsidR="00B820DC">
        <w:rPr>
          <w:sz w:val="28"/>
          <w:szCs w:val="28"/>
        </w:rPr>
        <w:t>criteria</w:t>
      </w:r>
      <w:r w:rsidR="0018605A">
        <w:rPr>
          <w:sz w:val="28"/>
          <w:szCs w:val="28"/>
        </w:rPr>
        <w:t>, however,</w:t>
      </w:r>
      <w:r w:rsidR="00B820DC">
        <w:rPr>
          <w:sz w:val="28"/>
          <w:szCs w:val="28"/>
        </w:rPr>
        <w:t xml:space="preserve"> are</w:t>
      </w:r>
      <w:r w:rsidR="00610779">
        <w:rPr>
          <w:sz w:val="28"/>
          <w:szCs w:val="28"/>
        </w:rPr>
        <w:t xml:space="preserve"> so </w:t>
      </w:r>
      <w:r w:rsidR="00FD08D1">
        <w:rPr>
          <w:sz w:val="28"/>
          <w:szCs w:val="28"/>
        </w:rPr>
        <w:t xml:space="preserve">vague and </w:t>
      </w:r>
      <w:r w:rsidR="00610779">
        <w:rPr>
          <w:sz w:val="28"/>
          <w:szCs w:val="28"/>
        </w:rPr>
        <w:t xml:space="preserve">overbroad that the final </w:t>
      </w:r>
      <w:r w:rsidR="00FD08D1">
        <w:rPr>
          <w:sz w:val="28"/>
          <w:szCs w:val="28"/>
        </w:rPr>
        <w:t>‘</w:t>
      </w:r>
      <w:r w:rsidR="00BB01BE">
        <w:rPr>
          <w:sz w:val="28"/>
          <w:szCs w:val="28"/>
        </w:rPr>
        <w:t>catch-all</w:t>
      </w:r>
      <w:r w:rsidR="00FD08D1">
        <w:rPr>
          <w:sz w:val="28"/>
          <w:szCs w:val="28"/>
        </w:rPr>
        <w:t>,</w:t>
      </w:r>
      <w:r w:rsidR="00BB01BE">
        <w:rPr>
          <w:sz w:val="28"/>
          <w:szCs w:val="28"/>
        </w:rPr>
        <w:t>’ “any other activity authorized by law</w:t>
      </w:r>
      <w:r w:rsidR="00FD08D1">
        <w:rPr>
          <w:sz w:val="28"/>
          <w:szCs w:val="28"/>
        </w:rPr>
        <w:t>,</w:t>
      </w:r>
      <w:r w:rsidR="00BB01BE">
        <w:rPr>
          <w:sz w:val="28"/>
          <w:szCs w:val="28"/>
        </w:rPr>
        <w:t xml:space="preserve">” </w:t>
      </w:r>
      <w:r w:rsidR="00FD08D1">
        <w:rPr>
          <w:sz w:val="28"/>
          <w:szCs w:val="28"/>
        </w:rPr>
        <w:t>appears superfluous</w:t>
      </w:r>
      <w:r w:rsidR="00BB01BE">
        <w:rPr>
          <w:sz w:val="28"/>
          <w:szCs w:val="28"/>
        </w:rPr>
        <w:t xml:space="preserve">. </w:t>
      </w:r>
      <w:r>
        <w:rPr>
          <w:sz w:val="28"/>
          <w:szCs w:val="28"/>
        </w:rPr>
        <w:t xml:space="preserve"> </w:t>
      </w:r>
    </w:p>
    <w:p w:rsidR="007A6F3B" w:rsidRDefault="007A6F3B" w:rsidP="00570876">
      <w:pPr>
        <w:pStyle w:val="Body"/>
        <w:widowControl w:val="0"/>
        <w:numPr>
          <w:ilvl w:val="0"/>
          <w:numId w:val="15"/>
        </w:numPr>
        <w:spacing w:line="240" w:lineRule="auto"/>
        <w:jc w:val="both"/>
        <w:rPr>
          <w:b/>
          <w:sz w:val="28"/>
          <w:szCs w:val="28"/>
        </w:rPr>
      </w:pPr>
      <w:r>
        <w:rPr>
          <w:b/>
          <w:sz w:val="28"/>
          <w:szCs w:val="28"/>
        </w:rPr>
        <w:t>Proposed bifurcation</w:t>
      </w:r>
      <w:r w:rsidR="00BA3773">
        <w:rPr>
          <w:b/>
          <w:sz w:val="28"/>
          <w:szCs w:val="28"/>
        </w:rPr>
        <w:t xml:space="preserve"> assures greater transparency concerning the </w:t>
      </w:r>
      <w:r>
        <w:rPr>
          <w:b/>
          <w:sz w:val="28"/>
          <w:szCs w:val="28"/>
        </w:rPr>
        <w:t>spending</w:t>
      </w:r>
      <w:r w:rsidR="00BA3773">
        <w:rPr>
          <w:b/>
          <w:sz w:val="28"/>
          <w:szCs w:val="28"/>
        </w:rPr>
        <w:t xml:space="preserve"> of mandatory member </w:t>
      </w:r>
      <w:r w:rsidR="00B820DC">
        <w:rPr>
          <w:b/>
          <w:sz w:val="28"/>
          <w:szCs w:val="28"/>
        </w:rPr>
        <w:t>asses</w:t>
      </w:r>
      <w:r w:rsidR="00BA3773">
        <w:rPr>
          <w:b/>
          <w:sz w:val="28"/>
          <w:szCs w:val="28"/>
        </w:rPr>
        <w:t>s</w:t>
      </w:r>
      <w:r w:rsidR="00B820DC">
        <w:rPr>
          <w:b/>
          <w:sz w:val="28"/>
          <w:szCs w:val="28"/>
        </w:rPr>
        <w:t>ments</w:t>
      </w:r>
      <w:r w:rsidR="00BA3773">
        <w:rPr>
          <w:b/>
          <w:sz w:val="28"/>
          <w:szCs w:val="28"/>
        </w:rPr>
        <w:t xml:space="preserve"> than under the SBA’s new public records policy. </w:t>
      </w:r>
    </w:p>
    <w:p w:rsidR="007A6F3B" w:rsidRDefault="007A6F3B" w:rsidP="007A6F3B">
      <w:pPr>
        <w:pStyle w:val="Body"/>
        <w:widowControl w:val="0"/>
        <w:spacing w:line="240" w:lineRule="auto"/>
        <w:ind w:left="720" w:firstLine="0"/>
        <w:jc w:val="both"/>
        <w:rPr>
          <w:b/>
          <w:sz w:val="28"/>
          <w:szCs w:val="28"/>
        </w:rPr>
      </w:pPr>
    </w:p>
    <w:p w:rsidR="006F673F" w:rsidRDefault="007A6F3B" w:rsidP="00D51F63">
      <w:pPr>
        <w:pStyle w:val="Body"/>
        <w:widowControl w:val="0"/>
        <w:spacing w:line="480" w:lineRule="auto"/>
        <w:rPr>
          <w:sz w:val="28"/>
          <w:szCs w:val="28"/>
        </w:rPr>
      </w:pPr>
      <w:r>
        <w:rPr>
          <w:sz w:val="28"/>
          <w:szCs w:val="28"/>
        </w:rPr>
        <w:t>In the past, th</w:t>
      </w:r>
      <w:r w:rsidR="00D51F63">
        <w:rPr>
          <w:sz w:val="28"/>
          <w:szCs w:val="28"/>
        </w:rPr>
        <w:t>e SBA asserted its</w:t>
      </w:r>
      <w:r>
        <w:rPr>
          <w:sz w:val="28"/>
          <w:szCs w:val="28"/>
        </w:rPr>
        <w:t xml:space="preserve"> tax exempt</w:t>
      </w:r>
      <w:r w:rsidR="00D51F63">
        <w:rPr>
          <w:sz w:val="28"/>
          <w:szCs w:val="28"/>
        </w:rPr>
        <w:t xml:space="preserve"> private non-profit status as its </w:t>
      </w:r>
      <w:r>
        <w:rPr>
          <w:sz w:val="28"/>
          <w:szCs w:val="28"/>
        </w:rPr>
        <w:t xml:space="preserve">basis for noncompliance with Arizona Public Records Law (APRL). Since then, the </w:t>
      </w:r>
      <w:r w:rsidR="00C827F4">
        <w:rPr>
          <w:sz w:val="28"/>
          <w:szCs w:val="28"/>
        </w:rPr>
        <w:t>SBA</w:t>
      </w:r>
      <w:r>
        <w:rPr>
          <w:sz w:val="28"/>
          <w:szCs w:val="28"/>
        </w:rPr>
        <w:t xml:space="preserve"> has touted </w:t>
      </w:r>
      <w:r w:rsidR="006F673F">
        <w:rPr>
          <w:sz w:val="28"/>
          <w:szCs w:val="28"/>
        </w:rPr>
        <w:t>a</w:t>
      </w:r>
      <w:r>
        <w:rPr>
          <w:sz w:val="28"/>
          <w:szCs w:val="28"/>
        </w:rPr>
        <w:t xml:space="preserve"> new public records policy</w:t>
      </w:r>
      <w:r w:rsidR="00D51F63">
        <w:rPr>
          <w:sz w:val="28"/>
          <w:szCs w:val="28"/>
        </w:rPr>
        <w:t xml:space="preserve">. </w:t>
      </w:r>
      <w:r w:rsidR="009922F6">
        <w:rPr>
          <w:sz w:val="28"/>
          <w:szCs w:val="28"/>
        </w:rPr>
        <w:t>D</w:t>
      </w:r>
      <w:r>
        <w:rPr>
          <w:sz w:val="28"/>
          <w:szCs w:val="28"/>
        </w:rPr>
        <w:t>uring the last legislative term</w:t>
      </w:r>
      <w:r w:rsidR="00D51F63">
        <w:rPr>
          <w:sz w:val="28"/>
          <w:szCs w:val="28"/>
        </w:rPr>
        <w:t xml:space="preserve"> </w:t>
      </w:r>
      <w:r w:rsidR="00C827F4">
        <w:rPr>
          <w:sz w:val="28"/>
          <w:szCs w:val="28"/>
        </w:rPr>
        <w:t>SBA</w:t>
      </w:r>
      <w:r w:rsidR="00D51F63">
        <w:rPr>
          <w:sz w:val="28"/>
          <w:szCs w:val="28"/>
        </w:rPr>
        <w:t xml:space="preserve"> </w:t>
      </w:r>
      <w:r w:rsidR="006F673F">
        <w:rPr>
          <w:sz w:val="28"/>
          <w:szCs w:val="28"/>
        </w:rPr>
        <w:t>lobby</w:t>
      </w:r>
      <w:r w:rsidR="00D51F63">
        <w:rPr>
          <w:sz w:val="28"/>
          <w:szCs w:val="28"/>
        </w:rPr>
        <w:t>ists circulated</w:t>
      </w:r>
      <w:r>
        <w:rPr>
          <w:sz w:val="28"/>
          <w:szCs w:val="28"/>
        </w:rPr>
        <w:t xml:space="preserve"> </w:t>
      </w:r>
      <w:r w:rsidR="00D51F63">
        <w:rPr>
          <w:sz w:val="28"/>
          <w:szCs w:val="28"/>
        </w:rPr>
        <w:t xml:space="preserve">the SBA’s </w:t>
      </w:r>
      <w:r>
        <w:rPr>
          <w:sz w:val="28"/>
          <w:szCs w:val="28"/>
        </w:rPr>
        <w:t>“</w:t>
      </w:r>
      <w:r w:rsidR="001129E3">
        <w:rPr>
          <w:sz w:val="28"/>
          <w:szCs w:val="28"/>
        </w:rPr>
        <w:t xml:space="preserve">HB2119 </w:t>
      </w:r>
      <w:r>
        <w:rPr>
          <w:sz w:val="28"/>
          <w:szCs w:val="28"/>
        </w:rPr>
        <w:t xml:space="preserve">Fact Sheet” </w:t>
      </w:r>
      <w:r w:rsidR="00D51F63">
        <w:rPr>
          <w:sz w:val="28"/>
          <w:szCs w:val="28"/>
        </w:rPr>
        <w:t>declaring</w:t>
      </w:r>
      <w:r w:rsidR="006F673F">
        <w:rPr>
          <w:sz w:val="28"/>
          <w:szCs w:val="28"/>
        </w:rPr>
        <w:t xml:space="preserve"> “the sponsor doesn’t seem to understand that we are already subject to public records by court rule.” The </w:t>
      </w:r>
      <w:r w:rsidR="00C827F4">
        <w:rPr>
          <w:sz w:val="28"/>
          <w:szCs w:val="28"/>
        </w:rPr>
        <w:t>SBA</w:t>
      </w:r>
      <w:r w:rsidR="006F673F">
        <w:rPr>
          <w:sz w:val="28"/>
          <w:szCs w:val="28"/>
        </w:rPr>
        <w:t>’s public records policy is indeed a new development.</w:t>
      </w:r>
      <w:r w:rsidR="00C827F4">
        <w:rPr>
          <w:sz w:val="28"/>
          <w:szCs w:val="28"/>
        </w:rPr>
        <w:t xml:space="preserve"> However, </w:t>
      </w:r>
      <w:r w:rsidR="006F673F">
        <w:rPr>
          <w:sz w:val="28"/>
          <w:szCs w:val="28"/>
        </w:rPr>
        <w:t xml:space="preserve">it falls short of Arizona’s more robust APRL, as Exhibit </w:t>
      </w:r>
      <w:r w:rsidR="00325259">
        <w:rPr>
          <w:sz w:val="28"/>
          <w:szCs w:val="28"/>
        </w:rPr>
        <w:t>B</w:t>
      </w:r>
      <w:r w:rsidR="006F673F">
        <w:rPr>
          <w:sz w:val="28"/>
          <w:szCs w:val="28"/>
        </w:rPr>
        <w:t xml:space="preserve"> highlights.</w:t>
      </w:r>
      <w:r w:rsidR="00EA2566">
        <w:rPr>
          <w:sz w:val="28"/>
          <w:szCs w:val="28"/>
        </w:rPr>
        <w:t xml:space="preserve"> Most troubling, t</w:t>
      </w:r>
      <w:r w:rsidR="00C827F4">
        <w:rPr>
          <w:sz w:val="28"/>
          <w:szCs w:val="28"/>
        </w:rPr>
        <w:t xml:space="preserve">he SBA’s </w:t>
      </w:r>
      <w:r w:rsidR="00EA2566">
        <w:rPr>
          <w:sz w:val="28"/>
          <w:szCs w:val="28"/>
        </w:rPr>
        <w:t xml:space="preserve">records </w:t>
      </w:r>
      <w:r w:rsidR="00C827F4">
        <w:rPr>
          <w:sz w:val="28"/>
          <w:szCs w:val="28"/>
        </w:rPr>
        <w:t xml:space="preserve">policy </w:t>
      </w:r>
      <w:r w:rsidR="00EA2566">
        <w:rPr>
          <w:sz w:val="28"/>
          <w:szCs w:val="28"/>
        </w:rPr>
        <w:t>gives it the last</w:t>
      </w:r>
      <w:r w:rsidR="00C827F4">
        <w:rPr>
          <w:sz w:val="28"/>
          <w:szCs w:val="28"/>
        </w:rPr>
        <w:t xml:space="preserve"> word on any access denial</w:t>
      </w:r>
      <w:r w:rsidR="00EA2566">
        <w:rPr>
          <w:sz w:val="28"/>
          <w:szCs w:val="28"/>
        </w:rPr>
        <w:t xml:space="preserve"> appeal. T</w:t>
      </w:r>
      <w:r w:rsidR="00325259">
        <w:rPr>
          <w:sz w:val="28"/>
          <w:szCs w:val="28"/>
        </w:rPr>
        <w:t>he amount of sunshine the SBA is willing to tolerate</w:t>
      </w:r>
      <w:r w:rsidR="00EA2566">
        <w:rPr>
          <w:sz w:val="28"/>
          <w:szCs w:val="28"/>
        </w:rPr>
        <w:t xml:space="preserve"> therefore</w:t>
      </w:r>
      <w:r w:rsidR="00325259">
        <w:rPr>
          <w:sz w:val="28"/>
          <w:szCs w:val="28"/>
        </w:rPr>
        <w:t xml:space="preserve"> remains solely its own discretion.</w:t>
      </w:r>
    </w:p>
    <w:p w:rsidR="008514AE" w:rsidRDefault="006F673F" w:rsidP="003C4502">
      <w:pPr>
        <w:pStyle w:val="Body"/>
        <w:widowControl w:val="0"/>
        <w:spacing w:line="480" w:lineRule="auto"/>
        <w:ind w:firstLine="0"/>
        <w:jc w:val="both"/>
        <w:rPr>
          <w:b/>
          <w:sz w:val="28"/>
          <w:szCs w:val="28"/>
        </w:rPr>
      </w:pPr>
      <w:r>
        <w:rPr>
          <w:sz w:val="28"/>
          <w:szCs w:val="28"/>
        </w:rPr>
        <w:tab/>
      </w:r>
      <w:r w:rsidR="001129E3">
        <w:rPr>
          <w:sz w:val="28"/>
          <w:szCs w:val="28"/>
        </w:rPr>
        <w:t>By explicitly requiring expense itemization, the</w:t>
      </w:r>
      <w:r>
        <w:rPr>
          <w:sz w:val="28"/>
          <w:szCs w:val="28"/>
        </w:rPr>
        <w:t xml:space="preserve"> Petition</w:t>
      </w:r>
      <w:r w:rsidR="001129E3">
        <w:rPr>
          <w:sz w:val="28"/>
          <w:szCs w:val="28"/>
        </w:rPr>
        <w:t xml:space="preserve"> assures a better </w:t>
      </w:r>
      <w:r w:rsidR="001129E3">
        <w:rPr>
          <w:sz w:val="28"/>
          <w:szCs w:val="28"/>
        </w:rPr>
        <w:lastRenderedPageBreak/>
        <w:t>mechanism t</w:t>
      </w:r>
      <w:r w:rsidR="009922F6">
        <w:rPr>
          <w:sz w:val="28"/>
          <w:szCs w:val="28"/>
        </w:rPr>
        <w:t>han the Bar’s new open records p</w:t>
      </w:r>
      <w:r w:rsidR="001129E3">
        <w:rPr>
          <w:sz w:val="28"/>
          <w:szCs w:val="28"/>
        </w:rPr>
        <w:t>o</w:t>
      </w:r>
      <w:r w:rsidR="009922F6">
        <w:rPr>
          <w:sz w:val="28"/>
          <w:szCs w:val="28"/>
        </w:rPr>
        <w:t>licy to</w:t>
      </w:r>
      <w:r w:rsidR="001129E3">
        <w:rPr>
          <w:sz w:val="28"/>
          <w:szCs w:val="28"/>
        </w:rPr>
        <w:t xml:space="preserve"> </w:t>
      </w:r>
      <w:r w:rsidR="00DF063D">
        <w:rPr>
          <w:sz w:val="28"/>
          <w:szCs w:val="28"/>
        </w:rPr>
        <w:t>ensure</w:t>
      </w:r>
      <w:r w:rsidR="001129E3">
        <w:rPr>
          <w:sz w:val="28"/>
          <w:szCs w:val="28"/>
        </w:rPr>
        <w:t xml:space="preserve"> that members’ dues are used only for germane regulatory purposes.</w:t>
      </w:r>
      <w:r w:rsidR="009922F6">
        <w:rPr>
          <w:sz w:val="28"/>
          <w:szCs w:val="28"/>
        </w:rPr>
        <w:t xml:space="preserve"> The </w:t>
      </w:r>
      <w:r w:rsidR="00DF063D">
        <w:rPr>
          <w:sz w:val="28"/>
          <w:szCs w:val="28"/>
        </w:rPr>
        <w:t>SBA</w:t>
      </w:r>
      <w:r w:rsidR="009922F6">
        <w:rPr>
          <w:sz w:val="28"/>
          <w:szCs w:val="28"/>
        </w:rPr>
        <w:t>’s public records approach is</w:t>
      </w:r>
      <w:r w:rsidR="00DF063D">
        <w:rPr>
          <w:sz w:val="28"/>
          <w:szCs w:val="28"/>
        </w:rPr>
        <w:t>,</w:t>
      </w:r>
      <w:r w:rsidR="009922F6">
        <w:rPr>
          <w:sz w:val="28"/>
          <w:szCs w:val="28"/>
        </w:rPr>
        <w:t xml:space="preserve"> on the other hand</w:t>
      </w:r>
      <w:r w:rsidR="00DF063D">
        <w:rPr>
          <w:sz w:val="28"/>
          <w:szCs w:val="28"/>
        </w:rPr>
        <w:t>,</w:t>
      </w:r>
      <w:r w:rsidR="00D25F05">
        <w:rPr>
          <w:sz w:val="28"/>
          <w:szCs w:val="28"/>
        </w:rPr>
        <w:t xml:space="preserve"> replete with exemptions. </w:t>
      </w:r>
      <w:r w:rsidR="00DF063D">
        <w:rPr>
          <w:sz w:val="28"/>
          <w:szCs w:val="28"/>
        </w:rPr>
        <w:t>C</w:t>
      </w:r>
      <w:r w:rsidR="009922F6">
        <w:rPr>
          <w:sz w:val="28"/>
          <w:szCs w:val="28"/>
        </w:rPr>
        <w:t>onversely, what the Petition makes clear is that w</w:t>
      </w:r>
      <w:r w:rsidR="001129E3">
        <w:rPr>
          <w:sz w:val="28"/>
          <w:szCs w:val="28"/>
        </w:rPr>
        <w:t xml:space="preserve">hen spending </w:t>
      </w:r>
      <w:r w:rsidR="00D25F05">
        <w:rPr>
          <w:sz w:val="28"/>
          <w:szCs w:val="28"/>
        </w:rPr>
        <w:t xml:space="preserve">other people’s </w:t>
      </w:r>
      <w:r w:rsidR="001129E3">
        <w:rPr>
          <w:sz w:val="28"/>
          <w:szCs w:val="28"/>
        </w:rPr>
        <w:t xml:space="preserve">mandatory </w:t>
      </w:r>
      <w:r w:rsidR="00DF063D">
        <w:rPr>
          <w:sz w:val="28"/>
          <w:szCs w:val="28"/>
        </w:rPr>
        <w:t>dues</w:t>
      </w:r>
      <w:r w:rsidR="009922F6">
        <w:rPr>
          <w:sz w:val="28"/>
          <w:szCs w:val="28"/>
        </w:rPr>
        <w:t>, the bottom line especially</w:t>
      </w:r>
      <w:r w:rsidR="00D25F05">
        <w:rPr>
          <w:sz w:val="28"/>
          <w:szCs w:val="28"/>
        </w:rPr>
        <w:t xml:space="preserve"> </w:t>
      </w:r>
      <w:r w:rsidR="00847624">
        <w:rPr>
          <w:sz w:val="28"/>
          <w:szCs w:val="28"/>
        </w:rPr>
        <w:t xml:space="preserve">after </w:t>
      </w:r>
      <w:r w:rsidR="00847624" w:rsidRPr="00847624">
        <w:rPr>
          <w:i/>
          <w:sz w:val="28"/>
          <w:szCs w:val="28"/>
        </w:rPr>
        <w:t>Janus</w:t>
      </w:r>
      <w:r w:rsidR="00847624">
        <w:rPr>
          <w:sz w:val="28"/>
          <w:szCs w:val="28"/>
        </w:rPr>
        <w:t xml:space="preserve">, </w:t>
      </w:r>
      <w:r w:rsidR="009922F6">
        <w:rPr>
          <w:sz w:val="28"/>
          <w:szCs w:val="28"/>
        </w:rPr>
        <w:t xml:space="preserve">is </w:t>
      </w:r>
      <w:r w:rsidR="00847624">
        <w:rPr>
          <w:sz w:val="28"/>
          <w:szCs w:val="28"/>
        </w:rPr>
        <w:t>the SBA must comply with the First Amendment.</w:t>
      </w:r>
      <w:r w:rsidR="008514AE">
        <w:rPr>
          <w:b/>
          <w:sz w:val="28"/>
          <w:szCs w:val="28"/>
        </w:rPr>
        <w:t xml:space="preserve">  </w:t>
      </w:r>
    </w:p>
    <w:p w:rsidR="008514AE" w:rsidRPr="000325E1" w:rsidRDefault="008514AE" w:rsidP="008514AE">
      <w:pPr>
        <w:pStyle w:val="Body"/>
        <w:widowControl w:val="0"/>
        <w:spacing w:line="480" w:lineRule="auto"/>
        <w:ind w:firstLine="0"/>
        <w:jc w:val="center"/>
        <w:rPr>
          <w:b/>
          <w:sz w:val="28"/>
          <w:szCs w:val="28"/>
        </w:rPr>
      </w:pPr>
      <w:r w:rsidRPr="006F63FD">
        <w:rPr>
          <w:rStyle w:val="BodyTextChar"/>
          <w:b/>
          <w:sz w:val="28"/>
          <w:szCs w:val="28"/>
        </w:rPr>
        <w:t>CONCLUSIO</w:t>
      </w:r>
      <w:r>
        <w:rPr>
          <w:rStyle w:val="BodyTextChar"/>
          <w:b/>
          <w:sz w:val="28"/>
          <w:szCs w:val="28"/>
        </w:rPr>
        <w:t>N</w:t>
      </w:r>
      <w:r>
        <w:rPr>
          <w:sz w:val="28"/>
          <w:szCs w:val="28"/>
        </w:rPr>
        <w:t xml:space="preserve"> </w:t>
      </w:r>
    </w:p>
    <w:p w:rsidR="008514AE" w:rsidRPr="006F63FD" w:rsidRDefault="008514AE" w:rsidP="008514AE">
      <w:pPr>
        <w:pStyle w:val="Body"/>
        <w:widowControl w:val="0"/>
        <w:tabs>
          <w:tab w:val="left" w:pos="720"/>
        </w:tabs>
        <w:spacing w:line="480" w:lineRule="auto"/>
        <w:ind w:firstLine="0"/>
        <w:jc w:val="both"/>
        <w:rPr>
          <w:spacing w:val="-3"/>
          <w:sz w:val="28"/>
          <w:szCs w:val="28"/>
        </w:rPr>
      </w:pPr>
      <w:r>
        <w:rPr>
          <w:sz w:val="28"/>
          <w:szCs w:val="28"/>
        </w:rPr>
        <w:tab/>
      </w:r>
      <w:r w:rsidR="009922F6">
        <w:rPr>
          <w:sz w:val="28"/>
          <w:szCs w:val="28"/>
        </w:rPr>
        <w:t>For the reasons stated herein, t</w:t>
      </w:r>
      <w:r>
        <w:rPr>
          <w:sz w:val="28"/>
          <w:szCs w:val="28"/>
        </w:rPr>
        <w:t xml:space="preserve">he </w:t>
      </w:r>
      <w:r w:rsidR="0006741A">
        <w:rPr>
          <w:sz w:val="28"/>
          <w:szCs w:val="28"/>
        </w:rPr>
        <w:t xml:space="preserve">undersigned </w:t>
      </w:r>
      <w:r>
        <w:rPr>
          <w:sz w:val="28"/>
          <w:szCs w:val="28"/>
        </w:rPr>
        <w:t xml:space="preserve">agrees with Petitioner’s recommendation </w:t>
      </w:r>
      <w:r w:rsidR="0006741A">
        <w:rPr>
          <w:sz w:val="28"/>
          <w:szCs w:val="28"/>
        </w:rPr>
        <w:t xml:space="preserve">and urges the Court to approve </w:t>
      </w:r>
      <w:r>
        <w:rPr>
          <w:sz w:val="28"/>
          <w:szCs w:val="28"/>
        </w:rPr>
        <w:t xml:space="preserve">the </w:t>
      </w:r>
      <w:r w:rsidR="00DF063D">
        <w:rPr>
          <w:sz w:val="28"/>
          <w:szCs w:val="28"/>
        </w:rPr>
        <w:t>Rule 32 amendments</w:t>
      </w:r>
      <w:r>
        <w:rPr>
          <w:sz w:val="28"/>
          <w:szCs w:val="28"/>
        </w:rPr>
        <w:t xml:space="preserve">. </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336DAE">
        <w:rPr>
          <w:sz w:val="28"/>
          <w:szCs w:val="28"/>
        </w:rPr>
        <w:t>RESPECTFULLY SUBMITTED this 29</w:t>
      </w:r>
      <w:r w:rsidR="00336DAE" w:rsidRPr="00336DAE">
        <w:rPr>
          <w:sz w:val="28"/>
          <w:szCs w:val="28"/>
          <w:vertAlign w:val="superscript"/>
        </w:rPr>
        <w:t>th</w:t>
      </w:r>
      <w:r w:rsidR="00336DAE">
        <w:rPr>
          <w:sz w:val="28"/>
          <w:szCs w:val="28"/>
        </w:rPr>
        <w:t xml:space="preserve"> </w:t>
      </w:r>
      <w:r w:rsidR="000C48A9" w:rsidRPr="006F63FD">
        <w:rPr>
          <w:sz w:val="28"/>
          <w:szCs w:val="28"/>
        </w:rPr>
        <w:t>day of</w:t>
      </w:r>
      <w:r w:rsidR="00336DAE">
        <w:rPr>
          <w:sz w:val="28"/>
          <w:szCs w:val="28"/>
        </w:rPr>
        <w:t xml:space="preserve"> April</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18605A" w:rsidRDefault="0006741A" w:rsidP="000C48A9">
      <w:pPr>
        <w:pStyle w:val="Body"/>
        <w:widowControl w:val="0"/>
        <w:tabs>
          <w:tab w:val="left" w:pos="720"/>
        </w:tabs>
        <w:ind w:firstLine="0"/>
        <w:rPr>
          <w:sz w:val="28"/>
          <w:szCs w:val="28"/>
        </w:rPr>
      </w:pPr>
      <w:r>
        <w:rPr>
          <w:szCs w:val="26"/>
        </w:rPr>
        <w:tab/>
      </w:r>
      <w:r>
        <w:rPr>
          <w:szCs w:val="26"/>
        </w:rPr>
        <w:tab/>
      </w:r>
      <w:r>
        <w:rPr>
          <w:szCs w:val="26"/>
        </w:rPr>
        <w:tab/>
      </w:r>
      <w:r>
        <w:rPr>
          <w:szCs w:val="26"/>
        </w:rPr>
        <w:tab/>
      </w:r>
      <w:r>
        <w:rPr>
          <w:szCs w:val="26"/>
        </w:rPr>
        <w:tab/>
      </w:r>
      <w:r>
        <w:rPr>
          <w:szCs w:val="26"/>
        </w:rPr>
        <w:tab/>
      </w:r>
      <w:r>
        <w:rPr>
          <w:szCs w:val="26"/>
        </w:rPr>
        <w:tab/>
      </w:r>
      <w:r w:rsidRPr="0018605A">
        <w:rPr>
          <w:sz w:val="28"/>
          <w:szCs w:val="28"/>
        </w:rPr>
        <w:t>/s/ Mauricio R. Hernandez</w:t>
      </w:r>
    </w:p>
    <w:p w:rsidR="000C48A9" w:rsidRPr="006F63FD" w:rsidRDefault="006E38FA" w:rsidP="000C48A9">
      <w:pPr>
        <w:pStyle w:val="PleadingSignature"/>
        <w:keepNext w:val="0"/>
        <w:keepLines w:val="0"/>
        <w:pBdr>
          <w:top w:val="single" w:sz="4" w:space="1" w:color="auto"/>
        </w:pBdr>
        <w:spacing w:line="240" w:lineRule="auto"/>
        <w:ind w:left="5070"/>
        <w:rPr>
          <w:sz w:val="28"/>
          <w:szCs w:val="28"/>
        </w:rPr>
      </w:pPr>
      <w:r>
        <w:rPr>
          <w:sz w:val="28"/>
          <w:szCs w:val="28"/>
        </w:rPr>
        <w:t>Mauricio R. Hernandez</w:t>
      </w:r>
    </w:p>
    <w:p w:rsidR="000C48A9" w:rsidRPr="006F63FD" w:rsidRDefault="000C48A9" w:rsidP="000C48A9">
      <w:pPr>
        <w:pStyle w:val="PleadingSignature"/>
        <w:keepNext w:val="0"/>
        <w:keepLines w:val="0"/>
        <w:spacing w:line="240" w:lineRule="auto"/>
        <w:ind w:left="5070"/>
        <w:rPr>
          <w:sz w:val="28"/>
          <w:szCs w:val="28"/>
        </w:rPr>
      </w:pPr>
    </w:p>
    <w:p w:rsidR="000C48A9" w:rsidRPr="000F7A7F" w:rsidRDefault="000C48A9" w:rsidP="000C48A9">
      <w:pPr>
        <w:pStyle w:val="PleadingSignature"/>
        <w:keepNext w:val="0"/>
        <w:keepLines w:val="0"/>
        <w:spacing w:line="240" w:lineRule="auto"/>
        <w:ind w:left="5070"/>
        <w:rPr>
          <w:szCs w:val="26"/>
        </w:rPr>
      </w:pPr>
    </w:p>
    <w:p w:rsidR="009922F6" w:rsidRDefault="0006741A" w:rsidP="000C48A9">
      <w:pPr>
        <w:pStyle w:val="Body"/>
        <w:widowControl w:val="0"/>
        <w:ind w:firstLine="0"/>
        <w:jc w:val="both"/>
        <w:rPr>
          <w:szCs w:val="26"/>
        </w:rPr>
      </w:pPr>
      <w:r>
        <w:rPr>
          <w:szCs w:val="26"/>
        </w:rPr>
        <w:tab/>
      </w:r>
      <w:r>
        <w:rPr>
          <w:szCs w:val="26"/>
        </w:rPr>
        <w:tab/>
      </w:r>
      <w:r>
        <w:rPr>
          <w:szCs w:val="26"/>
        </w:rPr>
        <w:tab/>
      </w:r>
      <w:r>
        <w:rPr>
          <w:szCs w:val="26"/>
        </w:rPr>
        <w:tab/>
      </w:r>
      <w:r w:rsidR="00992F19">
        <w:rPr>
          <w:szCs w:val="26"/>
        </w:rPr>
        <w:t xml:space="preserve">   </w:t>
      </w:r>
    </w:p>
    <w:p w:rsidR="009922F6" w:rsidRDefault="009922F6" w:rsidP="000C48A9">
      <w:pPr>
        <w:pStyle w:val="Body"/>
        <w:widowControl w:val="0"/>
        <w:ind w:firstLine="0"/>
        <w:jc w:val="both"/>
        <w:rPr>
          <w:szCs w:val="26"/>
        </w:rPr>
      </w:pPr>
    </w:p>
    <w:p w:rsidR="009922F6" w:rsidRDefault="009922F6" w:rsidP="000C48A9">
      <w:pPr>
        <w:pStyle w:val="Body"/>
        <w:widowControl w:val="0"/>
        <w:ind w:firstLine="0"/>
        <w:jc w:val="both"/>
        <w:rPr>
          <w:szCs w:val="26"/>
        </w:rPr>
      </w:pPr>
    </w:p>
    <w:p w:rsidR="009922F6" w:rsidRDefault="009922F6" w:rsidP="000C48A9">
      <w:pPr>
        <w:pStyle w:val="Body"/>
        <w:widowControl w:val="0"/>
        <w:ind w:firstLine="0"/>
        <w:jc w:val="both"/>
        <w:rPr>
          <w:szCs w:val="26"/>
        </w:rPr>
      </w:pPr>
    </w:p>
    <w:p w:rsidR="009922F6" w:rsidRDefault="009922F6" w:rsidP="000C48A9">
      <w:pPr>
        <w:pStyle w:val="Body"/>
        <w:widowControl w:val="0"/>
        <w:ind w:firstLine="0"/>
        <w:jc w:val="both"/>
        <w:rPr>
          <w:szCs w:val="26"/>
        </w:rPr>
      </w:pPr>
    </w:p>
    <w:p w:rsidR="009922F6" w:rsidRDefault="009922F6" w:rsidP="000C48A9">
      <w:pPr>
        <w:pStyle w:val="Body"/>
        <w:widowControl w:val="0"/>
        <w:ind w:firstLine="0"/>
        <w:jc w:val="both"/>
        <w:rPr>
          <w:szCs w:val="26"/>
        </w:rPr>
      </w:pPr>
    </w:p>
    <w:p w:rsidR="009922F6" w:rsidRDefault="009922F6" w:rsidP="000C48A9">
      <w:pPr>
        <w:pStyle w:val="Body"/>
        <w:widowControl w:val="0"/>
        <w:ind w:firstLine="0"/>
        <w:jc w:val="both"/>
        <w:rPr>
          <w:szCs w:val="26"/>
        </w:rPr>
      </w:pPr>
    </w:p>
    <w:p w:rsidR="009922F6" w:rsidRDefault="009922F6" w:rsidP="000C48A9">
      <w:pPr>
        <w:pStyle w:val="Body"/>
        <w:widowControl w:val="0"/>
        <w:ind w:firstLine="0"/>
        <w:jc w:val="both"/>
        <w:rPr>
          <w:szCs w:val="26"/>
        </w:rPr>
      </w:pPr>
    </w:p>
    <w:p w:rsidR="00494BDF" w:rsidRPr="00E4652F" w:rsidRDefault="0006741A" w:rsidP="009922F6">
      <w:pPr>
        <w:pStyle w:val="Body"/>
        <w:widowControl w:val="0"/>
        <w:ind w:left="2880" w:firstLine="720"/>
        <w:jc w:val="both"/>
        <w:rPr>
          <w:b/>
          <w:sz w:val="28"/>
          <w:szCs w:val="28"/>
        </w:rPr>
      </w:pPr>
      <w:r w:rsidRPr="00E4652F">
        <w:rPr>
          <w:b/>
          <w:sz w:val="28"/>
          <w:szCs w:val="28"/>
        </w:rPr>
        <w:lastRenderedPageBreak/>
        <w:t xml:space="preserve">EXHIBIT </w:t>
      </w:r>
      <w:r w:rsidR="00992F19">
        <w:rPr>
          <w:b/>
          <w:sz w:val="28"/>
          <w:szCs w:val="28"/>
        </w:rPr>
        <w:t>A</w:t>
      </w:r>
    </w:p>
    <w:p w:rsidR="0006741A" w:rsidRDefault="0006741A" w:rsidP="00933EA1">
      <w:pPr>
        <w:tabs>
          <w:tab w:val="left" w:pos="8145"/>
        </w:tabs>
        <w:rPr>
          <w:sz w:val="26"/>
          <w:szCs w:val="26"/>
        </w:rPr>
      </w:pPr>
    </w:p>
    <w:p w:rsidR="0006741A" w:rsidRDefault="0006741A" w:rsidP="00933EA1">
      <w:pPr>
        <w:tabs>
          <w:tab w:val="left" w:pos="8145"/>
        </w:tabs>
        <w:rPr>
          <w:sz w:val="26"/>
          <w:szCs w:val="26"/>
        </w:rPr>
      </w:pPr>
    </w:p>
    <w:p w:rsidR="00E4652F" w:rsidRDefault="00843FF4" w:rsidP="00933EA1">
      <w:pPr>
        <w:tabs>
          <w:tab w:val="left" w:pos="8145"/>
        </w:tabs>
        <w:rPr>
          <w:sz w:val="26"/>
          <w:szCs w:val="26"/>
        </w:rPr>
      </w:pPr>
      <w:r>
        <w:rPr>
          <w:noProof/>
          <w:sz w:val="26"/>
          <w:szCs w:val="26"/>
        </w:rPr>
        <w:drawing>
          <wp:anchor distT="0" distB="0" distL="114300" distR="114300" simplePos="0" relativeHeight="251659264" behindDoc="0" locked="0" layoutInCell="1" allowOverlap="1" wp14:anchorId="74BCC0E4" wp14:editId="0840DD19">
            <wp:simplePos x="0" y="0"/>
            <wp:positionH relativeFrom="column">
              <wp:posOffset>-692785</wp:posOffset>
            </wp:positionH>
            <wp:positionV relativeFrom="paragraph">
              <wp:posOffset>253365</wp:posOffset>
            </wp:positionV>
            <wp:extent cx="7214235" cy="5925185"/>
            <wp:effectExtent l="0" t="3175" r="254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 Services Comparison.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7214235" cy="5925185"/>
                    </a:xfrm>
                    <a:prstGeom prst="rect">
                      <a:avLst/>
                    </a:prstGeom>
                  </pic:spPr>
                </pic:pic>
              </a:graphicData>
            </a:graphic>
            <wp14:sizeRelH relativeFrom="margin">
              <wp14:pctWidth>0</wp14:pctWidth>
            </wp14:sizeRelH>
            <wp14:sizeRelV relativeFrom="margin">
              <wp14:pctHeight>0</wp14:pctHeight>
            </wp14:sizeRelV>
          </wp:anchor>
        </w:drawing>
      </w:r>
    </w:p>
    <w:p w:rsidR="00992F19" w:rsidRDefault="00992F19">
      <w:pPr>
        <w:spacing w:line="240" w:lineRule="auto"/>
        <w:rPr>
          <w:b/>
          <w:smallCaps/>
          <w:sz w:val="28"/>
          <w:szCs w:val="28"/>
        </w:rPr>
      </w:pPr>
    </w:p>
    <w:p w:rsidR="00992F19" w:rsidRDefault="00992F19">
      <w:pPr>
        <w:spacing w:line="240" w:lineRule="auto"/>
        <w:rPr>
          <w:b/>
          <w:smallCaps/>
          <w:sz w:val="28"/>
          <w:szCs w:val="28"/>
        </w:rPr>
      </w:pPr>
    </w:p>
    <w:p w:rsidR="00992F19" w:rsidRDefault="00992F19">
      <w:pPr>
        <w:spacing w:line="240" w:lineRule="auto"/>
        <w:rPr>
          <w:b/>
          <w:smallCaps/>
          <w:sz w:val="28"/>
          <w:szCs w:val="28"/>
        </w:rPr>
      </w:pPr>
    </w:p>
    <w:p w:rsidR="00992F19" w:rsidRDefault="00992F19">
      <w:pPr>
        <w:spacing w:line="240" w:lineRule="auto"/>
        <w:rPr>
          <w:b/>
          <w:smallCaps/>
          <w:sz w:val="28"/>
          <w:szCs w:val="28"/>
        </w:rPr>
      </w:pPr>
    </w:p>
    <w:p w:rsidR="00992F19" w:rsidRDefault="00992F19">
      <w:pPr>
        <w:spacing w:line="240" w:lineRule="auto"/>
        <w:rPr>
          <w:b/>
          <w:smallCaps/>
          <w:sz w:val="28"/>
          <w:szCs w:val="28"/>
        </w:rPr>
      </w:pPr>
    </w:p>
    <w:p w:rsidR="00992F19" w:rsidRDefault="00992F19">
      <w:pPr>
        <w:spacing w:line="240" w:lineRule="auto"/>
        <w:rPr>
          <w:b/>
          <w:smallCaps/>
          <w:sz w:val="28"/>
          <w:szCs w:val="28"/>
        </w:rPr>
      </w:pPr>
    </w:p>
    <w:p w:rsidR="00992F19" w:rsidRDefault="00992F19">
      <w:pPr>
        <w:spacing w:line="240" w:lineRule="auto"/>
        <w:rPr>
          <w:b/>
          <w:smallCaps/>
          <w:sz w:val="28"/>
          <w:szCs w:val="28"/>
        </w:rPr>
      </w:pPr>
    </w:p>
    <w:p w:rsidR="00992F19" w:rsidRDefault="00992F19">
      <w:pPr>
        <w:spacing w:line="240" w:lineRule="auto"/>
        <w:rPr>
          <w:b/>
          <w:smallCaps/>
          <w:sz w:val="28"/>
          <w:szCs w:val="28"/>
        </w:rPr>
      </w:pPr>
    </w:p>
    <w:p w:rsidR="00992F19" w:rsidRDefault="00992F19">
      <w:pPr>
        <w:spacing w:line="240" w:lineRule="auto"/>
        <w:rPr>
          <w:b/>
          <w:smallCaps/>
          <w:sz w:val="28"/>
          <w:szCs w:val="28"/>
        </w:rPr>
      </w:pPr>
    </w:p>
    <w:p w:rsidR="00992F19" w:rsidRDefault="00992F19">
      <w:pPr>
        <w:spacing w:line="240" w:lineRule="auto"/>
        <w:rPr>
          <w:b/>
          <w:smallCaps/>
          <w:sz w:val="28"/>
          <w:szCs w:val="28"/>
        </w:rPr>
      </w:pPr>
      <w:r>
        <w:rPr>
          <w:b/>
          <w:smallCaps/>
          <w:sz w:val="28"/>
          <w:szCs w:val="28"/>
        </w:rPr>
        <w:br w:type="page"/>
      </w:r>
    </w:p>
    <w:p w:rsidR="0006741A" w:rsidRPr="00992F19" w:rsidRDefault="00992F19" w:rsidP="00992F19">
      <w:pPr>
        <w:spacing w:line="240" w:lineRule="auto"/>
        <w:ind w:left="2880" w:firstLine="720"/>
        <w:rPr>
          <w:b/>
          <w:smallCaps/>
          <w:sz w:val="28"/>
          <w:szCs w:val="28"/>
        </w:rPr>
      </w:pPr>
      <w:r>
        <w:rPr>
          <w:b/>
          <w:sz w:val="28"/>
          <w:szCs w:val="28"/>
        </w:rPr>
        <w:lastRenderedPageBreak/>
        <w:t>EXHIBIT B</w:t>
      </w:r>
    </w:p>
    <w:p w:rsidR="00992F19" w:rsidRDefault="00246173" w:rsidP="00933EA1">
      <w:pPr>
        <w:tabs>
          <w:tab w:val="left" w:pos="8145"/>
        </w:tabs>
        <w:rPr>
          <w:b/>
          <w:sz w:val="28"/>
          <w:szCs w:val="28"/>
        </w:rPr>
      </w:pPr>
      <w:r>
        <w:rPr>
          <w:b/>
          <w:noProof/>
          <w:sz w:val="28"/>
          <w:szCs w:val="28"/>
        </w:rPr>
        <w:drawing>
          <wp:anchor distT="0" distB="0" distL="114300" distR="114300" simplePos="0" relativeHeight="251658240" behindDoc="1" locked="0" layoutInCell="1" allowOverlap="1" wp14:anchorId="02BC8852" wp14:editId="15C6560F">
            <wp:simplePos x="0" y="0"/>
            <wp:positionH relativeFrom="column">
              <wp:posOffset>-618490</wp:posOffset>
            </wp:positionH>
            <wp:positionV relativeFrom="paragraph">
              <wp:posOffset>982345</wp:posOffset>
            </wp:positionV>
            <wp:extent cx="7071360" cy="5712460"/>
            <wp:effectExtent l="0" t="6350" r="8890" b="8890"/>
            <wp:wrapTight wrapText="bothSides">
              <wp:wrapPolygon edited="0">
                <wp:start x="-19" y="21576"/>
                <wp:lineTo x="21569" y="21576"/>
                <wp:lineTo x="21569" y="38"/>
                <wp:lineTo x="-19" y="38"/>
                <wp:lineTo x="-19" y="21576"/>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 Public Records Policy vs. APRL Chart.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7071360" cy="5712460"/>
                    </a:xfrm>
                    <a:prstGeom prst="rect">
                      <a:avLst/>
                    </a:prstGeom>
                  </pic:spPr>
                </pic:pic>
              </a:graphicData>
            </a:graphic>
            <wp14:sizeRelH relativeFrom="margin">
              <wp14:pctWidth>0</wp14:pctWidth>
            </wp14:sizeRelH>
            <wp14:sizeRelV relativeFrom="margin">
              <wp14:pctHeight>0</wp14:pctHeight>
            </wp14:sizeRelV>
          </wp:anchor>
        </w:drawing>
      </w:r>
    </w:p>
    <w:sectPr w:rsidR="00992F19" w:rsidSect="00992F19">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32" w:rsidRDefault="00856E32">
      <w:r>
        <w:separator/>
      </w:r>
    </w:p>
  </w:endnote>
  <w:endnote w:type="continuationSeparator" w:id="0">
    <w:p w:rsidR="00856E32" w:rsidRDefault="0085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noPro">
    <w:panose1 w:val="00000000000000000000"/>
    <w:charset w:val="00"/>
    <w:family w:val="auto"/>
    <w:notTrueType/>
    <w:pitch w:val="default"/>
    <w:sig w:usb0="00000003" w:usb1="00000000" w:usb2="00000000" w:usb3="00000000" w:csb0="00000001" w:csb1="00000000"/>
  </w:font>
  <w:font w:name="ArnoPro,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2B" w:rsidRDefault="00CB3E2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3E2B" w:rsidRDefault="00CB3E2B" w:rsidP="00861563">
    <w:pPr>
      <w:pStyle w:val="Footer"/>
      <w:ind w:right="360"/>
    </w:pPr>
  </w:p>
  <w:p w:rsidR="00CB3E2B" w:rsidRDefault="00CB3E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242502"/>
      <w:docPartObj>
        <w:docPartGallery w:val="Page Numbers (Bottom of Page)"/>
        <w:docPartUnique/>
      </w:docPartObj>
    </w:sdtPr>
    <w:sdtEndPr>
      <w:rPr>
        <w:noProof/>
        <w:sz w:val="26"/>
        <w:szCs w:val="26"/>
      </w:rPr>
    </w:sdtEndPr>
    <w:sdtContent>
      <w:p w:rsidR="00CB3E2B" w:rsidRPr="006B4F9A" w:rsidRDefault="00CB3E2B">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A574C">
          <w:rPr>
            <w:noProof/>
            <w:sz w:val="26"/>
            <w:szCs w:val="26"/>
          </w:rPr>
          <w:t>17</w:t>
        </w:r>
        <w:r w:rsidRPr="006B4F9A">
          <w:rPr>
            <w:noProof/>
            <w:sz w:val="26"/>
            <w:szCs w:val="26"/>
          </w:rPr>
          <w:fldChar w:fldCharType="end"/>
        </w:r>
      </w:p>
    </w:sdtContent>
  </w:sdt>
  <w:p w:rsidR="00CB3E2B" w:rsidRDefault="00CB3E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32" w:rsidRDefault="00856E32">
      <w:r>
        <w:separator/>
      </w:r>
    </w:p>
  </w:footnote>
  <w:footnote w:type="continuationSeparator" w:id="0">
    <w:p w:rsidR="00856E32" w:rsidRDefault="00856E32">
      <w:r>
        <w:continuationSeparator/>
      </w:r>
    </w:p>
  </w:footnote>
  <w:footnote w:id="1">
    <w:p w:rsidR="00CB3E2B" w:rsidRDefault="00CB3E2B">
      <w:pPr>
        <w:pStyle w:val="FootnoteText"/>
      </w:pPr>
      <w:r>
        <w:rPr>
          <w:rStyle w:val="FootnoteReference"/>
        </w:rPr>
        <w:footnoteRef/>
      </w:r>
      <w:r>
        <w:t xml:space="preserve"> </w:t>
      </w:r>
      <w:r w:rsidRPr="00516AF8">
        <w:rPr>
          <w:i/>
        </w:rPr>
        <w:t>State v. Beadle</w:t>
      </w:r>
      <w:r>
        <w:t>, 326 P.2d 244 (Ariz. 1</w:t>
      </w:r>
      <w:r w:rsidR="00F01FAB">
        <w:t>95</w:t>
      </w:r>
      <w:r>
        <w:t>8) “</w:t>
      </w:r>
      <w:r w:rsidRPr="00FE579A">
        <w:t>The purpose of an Act, promulgated under the State's police power, is to protect the public health, safety or welfare.</w:t>
      </w:r>
      <w:r>
        <w:t>”</w:t>
      </w:r>
      <w:r w:rsidRPr="00FE579A">
        <w:t xml:space="preserve">  </w:t>
      </w:r>
    </w:p>
  </w:footnote>
  <w:footnote w:id="2">
    <w:p w:rsidR="00CB3E2B" w:rsidRDefault="00CB3E2B">
      <w:pPr>
        <w:pStyle w:val="FootnoteText"/>
      </w:pPr>
      <w:r>
        <w:rPr>
          <w:rStyle w:val="FootnoteReference"/>
        </w:rPr>
        <w:footnoteRef/>
      </w:r>
      <w:r>
        <w:t xml:space="preserve"> Still timely is the observation: “The legitimacy of Arizona Supreme Court decisions allocating the final word in these areas of overlapping authority is </w:t>
      </w:r>
      <w:r w:rsidRPr="0055581D">
        <w:rPr>
          <w:i/>
        </w:rPr>
        <w:t>always</w:t>
      </w:r>
      <w:r>
        <w:t xml:space="preserve"> suspect, because the court becomes the arbiter of its own power vis-à-vis the legislature. In today’s political climate, marked by a paucity of lawyers serving in state legislatures, the court may be especially vulnerable to legislative challenge. It is therefore vital to ensure that the court’s separation of powers jurisprudence is up to the task of protecting judicial independence while giving the legislature its due, avoiding needless confrontation, and garnering public respect.” </w:t>
      </w:r>
      <w:r w:rsidRPr="0055581D">
        <w:rPr>
          <w:i/>
        </w:rPr>
        <w:t>See</w:t>
      </w:r>
      <w:r>
        <w:t xml:space="preserve"> Ted Schneyer, </w:t>
      </w:r>
      <w:r w:rsidRPr="00BC41B7">
        <w:rPr>
          <w:i/>
        </w:rPr>
        <w:t>Who Should Define Arizona’s Corporate Attorney-Client Privilege?: Asserting Judicial Independence Through the Power to Regulate the Practice of Law</w:t>
      </w:r>
      <w:r>
        <w:t>, 48 Ariz. L. Rev. 419 (2006).</w:t>
      </w:r>
    </w:p>
  </w:footnote>
  <w:footnote w:id="3">
    <w:p w:rsidR="00CB3E2B" w:rsidRDefault="00CB3E2B">
      <w:pPr>
        <w:pStyle w:val="FootnoteText"/>
      </w:pPr>
      <w:r>
        <w:rPr>
          <w:rStyle w:val="FootnoteReference"/>
        </w:rPr>
        <w:footnoteRef/>
      </w:r>
      <w:r>
        <w:t xml:space="preserve"> Over time, the mission of the SBA has been a study in evolving and often confusing nuance – so much semantical eyewash – invoked when needed to finesse albeit unsuccessfully its immutable, irreconcilable conflicted character as concomitant regulator serving the public’s interests and professional trade association serving its lawyers. The evolution is ascribable in part to its legislative genesis. Under-defined and ambiguous in scope, the State Bar Act of 1933 empowered the Bar “to aid in the advancement of the science of jurisprudence and in the improvement of the administration of justice” and to formulate and enforce with court approval, rules of professional conduct, examination and admission to practice law</w:t>
      </w:r>
      <w:r w:rsidRPr="008D3F71">
        <w:rPr>
          <w:i/>
        </w:rPr>
        <w:t>. See</w:t>
      </w:r>
      <w:r>
        <w:t xml:space="preserve"> State Bar Act of 1933, SB11, 11</w:t>
      </w:r>
      <w:r w:rsidRPr="008D3F71">
        <w:rPr>
          <w:vertAlign w:val="superscript"/>
        </w:rPr>
        <w:t>th</w:t>
      </w:r>
      <w:r>
        <w:t xml:space="preserve"> Legislature, Chapter 66, 1933. Consequently, 86 years later mission-mystification still reigns as noted, infra. in SBA Board Election Candidate statements published on the SBA website in 2017 and </w:t>
      </w:r>
      <w:r w:rsidR="00230BA2">
        <w:t xml:space="preserve">for example, </w:t>
      </w:r>
      <w:r>
        <w:t xml:space="preserve">in 2019. </w:t>
      </w:r>
      <w:r w:rsidR="00230BA2">
        <w:t>T</w:t>
      </w:r>
      <w:r>
        <w:t>he SBA’s dual mi</w:t>
      </w:r>
      <w:r w:rsidR="00230BA2">
        <w:t>ssion confuses not only</w:t>
      </w:r>
      <w:r>
        <w:t xml:space="preserve"> members, including its would-be leaders, but more significantly, the general public. Indicative is </w:t>
      </w:r>
      <w:r w:rsidR="00230BA2">
        <w:t>that</w:t>
      </w:r>
      <w:r>
        <w:t xml:space="preserve"> almost a generation </w:t>
      </w:r>
      <w:r w:rsidR="00230BA2">
        <w:t>after</w:t>
      </w:r>
      <w:r>
        <w:t xml:space="preserve"> its creation, </w:t>
      </w:r>
      <w:r w:rsidR="00230BA2">
        <w:t>SBA</w:t>
      </w:r>
      <w:r>
        <w:t xml:space="preserve"> leaders in 19</w:t>
      </w:r>
      <w:r w:rsidR="00230BA2">
        <w:t>6</w:t>
      </w:r>
      <w:r>
        <w:t xml:space="preserve">1 took notice of “An additional major responsibility to its members and the public. Its mission is designed in the public interest, and this design is illustrated by the slogan: Service to Society through Professional Relationships.” </w:t>
      </w:r>
      <w:r w:rsidRPr="00CB3FE5">
        <w:t>See</w:t>
      </w:r>
      <w:r>
        <w:t xml:space="preserve"> </w:t>
      </w:r>
      <w:r w:rsidRPr="00CB3FE5">
        <w:rPr>
          <w:i/>
        </w:rPr>
        <w:t>Our State Bar Associations: The State Bar of Arizona</w:t>
      </w:r>
      <w:r>
        <w:t>, 47 A.B.A.J. 809 (Augus</w:t>
      </w:r>
      <w:r w:rsidR="00230BA2">
        <w:t>t 1961). Until recently</w:t>
      </w:r>
      <w:r>
        <w:t>,</w:t>
      </w:r>
      <w:r w:rsidR="00230BA2">
        <w:t xml:space="preserve"> mission explicit</w:t>
      </w:r>
      <w:r>
        <w:t xml:space="preserve"> “public protection” was notable not by its ambition but by its absence. Just 9 years ago the SBA mission statement made no mention of any express public protection mandate declaring instead it “serves the public and enhances the legal profession by promoting the competency, ethics and professionalism of its members and enhancing the administration of justice.” And</w:t>
      </w:r>
      <w:r w:rsidR="00230BA2">
        <w:t xml:space="preserve"> as </w:t>
      </w:r>
      <w:r>
        <w:t xml:space="preserve">recently </w:t>
      </w:r>
      <w:r w:rsidR="00230BA2">
        <w:t>as 2016</w:t>
      </w:r>
      <w:r w:rsidR="0098203C">
        <w:t>, mission</w:t>
      </w:r>
      <w:r>
        <w:t xml:space="preserve"> mix-up </w:t>
      </w:r>
      <w:r w:rsidR="00230BA2">
        <w:t>persisted</w:t>
      </w:r>
      <w:r>
        <w:t xml:space="preserve"> in a recommendation of the SBA’s own “Governance Report Study Group.” The Study Group was charged by the Board of Governors with reviewing and making recommendations concerning </w:t>
      </w:r>
      <w:r w:rsidRPr="00852795">
        <w:rPr>
          <w:i/>
        </w:rPr>
        <w:t>the Report of the Supreme Court Task Force on the Review of the Role and Governance Structure of the State Bar of Arizona</w:t>
      </w:r>
      <w:r>
        <w:t>. Concerning the Task Force’s proposed  mission statement that the State Bar’s “core mission is protecting and serving the public,” the Study Group declared at Recommendation No. 3, “The Study Group believes that the Task Force’s recommended mission state-ment (sic) that the State Bar’s ‘core mission is protecting and serving the public’ is inaccurate and unwise. The Study Group believes that the proposed new mission statement improperly emphasizes public protection, which is historically not a primary</w:t>
      </w:r>
      <w:r w:rsidR="00230BA2">
        <w:t xml:space="preserve"> role of the Bar.” T</w:t>
      </w:r>
      <w:r>
        <w:t>he Board voted unanimously to delete these two startling spot-on admissions</w:t>
      </w:r>
      <w:r w:rsidR="00230BA2">
        <w:t xml:space="preserve"> but</w:t>
      </w:r>
      <w:r>
        <w:t xml:space="preserve"> the beans were spilled just the same. </w:t>
      </w:r>
      <w:r w:rsidRPr="002710E9">
        <w:rPr>
          <w:i/>
        </w:rPr>
        <w:t>Bar Community, Board of Governors October Meeting Review</w:t>
      </w:r>
      <w:r>
        <w:t xml:space="preserve">, Arizona Attorney, January 2016, at 47. </w:t>
      </w:r>
      <w:r w:rsidR="00230BA2">
        <w:t xml:space="preserve">These days almost 9 decades after the State Bar Act, </w:t>
      </w:r>
      <w:r>
        <w:t xml:space="preserve">the SBA </w:t>
      </w:r>
      <w:r w:rsidR="00230BA2">
        <w:t xml:space="preserve">now </w:t>
      </w:r>
      <w:r>
        <w:t xml:space="preserve">says it “exists to serve and protect the public with respect to the provision of legal services and access to justice. Consistent with these goals, the State Bar of Arizona seeks to improve the administration of justice and competency, ethics and professionalism of lawyers practicing in Arizona.” </w:t>
      </w:r>
      <w:r w:rsidRPr="0040650C">
        <w:rPr>
          <w:i/>
        </w:rPr>
        <w:t>Mission Statement</w:t>
      </w:r>
      <w:r>
        <w:t>, State Bar of Arizona, available at https://www.azbar.org/aboutus/mission-vision-andcorevalues/</w:t>
      </w:r>
    </w:p>
  </w:footnote>
  <w:footnote w:id="4">
    <w:p w:rsidR="00CB3E2B" w:rsidRDefault="00CB3E2B">
      <w:pPr>
        <w:pStyle w:val="FootnoteText"/>
      </w:pPr>
      <w:r>
        <w:rPr>
          <w:rStyle w:val="FootnoteReference"/>
        </w:rPr>
        <w:footnoteRef/>
      </w:r>
      <w:r w:rsidR="009E0477">
        <w:t xml:space="preserve"> The </w:t>
      </w:r>
      <w:r>
        <w:t xml:space="preserve">SBA </w:t>
      </w:r>
      <w:r w:rsidR="009E0477">
        <w:t xml:space="preserve">has </w:t>
      </w:r>
      <w:r>
        <w:t>willfully mischaracterize</w:t>
      </w:r>
      <w:r w:rsidR="009E0477">
        <w:t>d</w:t>
      </w:r>
      <w:r>
        <w:t xml:space="preserve"> the bills as calculated by the Legislature to create a professional licensing and disciplinary board like those regulating the state’s other occupations and professions. See SBA, </w:t>
      </w:r>
      <w:r w:rsidRPr="005F21AF">
        <w:rPr>
          <w:i/>
        </w:rPr>
        <w:t>Bills Regarding the Bar and Pending Rules Petition</w:t>
      </w:r>
      <w:r>
        <w:t xml:space="preserve">, </w:t>
      </w:r>
      <w:hyperlink r:id="rId1" w:history="1">
        <w:r w:rsidRPr="00D32EEA">
          <w:rPr>
            <w:rStyle w:val="Hyperlink"/>
          </w:rPr>
          <w:t>http://www.azbar.org/media/1398723/rulespetitionfactsheet.pdf</w:t>
        </w:r>
      </w:hyperlink>
      <w:r>
        <w:t xml:space="preserve">.  Parenthetically, </w:t>
      </w:r>
      <w:r w:rsidR="009E0477">
        <w:t xml:space="preserve">even if true, </w:t>
      </w:r>
      <w:r>
        <w:t>not all lawyers</w:t>
      </w:r>
      <w:r w:rsidR="009E0477">
        <w:t xml:space="preserve"> necessarily</w:t>
      </w:r>
      <w:r>
        <w:t xml:space="preserve"> see </w:t>
      </w:r>
      <w:r w:rsidR="004827AD">
        <w:t xml:space="preserve">such </w:t>
      </w:r>
      <w:r>
        <w:t>a legislatively-created licensing and d</w:t>
      </w:r>
      <w:r w:rsidR="00C731D8">
        <w:t xml:space="preserve">isciplinary board as an evil. </w:t>
      </w:r>
    </w:p>
  </w:footnote>
  <w:footnote w:id="5">
    <w:p w:rsidR="00CB3E2B" w:rsidRDefault="00CB3E2B">
      <w:pPr>
        <w:pStyle w:val="FootnoteText"/>
      </w:pPr>
      <w:r>
        <w:rPr>
          <w:rStyle w:val="FootnoteReference"/>
        </w:rPr>
        <w:footnoteRef/>
      </w:r>
      <w:r>
        <w:t xml:space="preserve"> During the 53</w:t>
      </w:r>
      <w:r w:rsidRPr="00042E1D">
        <w:rPr>
          <w:vertAlign w:val="superscript"/>
        </w:rPr>
        <w:t>rd</w:t>
      </w:r>
      <w:r>
        <w:t xml:space="preserve"> Legislature in 2018, the SBA again opposed bar reform legislation and lobbied lawmakers with what it called a “HB 2119 Fact Sheet.” The Sheet chided the chief sponsor for using the term “trade associa</w:t>
      </w:r>
      <w:r w:rsidR="00434682">
        <w:t>tion to describe the Bar.” The SBA</w:t>
      </w:r>
      <w:r>
        <w:t xml:space="preserve"> Fact Sheet</w:t>
      </w:r>
      <w:r w:rsidR="00434682">
        <w:t xml:space="preserve"> said</w:t>
      </w:r>
      <w:r>
        <w:t xml:space="preserve">, “It shows an inherent lack of understanding about the Bar’s structure and function. A trade association exists for its members.” </w:t>
      </w:r>
      <w:r w:rsidR="00C731D8">
        <w:t xml:space="preserve">Little </w:t>
      </w:r>
      <w:r w:rsidR="00434682">
        <w:t>matter the</w:t>
      </w:r>
      <w:r>
        <w:t xml:space="preserve"> SBA tak</w:t>
      </w:r>
      <w:r w:rsidR="00C731D8">
        <w:t>es</w:t>
      </w:r>
      <w:r>
        <w:t xml:space="preserve"> exception with the lawmaker’s description</w:t>
      </w:r>
      <w:r w:rsidR="00434682">
        <w:t>.</w:t>
      </w:r>
      <w:r w:rsidR="00C731D8">
        <w:t xml:space="preserve"> It is what it is.</w:t>
      </w:r>
      <w:r w:rsidR="00434682">
        <w:t xml:space="preserve"> T</w:t>
      </w:r>
      <w:r>
        <w:t>he SBA files its annual tax returns under Section 501 (c</w:t>
      </w:r>
      <w:r w:rsidR="00434682">
        <w:t>) (</w:t>
      </w:r>
      <w:r>
        <w:t xml:space="preserve">6) of the Internal Revenue Code that exempts non-profit “business leagues” like “trade associations” having a common interest. “A business league is an association of persons having some common business interest, the purpose of which is to promote such common interest and not to engage in a regular business of a kind ordinarily carried on for profit. Trade associations and professional associations are business leagues.” </w:t>
      </w:r>
      <w:r w:rsidRPr="00813CA4">
        <w:rPr>
          <w:i/>
        </w:rPr>
        <w:t>Charities and Non-profits, Other Non-Profits, Requirements for Exemption, Business Leagues</w:t>
      </w:r>
      <w:r>
        <w:t xml:space="preserve">, IRS, available at </w:t>
      </w:r>
      <w:r w:rsidRPr="00E05A4C">
        <w:t>https://www.irs.gov/charities-non-profits/other-non-profits/business-leagues</w:t>
      </w:r>
    </w:p>
  </w:footnote>
  <w:footnote w:id="6">
    <w:p w:rsidR="00CB3E2B" w:rsidRDefault="00CB3E2B">
      <w:pPr>
        <w:pStyle w:val="FootnoteText"/>
      </w:pPr>
      <w:r>
        <w:rPr>
          <w:rStyle w:val="FootnoteReference"/>
        </w:rPr>
        <w:footnoteRef/>
      </w:r>
      <w:r>
        <w:t xml:space="preserve"> </w:t>
      </w:r>
      <w:r w:rsidRPr="00EA79C8">
        <w:rPr>
          <w:i/>
        </w:rPr>
        <w:t>See generally</w:t>
      </w:r>
      <w:r>
        <w:t xml:space="preserve"> Margaret Tarkington, </w:t>
      </w:r>
      <w:r w:rsidRPr="00EA79C8">
        <w:rPr>
          <w:smallCaps/>
        </w:rPr>
        <w:t>Voice of Justice</w:t>
      </w:r>
      <w:r>
        <w:t xml:space="preserve">, (2018) noting, “Most lawyers don’t realize that they lack First Amendment rights. They are aware of the Supreme Court’s protection of lawyer advertising and proceed on the assumption that they possess the full panoply of First Amendment rights. Yet the caselaw does not bear that out in many regulatory and disciplinary contexts. Particularly, when attorneys are acting </w:t>
      </w:r>
      <w:r w:rsidRPr="00EA79C8">
        <w:rPr>
          <w:i/>
        </w:rPr>
        <w:t>as an attorney</w:t>
      </w:r>
      <w:r>
        <w:t xml:space="preserve"> in their role as an “officer of the court,” attorneys cannot and should not assume that they can obtain First Amendment protection from regulation or professional discipline.”</w:t>
      </w:r>
    </w:p>
  </w:footnote>
  <w:footnote w:id="7">
    <w:p w:rsidR="00CB3E2B" w:rsidRDefault="00CB3E2B">
      <w:pPr>
        <w:pStyle w:val="FootnoteText"/>
      </w:pPr>
      <w:r>
        <w:rPr>
          <w:rStyle w:val="FootnoteReference"/>
        </w:rPr>
        <w:footnoteRef/>
      </w:r>
      <w:r>
        <w:t xml:space="preserve"> See </w:t>
      </w:r>
      <w:r w:rsidRPr="00384116">
        <w:rPr>
          <w:i/>
        </w:rPr>
        <w:t>Bates v. State Bar of Arizona</w:t>
      </w:r>
      <w:r>
        <w:t xml:space="preserve">, 433 U.S. 350 (1977) and </w:t>
      </w:r>
      <w:r w:rsidRPr="00384116">
        <w:rPr>
          <w:i/>
        </w:rPr>
        <w:t>Baird v. State Bar of Arizona</w:t>
      </w:r>
      <w:r>
        <w:t>, 401 U.S. 1 (1971).</w:t>
      </w:r>
    </w:p>
  </w:footnote>
  <w:footnote w:id="8">
    <w:p w:rsidR="00CB3E2B" w:rsidRPr="0053355D" w:rsidRDefault="00CB3E2B" w:rsidP="0053355D">
      <w:pPr>
        <w:pStyle w:val="Default"/>
        <w:rPr>
          <w:sz w:val="20"/>
          <w:szCs w:val="20"/>
        </w:rPr>
      </w:pPr>
      <w:r>
        <w:rPr>
          <w:rStyle w:val="FootnoteReference"/>
        </w:rPr>
        <w:footnoteRef/>
      </w:r>
      <w:r>
        <w:t xml:space="preserve"> </w:t>
      </w:r>
      <w:r w:rsidRPr="00CA5BF6">
        <w:rPr>
          <w:i/>
          <w:sz w:val="20"/>
          <w:szCs w:val="20"/>
        </w:rPr>
        <w:t>See generally</w:t>
      </w:r>
      <w:r>
        <w:t xml:space="preserve"> </w:t>
      </w:r>
      <w:r w:rsidRPr="0053355D">
        <w:rPr>
          <w:sz w:val="20"/>
          <w:szCs w:val="20"/>
        </w:rPr>
        <w:t xml:space="preserve">Appellant’s Reply Brief at 2, </w:t>
      </w:r>
      <w:r w:rsidRPr="00941408">
        <w:rPr>
          <w:i/>
          <w:sz w:val="20"/>
          <w:szCs w:val="20"/>
        </w:rPr>
        <w:t>Fleck v. Wetch</w:t>
      </w:r>
      <w:r w:rsidRPr="0053355D">
        <w:rPr>
          <w:sz w:val="20"/>
          <w:szCs w:val="20"/>
        </w:rPr>
        <w:t>, No. 16-1564 (</w:t>
      </w:r>
      <w:r>
        <w:rPr>
          <w:sz w:val="20"/>
          <w:szCs w:val="20"/>
        </w:rPr>
        <w:t>8</w:t>
      </w:r>
      <w:r w:rsidRPr="00CA5BF6">
        <w:rPr>
          <w:sz w:val="20"/>
          <w:szCs w:val="20"/>
          <w:vertAlign w:val="superscript"/>
        </w:rPr>
        <w:t>th</w:t>
      </w:r>
      <w:r>
        <w:rPr>
          <w:sz w:val="20"/>
          <w:szCs w:val="20"/>
        </w:rPr>
        <w:t xml:space="preserve"> Cir. Apr 16,</w:t>
      </w:r>
      <w:r w:rsidRPr="0053355D">
        <w:rPr>
          <w:sz w:val="20"/>
          <w:szCs w:val="20"/>
        </w:rPr>
        <w:t xml:space="preserve"> 201</w:t>
      </w:r>
      <w:r>
        <w:rPr>
          <w:sz w:val="20"/>
          <w:szCs w:val="20"/>
        </w:rPr>
        <w:t>9</w:t>
      </w:r>
      <w:r w:rsidRPr="0053355D">
        <w:rPr>
          <w:sz w:val="20"/>
          <w:szCs w:val="20"/>
        </w:rPr>
        <w:t>).</w:t>
      </w:r>
    </w:p>
  </w:footnote>
  <w:footnote w:id="9">
    <w:p w:rsidR="00CB3E2B" w:rsidRDefault="00CB3E2B">
      <w:pPr>
        <w:pStyle w:val="FootnoteText"/>
      </w:pPr>
      <w:r>
        <w:rPr>
          <w:rStyle w:val="FootnoteReference"/>
        </w:rPr>
        <w:footnoteRef/>
      </w:r>
      <w:r>
        <w:t xml:space="preserve"> James Coppess, </w:t>
      </w:r>
      <w:r w:rsidRPr="008B3CFE">
        <w:rPr>
          <w:i/>
        </w:rPr>
        <w:t>Symposium: Four propositions that follow from Janus</w:t>
      </w:r>
      <w:r>
        <w:t>, SCOTUSblog (June 28, 2018, 2:36PM, https://www/scotusblog.com/2018/06/symposium-four-propositions-that-follow-from-janus/</w:t>
      </w:r>
    </w:p>
  </w:footnote>
  <w:footnote w:id="10">
    <w:p w:rsidR="00CB3E2B" w:rsidRDefault="00CB3E2B">
      <w:pPr>
        <w:pStyle w:val="FootnoteText"/>
      </w:pPr>
      <w:r>
        <w:rPr>
          <w:rStyle w:val="FootnoteReference"/>
        </w:rPr>
        <w:footnoteRef/>
      </w:r>
      <w:r>
        <w:t xml:space="preserve"> </w:t>
      </w:r>
      <w:r w:rsidRPr="0026094A">
        <w:rPr>
          <w:i/>
        </w:rPr>
        <w:t>In re Petition for a Rule Change to Create a Voluntary State bar of Nebraska</w:t>
      </w:r>
      <w:r>
        <w:t>, 286 Neb. 1018, 841 N.W.2d. 167 (2013)</w:t>
      </w:r>
    </w:p>
  </w:footnote>
  <w:footnote w:id="11">
    <w:p w:rsidR="00CB3E2B" w:rsidRDefault="00CB3E2B">
      <w:pPr>
        <w:pStyle w:val="FootnoteText"/>
      </w:pPr>
      <w:r>
        <w:rPr>
          <w:rStyle w:val="FootnoteReference"/>
        </w:rPr>
        <w:footnoteRef/>
      </w:r>
      <w:r>
        <w:t xml:space="preserve"> </w:t>
      </w:r>
      <w:r w:rsidRPr="00D648CB">
        <w:rPr>
          <w:i/>
        </w:rPr>
        <w:t xml:space="preserve">See </w:t>
      </w:r>
      <w:r w:rsidRPr="00D648CB">
        <w:t>https://supremecourt.nebraska.gov/attorneys/attorney-services-division</w:t>
      </w:r>
    </w:p>
  </w:footnote>
  <w:footnote w:id="12">
    <w:p w:rsidR="00CB3E2B" w:rsidRPr="008508FB" w:rsidRDefault="00CB3E2B">
      <w:pPr>
        <w:pStyle w:val="FootnoteText"/>
      </w:pPr>
      <w:r>
        <w:rPr>
          <w:rStyle w:val="FootnoteReference"/>
        </w:rPr>
        <w:footnoteRef/>
      </w:r>
      <w:r>
        <w:t xml:space="preserve"> Credit the Nebraska Supreme Court’s foresight. Almost two months to the day after its December 6, 2013 ruling, attorney Arnold Fleck filed suit against the North Dakota Bar Association to vindicate his First Amendment rights against compelled speech and association. Since then,</w:t>
      </w:r>
      <w:r w:rsidR="00941408">
        <w:t xml:space="preserve"> by</w:t>
      </w:r>
      <w:r>
        <w:t xml:space="preserve"> overruling </w:t>
      </w:r>
      <w:r w:rsidRPr="00C358AC">
        <w:rPr>
          <w:i/>
        </w:rPr>
        <w:t>Abood</w:t>
      </w:r>
      <w:r>
        <w:t xml:space="preserve">, the U.S. Supreme Court’s </w:t>
      </w:r>
      <w:r w:rsidRPr="00C358AC">
        <w:rPr>
          <w:i/>
          <w:iCs/>
        </w:rPr>
        <w:t xml:space="preserve">Janus </w:t>
      </w:r>
      <w:r>
        <w:t xml:space="preserve">decision has galvanized new lawyer litigation to make clear that mandatory bars around the nation must now follow an “exacting scrutiny” constitutional standard </w:t>
      </w:r>
      <w:r w:rsidR="00941408">
        <w:t xml:space="preserve">-- </w:t>
      </w:r>
      <w:r>
        <w:t>not what</w:t>
      </w:r>
      <w:r w:rsidRPr="00C358AC">
        <w:t xml:space="preserve"> </w:t>
      </w:r>
      <w:r w:rsidRPr="00C358AC">
        <w:rPr>
          <w:i/>
          <w:iCs/>
        </w:rPr>
        <w:t>Kelle</w:t>
      </w:r>
      <w:r>
        <w:rPr>
          <w:i/>
          <w:iCs/>
        </w:rPr>
        <w:t>r</w:t>
      </w:r>
      <w:r>
        <w:rPr>
          <w:rStyle w:val="ilfuvd"/>
        </w:rPr>
        <w:t xml:space="preserve"> </w:t>
      </w:r>
      <w:r>
        <w:t xml:space="preserve">said was a reasonableness standard to resolve compulsory membership and compelled speech. </w:t>
      </w:r>
      <w:r>
        <w:rPr>
          <w:sz w:val="28"/>
          <w:szCs w:val="28"/>
        </w:rPr>
        <w:t xml:space="preserve"> </w:t>
      </w:r>
      <w:r w:rsidRPr="008508FB">
        <w:t xml:space="preserve">     </w:t>
      </w:r>
    </w:p>
  </w:footnote>
  <w:footnote w:id="13">
    <w:p w:rsidR="00CB3E2B" w:rsidRDefault="00CB3E2B" w:rsidP="00086D6F">
      <w:pPr>
        <w:pStyle w:val="FootnoteText"/>
      </w:pPr>
      <w:r>
        <w:rPr>
          <w:rStyle w:val="FootnoteReference"/>
        </w:rPr>
        <w:footnoteRef/>
      </w:r>
      <w:r>
        <w:t xml:space="preserve"> 841 N.W.2d. 179-180.</w:t>
      </w:r>
    </w:p>
  </w:footnote>
  <w:footnote w:id="14">
    <w:p w:rsidR="00CB3E2B" w:rsidRDefault="00CB3E2B" w:rsidP="00086D6F">
      <w:pPr>
        <w:pStyle w:val="Heading2"/>
        <w:spacing w:line="240" w:lineRule="auto"/>
      </w:pPr>
      <w:r w:rsidRPr="003B0409">
        <w:rPr>
          <w:rStyle w:val="FootnoteReference"/>
          <w:rFonts w:ascii="Times New Roman" w:hAnsi="Times New Roman"/>
          <w:b w:val="0"/>
          <w:color w:val="000000" w:themeColor="text1"/>
          <w:sz w:val="20"/>
        </w:rPr>
        <w:footnoteRef/>
      </w:r>
      <w:r w:rsidRPr="003B0409">
        <w:rPr>
          <w:rFonts w:ascii="Times New Roman" w:hAnsi="Times New Roman"/>
          <w:b w:val="0"/>
          <w:color w:val="000000" w:themeColor="text1"/>
          <w:sz w:val="20"/>
        </w:rPr>
        <w:t xml:space="preserve"> Press Release, State Bar of California, </w:t>
      </w:r>
      <w:r w:rsidRPr="003B0409">
        <w:rPr>
          <w:rFonts w:ascii="Times New Roman" w:eastAsia="Times New Roman" w:hAnsi="Times New Roman" w:cs="Times New Roman"/>
          <w:b w:val="0"/>
          <w:color w:val="000000" w:themeColor="text1"/>
          <w:sz w:val="20"/>
          <w:szCs w:val="36"/>
        </w:rPr>
        <w:t xml:space="preserve">State Bar </w:t>
      </w:r>
      <w:r>
        <w:rPr>
          <w:rFonts w:ascii="Times New Roman" w:eastAsia="Times New Roman" w:hAnsi="Times New Roman" w:cs="Times New Roman"/>
          <w:b w:val="0"/>
          <w:color w:val="000000" w:themeColor="text1"/>
          <w:sz w:val="20"/>
          <w:szCs w:val="36"/>
        </w:rPr>
        <w:t>P</w:t>
      </w:r>
      <w:r w:rsidRPr="003B0409">
        <w:rPr>
          <w:rFonts w:ascii="Times New Roman" w:eastAsia="Times New Roman" w:hAnsi="Times New Roman" w:cs="Times New Roman"/>
          <w:b w:val="0"/>
          <w:color w:val="000000" w:themeColor="text1"/>
          <w:sz w:val="20"/>
          <w:szCs w:val="36"/>
        </w:rPr>
        <w:t xml:space="preserve">repares to </w:t>
      </w:r>
      <w:r>
        <w:rPr>
          <w:rFonts w:ascii="Times New Roman" w:eastAsia="Times New Roman" w:hAnsi="Times New Roman" w:cs="Times New Roman"/>
          <w:b w:val="0"/>
          <w:color w:val="000000" w:themeColor="text1"/>
          <w:sz w:val="20"/>
          <w:szCs w:val="36"/>
        </w:rPr>
        <w:t>I</w:t>
      </w:r>
      <w:r w:rsidRPr="003B0409">
        <w:rPr>
          <w:rFonts w:ascii="Times New Roman" w:eastAsia="Times New Roman" w:hAnsi="Times New Roman" w:cs="Times New Roman"/>
          <w:b w:val="0"/>
          <w:color w:val="000000" w:themeColor="text1"/>
          <w:sz w:val="20"/>
          <w:szCs w:val="36"/>
        </w:rPr>
        <w:t>mple</w:t>
      </w:r>
      <w:r>
        <w:rPr>
          <w:rFonts w:ascii="Times New Roman" w:eastAsia="Times New Roman" w:hAnsi="Times New Roman" w:cs="Times New Roman"/>
          <w:b w:val="0"/>
          <w:color w:val="000000" w:themeColor="text1"/>
          <w:sz w:val="20"/>
          <w:szCs w:val="36"/>
        </w:rPr>
        <w:t>ment Historic R</w:t>
      </w:r>
      <w:r w:rsidRPr="003B0409">
        <w:rPr>
          <w:rFonts w:ascii="Times New Roman" w:eastAsia="Times New Roman" w:hAnsi="Times New Roman" w:cs="Times New Roman"/>
          <w:b w:val="0"/>
          <w:color w:val="000000" w:themeColor="text1"/>
          <w:sz w:val="20"/>
          <w:szCs w:val="36"/>
        </w:rPr>
        <w:t xml:space="preserve">eforms </w:t>
      </w:r>
      <w:r>
        <w:rPr>
          <w:rFonts w:ascii="Times New Roman" w:eastAsia="Times New Roman" w:hAnsi="Times New Roman" w:cs="Times New Roman"/>
          <w:b w:val="0"/>
          <w:color w:val="000000" w:themeColor="text1"/>
          <w:sz w:val="20"/>
          <w:szCs w:val="36"/>
        </w:rPr>
        <w:t>Following Gov. Brown S</w:t>
      </w:r>
      <w:r w:rsidRPr="003B0409">
        <w:rPr>
          <w:rFonts w:ascii="Times New Roman" w:eastAsia="Times New Roman" w:hAnsi="Times New Roman" w:cs="Times New Roman"/>
          <w:b w:val="0"/>
          <w:color w:val="000000" w:themeColor="text1"/>
          <w:sz w:val="20"/>
          <w:szCs w:val="36"/>
        </w:rPr>
        <w:t>ignature</w:t>
      </w:r>
      <w:r>
        <w:rPr>
          <w:rFonts w:ascii="Times New Roman" w:eastAsia="Times New Roman" w:hAnsi="Times New Roman" w:cs="Times New Roman"/>
          <w:b w:val="0"/>
          <w:color w:val="000000" w:themeColor="text1"/>
          <w:sz w:val="20"/>
          <w:szCs w:val="36"/>
        </w:rPr>
        <w:t xml:space="preserve"> on the Agency’s Annual Fee Bill, (Oct. 2, 2017)  available at </w:t>
      </w:r>
      <w:hyperlink r:id="rId2" w:history="1">
        <w:r w:rsidRPr="007E3A00">
          <w:rPr>
            <w:rStyle w:val="Hyperlink"/>
            <w:rFonts w:ascii="Times New Roman" w:eastAsia="Times New Roman" w:hAnsi="Times New Roman" w:cs="Times New Roman"/>
            <w:b w:val="0"/>
            <w:sz w:val="20"/>
            <w:szCs w:val="36"/>
          </w:rPr>
          <w:t>http://www.calbar.ca.gov/About-Us/News-Events/News-Releases/state-bar-prepares-to-implement-historic-reforms-following-gov-brown-signature-on-the-agencys-annual-fee-bill</w:t>
        </w:r>
      </w:hyperlink>
      <w:r>
        <w:rPr>
          <w:rFonts w:ascii="Times New Roman" w:eastAsia="Times New Roman" w:hAnsi="Times New Roman" w:cs="Times New Roman"/>
          <w:b w:val="0"/>
          <w:color w:val="000000" w:themeColor="text1"/>
          <w:sz w:val="20"/>
          <w:szCs w:val="36"/>
        </w:rPr>
        <w:t xml:space="preserve"> </w:t>
      </w:r>
    </w:p>
  </w:footnote>
  <w:footnote w:id="15">
    <w:p w:rsidR="00CB3E2B" w:rsidRDefault="00CB3E2B" w:rsidP="00822F82">
      <w:pPr>
        <w:pStyle w:val="FootnoteText"/>
      </w:pPr>
      <w:r>
        <w:rPr>
          <w:rStyle w:val="FootnoteReference"/>
        </w:rPr>
        <w:footnoteRef/>
      </w:r>
      <w:r>
        <w:t xml:space="preserve"> See, for instance, Arizona Legislature, House Ad Hoc Study Committee on Mandatory Bar Associations, public testimony of October 19, October 26, November 16, and December 7, 2015 archived and available at </w:t>
      </w:r>
      <w:r w:rsidRPr="004E0DE4">
        <w:t>https://www.azleg.gov/archivedmeetings/?Year=2015</w:t>
      </w:r>
    </w:p>
  </w:footnote>
  <w:footnote w:id="16">
    <w:p w:rsidR="00CB3E2B" w:rsidRDefault="00CB3E2B">
      <w:pPr>
        <w:pStyle w:val="FootnoteText"/>
      </w:pPr>
      <w:r>
        <w:rPr>
          <w:rStyle w:val="FootnoteReference"/>
        </w:rPr>
        <w:footnoteRef/>
      </w:r>
      <w:r>
        <w:t xml:space="preserve"> Mike Scarcella, US Supreme Court Labor Ruling Cited in Challenges to Mandatory Bar Dues, Daily Business Review, (Feb. 14, 2019)  </w:t>
      </w:r>
      <w:hyperlink r:id="rId3" w:history="1">
        <w:r w:rsidRPr="007E3A00">
          <w:rPr>
            <w:rStyle w:val="Hyperlink"/>
          </w:rPr>
          <w:t>https://www.law.com/dailybusinessreview/2019/02/14/us-supreme-court-ruling-fuels-suits-challenging-mandatory-bar-fees-392-47478/</w:t>
        </w:r>
      </w:hyperlink>
      <w:r>
        <w:t xml:space="preserve"> </w:t>
      </w:r>
    </w:p>
  </w:footnote>
  <w:footnote w:id="17">
    <w:p w:rsidR="00CB3E2B" w:rsidRDefault="00CB3E2B">
      <w:pPr>
        <w:pStyle w:val="FootnoteText"/>
      </w:pPr>
      <w:r>
        <w:rPr>
          <w:rStyle w:val="FootnoteReference"/>
        </w:rPr>
        <w:footnoteRef/>
      </w:r>
      <w:r>
        <w:t xml:space="preserve"> Angela Morris, Oklahoma Bar Argues Mandatory Dues Are Constitutional in Lawyer’s First Amendment Suit, Texas Lawyer, (April 25, 21019) </w:t>
      </w:r>
      <w:hyperlink r:id="rId4" w:history="1">
        <w:r w:rsidRPr="007E3A00">
          <w:rPr>
            <w:rStyle w:val="Hyperlink"/>
          </w:rPr>
          <w:t>https://www.law.com/texaslawyer/2019/04/25/oklahoma-bar-argues-mandatory-dues-are-constitutional-in-lawyers-first-amendment-suit/?slreturn=20190328001400</w:t>
        </w:r>
      </w:hyperlink>
      <w:r>
        <w:t xml:space="preserve"> </w:t>
      </w:r>
    </w:p>
  </w:footnote>
  <w:footnote w:id="18">
    <w:p w:rsidR="00CB3E2B" w:rsidRDefault="00CB3E2B">
      <w:pPr>
        <w:pStyle w:val="FootnoteText"/>
      </w:pPr>
      <w:r>
        <w:rPr>
          <w:rStyle w:val="FootnoteReference"/>
        </w:rPr>
        <w:footnoteRef/>
      </w:r>
      <w:r>
        <w:t xml:space="preserve"> Debra Cassens Weiss, Suit Challenges Mandatory Bar Membership in State Bar Because of Immigrant Support, Diversity Initiatives, ABA J., (March 12, 2019) </w:t>
      </w:r>
      <w:hyperlink r:id="rId5" w:history="1">
        <w:r w:rsidRPr="007E3A00">
          <w:rPr>
            <w:rStyle w:val="Hyperlink"/>
          </w:rPr>
          <w:t>http://www.abajournal.com/news/article/suit-challenges-mandatory-membership-in-texas-because-of-immigrant-support-diversity-initiatives</w:t>
        </w:r>
      </w:hyperlink>
      <w:r>
        <w:t xml:space="preserve"> </w:t>
      </w:r>
    </w:p>
  </w:footnote>
  <w:footnote w:id="19">
    <w:p w:rsidR="00CB3E2B" w:rsidRDefault="00CB3E2B">
      <w:pPr>
        <w:pStyle w:val="FootnoteText"/>
      </w:pPr>
      <w:r>
        <w:rPr>
          <w:rStyle w:val="FootnoteReference"/>
        </w:rPr>
        <w:footnoteRef/>
      </w:r>
      <w:r>
        <w:t xml:space="preserve"> See Editorial Board, After Janus, Free the Lawyers, WSJ (April 25, 2019)</w:t>
      </w:r>
    </w:p>
  </w:footnote>
  <w:footnote w:id="20">
    <w:p w:rsidR="00CB3E2B" w:rsidRDefault="00CB3E2B">
      <w:pPr>
        <w:pStyle w:val="FootnoteText"/>
      </w:pPr>
      <w:r>
        <w:rPr>
          <w:rStyle w:val="FootnoteReference"/>
        </w:rPr>
        <w:footnoteRef/>
      </w:r>
      <w:r>
        <w:t xml:space="preserve"> See FAQ House Bill 1788, Washington State Bar Association at </w:t>
      </w:r>
      <w:hyperlink r:id="rId6" w:history="1">
        <w:r w:rsidRPr="007E3A00">
          <w:rPr>
            <w:rStyle w:val="Hyperlink"/>
          </w:rPr>
          <w:t>https://www.wsba.org/about-wsba/legislative-affairs/faq-house-bill-1788</w:t>
        </w:r>
      </w:hyperlink>
      <w:r>
        <w:t xml:space="preserve">  and also see Amy Radil, WA Supreme Court Could Take Over For ‘Struggling’ Bar Association, KUOW radio, NPR affiliate, (Mar 15, 2019) </w:t>
      </w:r>
      <w:hyperlink r:id="rId7" w:history="1">
        <w:r w:rsidRPr="007E3A00">
          <w:rPr>
            <w:rStyle w:val="Hyperlink"/>
          </w:rPr>
          <w:t>https://www.kuow.org/stories/state-legislature-could-dissolve-struggling-bar-association</w:t>
        </w:r>
      </w:hyperlink>
      <w:r>
        <w:t xml:space="preserve"> </w:t>
      </w:r>
    </w:p>
  </w:footnote>
  <w:footnote w:id="21">
    <w:p w:rsidR="00CB3E2B" w:rsidRPr="008B53DB" w:rsidRDefault="00CB3E2B" w:rsidP="00742F35">
      <w:pPr>
        <w:spacing w:line="240" w:lineRule="auto"/>
      </w:pPr>
      <w:r>
        <w:rPr>
          <w:rStyle w:val="FootnoteReference"/>
        </w:rPr>
        <w:footnoteRef/>
      </w:r>
      <w:r>
        <w:t xml:space="preserve"> </w:t>
      </w:r>
      <w:r w:rsidRPr="008B53DB">
        <w:rPr>
          <w:rFonts w:cs="ArnoPro"/>
          <w:szCs w:val="24"/>
        </w:rPr>
        <w:t xml:space="preserve">James E. Moliterno, </w:t>
      </w:r>
      <w:r w:rsidRPr="008B53DB">
        <w:rPr>
          <w:rFonts w:cs="ArnoPro,Italic"/>
          <w:i/>
          <w:iCs/>
          <w:szCs w:val="24"/>
        </w:rPr>
        <w:t xml:space="preserve"> </w:t>
      </w:r>
      <w:r>
        <w:rPr>
          <w:rFonts w:cs="ArnoPro,Italic"/>
          <w:i/>
          <w:iCs/>
          <w:szCs w:val="24"/>
        </w:rPr>
        <w:t>The Trouble With Lawyer Regulation</w:t>
      </w:r>
      <w:r w:rsidRPr="008B53DB">
        <w:rPr>
          <w:rFonts w:cs="ArnoPro,Italic"/>
          <w:i/>
          <w:iCs/>
          <w:szCs w:val="24"/>
        </w:rPr>
        <w:t>s</w:t>
      </w:r>
      <w:r>
        <w:rPr>
          <w:rFonts w:cs="ArnoPro"/>
          <w:szCs w:val="24"/>
        </w:rPr>
        <w:t>,</w:t>
      </w:r>
      <w:r>
        <w:t xml:space="preserve"> Emory Law Journal, Vol. 62, p. 101, (2013).</w:t>
      </w:r>
    </w:p>
  </w:footnote>
  <w:footnote w:id="22">
    <w:p w:rsidR="005C2967" w:rsidRPr="005C2967" w:rsidRDefault="005C2967" w:rsidP="005C2967">
      <w:pPr>
        <w:autoSpaceDE w:val="0"/>
        <w:autoSpaceDN w:val="0"/>
        <w:adjustRightInd w:val="0"/>
        <w:spacing w:line="240" w:lineRule="auto"/>
      </w:pPr>
      <w:r>
        <w:rPr>
          <w:rStyle w:val="FootnoteReference"/>
        </w:rPr>
        <w:footnoteRef/>
      </w:r>
      <w:r>
        <w:t xml:space="preserve"> “</w:t>
      </w:r>
      <w:r w:rsidRPr="005C2967">
        <w:t>Low bono is a term that many bar leaders, law faculty and new</w:t>
      </w:r>
      <w:r>
        <w:t xml:space="preserve"> </w:t>
      </w:r>
      <w:r w:rsidRPr="005C2967">
        <w:t xml:space="preserve">graduates have heard but may not fully </w:t>
      </w:r>
      <w:r w:rsidR="00B707BC">
        <w:t>u</w:t>
      </w:r>
      <w:r w:rsidRPr="005C2967">
        <w:t xml:space="preserve">nderstand. </w:t>
      </w:r>
      <w:r w:rsidRPr="005C2967">
        <w:rPr>
          <w:b/>
          <w:bCs/>
        </w:rPr>
        <w:t xml:space="preserve">A </w:t>
      </w:r>
      <w:r w:rsidRPr="005C2967">
        <w:t>definition of low</w:t>
      </w:r>
      <w:r>
        <w:t xml:space="preserve"> </w:t>
      </w:r>
      <w:r w:rsidRPr="005C2967">
        <w:t xml:space="preserve">bono is not yet included in </w:t>
      </w:r>
      <w:r w:rsidRPr="005C2967">
        <w:rPr>
          <w:i/>
          <w:iCs/>
        </w:rPr>
        <w:t xml:space="preserve">Black's Law Dictionary </w:t>
      </w:r>
      <w:r w:rsidRPr="005C2967">
        <w:t>but the frequency</w:t>
      </w:r>
      <w:r>
        <w:t xml:space="preserve"> </w:t>
      </w:r>
      <w:r w:rsidRPr="005C2967">
        <w:t>of its use is increasing in the legal profession. Low bono is used</w:t>
      </w:r>
      <w:r>
        <w:t xml:space="preserve"> </w:t>
      </w:r>
      <w:r w:rsidRPr="005C2967">
        <w:t>synonymously with the practices of offering reduced legal fees.</w:t>
      </w:r>
      <w:r>
        <w:t xml:space="preserve">” </w:t>
      </w:r>
      <w:r w:rsidRPr="00B707BC">
        <w:rPr>
          <w:color w:val="000000"/>
        </w:rPr>
        <w:t xml:space="preserve">Luz E. Herrera, </w:t>
      </w:r>
      <w:r w:rsidRPr="00B707BC">
        <w:rPr>
          <w:i/>
          <w:iCs/>
          <w:color w:val="000000"/>
        </w:rPr>
        <w:t>Encouraging the Development of Low Bono Law Practices</w:t>
      </w:r>
      <w:r w:rsidRPr="00B707BC">
        <w:rPr>
          <w:color w:val="000000"/>
        </w:rPr>
        <w:t>, 14 U. Md. L. J. Race, Religion, Gender &amp; Class 1 (2014). A</w:t>
      </w:r>
      <w:r w:rsidR="00B707BC" w:rsidRPr="00B707BC">
        <w:rPr>
          <w:color w:val="000000"/>
        </w:rPr>
        <w:t>t</w:t>
      </w:r>
      <w:r w:rsidRPr="00B707BC">
        <w:rPr>
          <w:color w:val="000000"/>
        </w:rPr>
        <w:t xml:space="preserve"> </w:t>
      </w:r>
      <w:r w:rsidRPr="00B707BC">
        <w:rPr>
          <w:color w:val="316192"/>
        </w:rPr>
        <w:t>https://scholarship.law.tamu.edu/facscholar/779</w:t>
      </w:r>
    </w:p>
  </w:footnote>
  <w:footnote w:id="23">
    <w:p w:rsidR="00CB3E2B" w:rsidRDefault="00CB3E2B">
      <w:pPr>
        <w:pStyle w:val="FootnoteText"/>
      </w:pPr>
      <w:r>
        <w:rPr>
          <w:rStyle w:val="FootnoteReference"/>
        </w:rPr>
        <w:footnoteRef/>
      </w:r>
      <w:r>
        <w:t xml:space="preserve"> Mauricio Hernandez, </w:t>
      </w:r>
      <w:r w:rsidRPr="0086764A">
        <w:rPr>
          <w:i/>
        </w:rPr>
        <w:t>Perspective, How not to address the legal needs of the public</w:t>
      </w:r>
      <w:r>
        <w:t>, The Record Reporter, (January 20, 2017) at 3.</w:t>
      </w:r>
    </w:p>
  </w:footnote>
  <w:footnote w:id="24">
    <w:p w:rsidR="00CB3E2B" w:rsidRDefault="00CB3E2B">
      <w:pPr>
        <w:pStyle w:val="FootnoteText"/>
      </w:pPr>
      <w:r>
        <w:rPr>
          <w:rStyle w:val="FootnoteReference"/>
        </w:rPr>
        <w:footnoteRef/>
      </w:r>
      <w:r>
        <w:t xml:space="preserve"> Ibid.</w:t>
      </w:r>
    </w:p>
  </w:footnote>
  <w:footnote w:id="25">
    <w:p w:rsidR="00CB3E2B" w:rsidRDefault="00CB3E2B">
      <w:pPr>
        <w:pStyle w:val="FootnoteText"/>
      </w:pPr>
      <w:r>
        <w:rPr>
          <w:rStyle w:val="FootnoteReference"/>
        </w:rPr>
        <w:footnoteRef/>
      </w:r>
      <w:r>
        <w:t xml:space="preserve"> Ibid.</w:t>
      </w:r>
    </w:p>
  </w:footnote>
  <w:footnote w:id="26">
    <w:p w:rsidR="00CB3E2B" w:rsidRDefault="00CB3E2B">
      <w:pPr>
        <w:pStyle w:val="FootnoteText"/>
      </w:pPr>
      <w:r>
        <w:rPr>
          <w:rStyle w:val="FootnoteReference"/>
        </w:rPr>
        <w:footnoteRef/>
      </w:r>
      <w:r>
        <w:t xml:space="preserve"> To be fair, some of the perplexity about the Bar’s identity derives from the </w:t>
      </w:r>
      <w:r w:rsidR="005F3A88">
        <w:t>this</w:t>
      </w:r>
      <w:r>
        <w:t xml:space="preserve"> dual hatted regulatory agency and trade association roles. When, for example, either the Bar’s disciplinary function or its licensing expenditures are challenged, the Bar can justify its actions as an arm of the state supreme court in regulating the practice of law. In such instances, the Bar is akin to a state agency. But when it spends member funds on non-regulation, then the Bar has a harder task justifying the compulsory collection of funds meant to promote and improve the business conditions of its membership. See, for examples, </w:t>
      </w:r>
      <w:r w:rsidRPr="00E12917">
        <w:rPr>
          <w:i/>
        </w:rPr>
        <w:t>Bates v. State Bar of Arizona</w:t>
      </w:r>
      <w:r>
        <w:t xml:space="preserve"> 433 U.S. 350, 361 (1977) and </w:t>
      </w:r>
      <w:r w:rsidRPr="00E12917">
        <w:rPr>
          <w:i/>
        </w:rPr>
        <w:t>Hoover v. Ronwin</w:t>
      </w:r>
      <w:r>
        <w:t>, 466 U.S. 558 (1984).</w:t>
      </w:r>
    </w:p>
  </w:footnote>
  <w:footnote w:id="27">
    <w:p w:rsidR="00CB3E2B" w:rsidRDefault="00CB3E2B">
      <w:pPr>
        <w:pStyle w:val="FootnoteText"/>
      </w:pPr>
      <w:r>
        <w:rPr>
          <w:rStyle w:val="FootnoteReference"/>
        </w:rPr>
        <w:footnoteRef/>
      </w:r>
      <w:r>
        <w:t xml:space="preserve"> In 2017, the mission confusion was evidenced in board candidates’ campaign statements where both aspirants and incumbents asked either for “the opportunity to serve my fellow lawyers” or to be “a voice for solo and young lawyer” so that “the needs of our members are voiced and heard” or who pledge to “make sure the Bar is here to help attorneys, not hurt them.” Consistent with its perceived longstanding trade association role, there were pledges “to ensure the Bar is working for its members” or that it “performs more services for the membership.” Two years later during </w:t>
      </w:r>
      <w:r w:rsidR="00941408">
        <w:t>2019</w:t>
      </w:r>
      <w:r w:rsidR="005F3A88">
        <w:t xml:space="preserve"> elections, not much </w:t>
      </w:r>
      <w:r>
        <w:t>changed. One reelected incumbent ran</w:t>
      </w:r>
      <w:r w:rsidR="005F3A88">
        <w:t xml:space="preserve"> this year</w:t>
      </w:r>
      <w:r>
        <w:t xml:space="preserve"> on a platform wanting the State Bar “to continue to work for “the little guy” – the solo-practitioner, the public defender, the public interest lawyer.” Another reelected board member – by far the highest vote-getter - reaffirmed his 2017 platform to “make sure the Bar is here to help attorneys, not hurt them and to ensure Bar dues promote and help attorneys.” See 2019 Board of Governors Candidate’s Campaign Statements, </w:t>
      </w:r>
      <w:hyperlink r:id="rId8" w:history="1">
        <w:r w:rsidRPr="008E19E4">
          <w:rPr>
            <w:rStyle w:val="Hyperlink"/>
          </w:rPr>
          <w:t>https://www.azbar.org/aboutus/leadership/boardofgovernors/2019electioncandidates/2019boardofgovernorscandidatesstatements/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2B" w:rsidRDefault="00CB3E2B">
    <w:pPr>
      <w:pStyle w:val="Header"/>
    </w:pPr>
    <w:r>
      <w:rPr>
        <w:noProof/>
      </w:rPr>
      <mc:AlternateContent>
        <mc:Choice Requires="wps">
          <w:drawing>
            <wp:anchor distT="0" distB="0" distL="114300" distR="114300" simplePos="0" relativeHeight="251657728" behindDoc="0" locked="0" layoutInCell="1" allowOverlap="1" wp14:anchorId="26D696A7" wp14:editId="115E496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6931D75E" wp14:editId="382015C7">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41F04AF6" wp14:editId="3A7886C6">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CB3E2B" w:rsidRDefault="00CB3E2B">
    <w:r>
      <w:rPr>
        <w:noProof/>
      </w:rPr>
      <mc:AlternateContent>
        <mc:Choice Requires="wps">
          <w:drawing>
            <wp:anchor distT="0" distB="0" distL="114300" distR="114300" simplePos="0" relativeHeight="251658752" behindDoc="0" locked="0" layoutInCell="1" allowOverlap="1" wp14:anchorId="3CD737BE" wp14:editId="27823763">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E2B" w:rsidRPr="00000C35" w:rsidRDefault="00CB3E2B">
                          <w:pPr>
                            <w:jc w:val="right"/>
                            <w:rPr>
                              <w:sz w:val="28"/>
                              <w:szCs w:val="28"/>
                            </w:rPr>
                          </w:pPr>
                          <w:r w:rsidRPr="00000C35">
                            <w:rPr>
                              <w:sz w:val="28"/>
                              <w:szCs w:val="28"/>
                            </w:rPr>
                            <w:t>1</w:t>
                          </w:r>
                        </w:p>
                        <w:p w:rsidR="00CB3E2B" w:rsidRPr="00000C35" w:rsidRDefault="00CB3E2B">
                          <w:pPr>
                            <w:jc w:val="right"/>
                            <w:rPr>
                              <w:sz w:val="28"/>
                              <w:szCs w:val="28"/>
                            </w:rPr>
                          </w:pPr>
                          <w:r w:rsidRPr="00000C35">
                            <w:rPr>
                              <w:sz w:val="28"/>
                              <w:szCs w:val="28"/>
                            </w:rPr>
                            <w:t>2</w:t>
                          </w:r>
                        </w:p>
                        <w:p w:rsidR="00CB3E2B" w:rsidRPr="00000C35" w:rsidRDefault="00CB3E2B">
                          <w:pPr>
                            <w:jc w:val="right"/>
                            <w:rPr>
                              <w:sz w:val="28"/>
                              <w:szCs w:val="28"/>
                            </w:rPr>
                          </w:pPr>
                          <w:r w:rsidRPr="00000C35">
                            <w:rPr>
                              <w:sz w:val="28"/>
                              <w:szCs w:val="28"/>
                            </w:rPr>
                            <w:t>3</w:t>
                          </w:r>
                        </w:p>
                        <w:p w:rsidR="00CB3E2B" w:rsidRPr="00000C35" w:rsidRDefault="00CB3E2B">
                          <w:pPr>
                            <w:jc w:val="right"/>
                            <w:rPr>
                              <w:sz w:val="28"/>
                              <w:szCs w:val="28"/>
                            </w:rPr>
                          </w:pPr>
                          <w:r w:rsidRPr="00000C35">
                            <w:rPr>
                              <w:sz w:val="28"/>
                              <w:szCs w:val="28"/>
                            </w:rPr>
                            <w:t>4</w:t>
                          </w:r>
                        </w:p>
                        <w:p w:rsidR="00CB3E2B" w:rsidRPr="00000C35" w:rsidRDefault="00CB3E2B">
                          <w:pPr>
                            <w:jc w:val="right"/>
                            <w:rPr>
                              <w:sz w:val="28"/>
                              <w:szCs w:val="28"/>
                            </w:rPr>
                          </w:pPr>
                          <w:r w:rsidRPr="00000C35">
                            <w:rPr>
                              <w:sz w:val="28"/>
                              <w:szCs w:val="28"/>
                            </w:rPr>
                            <w:t>5</w:t>
                          </w:r>
                        </w:p>
                        <w:p w:rsidR="00CB3E2B" w:rsidRPr="00000C35" w:rsidRDefault="00CB3E2B">
                          <w:pPr>
                            <w:jc w:val="right"/>
                            <w:rPr>
                              <w:sz w:val="28"/>
                              <w:szCs w:val="28"/>
                            </w:rPr>
                          </w:pPr>
                          <w:r w:rsidRPr="00000C35">
                            <w:rPr>
                              <w:sz w:val="28"/>
                              <w:szCs w:val="28"/>
                            </w:rPr>
                            <w:t>6</w:t>
                          </w:r>
                        </w:p>
                        <w:p w:rsidR="00CB3E2B" w:rsidRPr="00000C35" w:rsidRDefault="00CB3E2B">
                          <w:pPr>
                            <w:jc w:val="right"/>
                            <w:rPr>
                              <w:sz w:val="28"/>
                              <w:szCs w:val="28"/>
                            </w:rPr>
                          </w:pPr>
                          <w:r w:rsidRPr="00000C35">
                            <w:rPr>
                              <w:sz w:val="28"/>
                              <w:szCs w:val="28"/>
                            </w:rPr>
                            <w:t>7</w:t>
                          </w:r>
                        </w:p>
                        <w:p w:rsidR="00CB3E2B" w:rsidRPr="00000C35" w:rsidRDefault="00CB3E2B">
                          <w:pPr>
                            <w:jc w:val="right"/>
                            <w:rPr>
                              <w:sz w:val="28"/>
                              <w:szCs w:val="28"/>
                            </w:rPr>
                          </w:pPr>
                          <w:r w:rsidRPr="00000C35">
                            <w:rPr>
                              <w:sz w:val="28"/>
                              <w:szCs w:val="28"/>
                            </w:rPr>
                            <w:t>8</w:t>
                          </w:r>
                        </w:p>
                        <w:p w:rsidR="00CB3E2B" w:rsidRPr="00000C35" w:rsidRDefault="00CB3E2B">
                          <w:pPr>
                            <w:jc w:val="right"/>
                            <w:rPr>
                              <w:sz w:val="28"/>
                              <w:szCs w:val="28"/>
                            </w:rPr>
                          </w:pPr>
                          <w:r w:rsidRPr="00000C35">
                            <w:rPr>
                              <w:sz w:val="28"/>
                              <w:szCs w:val="28"/>
                            </w:rPr>
                            <w:t>9</w:t>
                          </w:r>
                        </w:p>
                        <w:p w:rsidR="00CB3E2B" w:rsidRPr="00000C35" w:rsidRDefault="00CB3E2B">
                          <w:pPr>
                            <w:jc w:val="right"/>
                            <w:rPr>
                              <w:sz w:val="28"/>
                              <w:szCs w:val="28"/>
                            </w:rPr>
                          </w:pPr>
                          <w:r w:rsidRPr="00000C35">
                            <w:rPr>
                              <w:sz w:val="28"/>
                              <w:szCs w:val="28"/>
                            </w:rPr>
                            <w:t>10</w:t>
                          </w:r>
                        </w:p>
                        <w:p w:rsidR="00CB3E2B" w:rsidRPr="00000C35" w:rsidRDefault="00CB3E2B">
                          <w:pPr>
                            <w:jc w:val="right"/>
                            <w:rPr>
                              <w:sz w:val="28"/>
                              <w:szCs w:val="28"/>
                            </w:rPr>
                          </w:pPr>
                          <w:r w:rsidRPr="00000C35">
                            <w:rPr>
                              <w:sz w:val="28"/>
                              <w:szCs w:val="28"/>
                            </w:rPr>
                            <w:t>11</w:t>
                          </w:r>
                        </w:p>
                        <w:p w:rsidR="00CB3E2B" w:rsidRPr="00000C35" w:rsidRDefault="00CB3E2B">
                          <w:pPr>
                            <w:jc w:val="right"/>
                            <w:rPr>
                              <w:sz w:val="28"/>
                              <w:szCs w:val="28"/>
                            </w:rPr>
                          </w:pPr>
                          <w:r w:rsidRPr="00000C35">
                            <w:rPr>
                              <w:sz w:val="28"/>
                              <w:szCs w:val="28"/>
                            </w:rPr>
                            <w:t>12</w:t>
                          </w:r>
                        </w:p>
                        <w:p w:rsidR="00CB3E2B" w:rsidRPr="00000C35" w:rsidRDefault="00CB3E2B">
                          <w:pPr>
                            <w:jc w:val="right"/>
                            <w:rPr>
                              <w:sz w:val="28"/>
                              <w:szCs w:val="28"/>
                            </w:rPr>
                          </w:pPr>
                          <w:r w:rsidRPr="00000C35">
                            <w:rPr>
                              <w:sz w:val="28"/>
                              <w:szCs w:val="28"/>
                            </w:rPr>
                            <w:t>13</w:t>
                          </w:r>
                        </w:p>
                        <w:p w:rsidR="00CB3E2B" w:rsidRPr="00000C35" w:rsidRDefault="00CB3E2B">
                          <w:pPr>
                            <w:jc w:val="right"/>
                            <w:rPr>
                              <w:sz w:val="28"/>
                              <w:szCs w:val="28"/>
                            </w:rPr>
                          </w:pPr>
                          <w:r w:rsidRPr="00000C35">
                            <w:rPr>
                              <w:sz w:val="28"/>
                              <w:szCs w:val="28"/>
                            </w:rPr>
                            <w:t>14</w:t>
                          </w:r>
                        </w:p>
                        <w:p w:rsidR="00CB3E2B" w:rsidRPr="00000C35" w:rsidRDefault="00CB3E2B">
                          <w:pPr>
                            <w:jc w:val="right"/>
                            <w:rPr>
                              <w:sz w:val="28"/>
                              <w:szCs w:val="28"/>
                            </w:rPr>
                          </w:pPr>
                          <w:r w:rsidRPr="00000C35">
                            <w:rPr>
                              <w:sz w:val="28"/>
                              <w:szCs w:val="28"/>
                            </w:rPr>
                            <w:t>15</w:t>
                          </w:r>
                        </w:p>
                        <w:p w:rsidR="00CB3E2B" w:rsidRPr="00000C35" w:rsidRDefault="00CB3E2B">
                          <w:pPr>
                            <w:jc w:val="right"/>
                            <w:rPr>
                              <w:sz w:val="28"/>
                              <w:szCs w:val="28"/>
                            </w:rPr>
                          </w:pPr>
                          <w:r w:rsidRPr="00000C35">
                            <w:rPr>
                              <w:sz w:val="28"/>
                              <w:szCs w:val="28"/>
                            </w:rPr>
                            <w:t>16</w:t>
                          </w:r>
                        </w:p>
                        <w:p w:rsidR="00CB3E2B" w:rsidRPr="00000C35" w:rsidRDefault="00CB3E2B">
                          <w:pPr>
                            <w:jc w:val="right"/>
                            <w:rPr>
                              <w:sz w:val="28"/>
                              <w:szCs w:val="28"/>
                            </w:rPr>
                          </w:pPr>
                          <w:r w:rsidRPr="00000C35">
                            <w:rPr>
                              <w:sz w:val="28"/>
                              <w:szCs w:val="28"/>
                            </w:rPr>
                            <w:t>17</w:t>
                          </w:r>
                        </w:p>
                        <w:p w:rsidR="00CB3E2B" w:rsidRPr="00000C35" w:rsidRDefault="00CB3E2B">
                          <w:pPr>
                            <w:jc w:val="right"/>
                            <w:rPr>
                              <w:sz w:val="28"/>
                              <w:szCs w:val="28"/>
                            </w:rPr>
                          </w:pPr>
                          <w:r w:rsidRPr="00000C35">
                            <w:rPr>
                              <w:sz w:val="28"/>
                              <w:szCs w:val="28"/>
                            </w:rPr>
                            <w:t>18</w:t>
                          </w:r>
                        </w:p>
                        <w:p w:rsidR="00CB3E2B" w:rsidRPr="00000C35" w:rsidRDefault="00CB3E2B">
                          <w:pPr>
                            <w:jc w:val="right"/>
                            <w:rPr>
                              <w:sz w:val="28"/>
                              <w:szCs w:val="28"/>
                            </w:rPr>
                          </w:pPr>
                          <w:r w:rsidRPr="00000C35">
                            <w:rPr>
                              <w:sz w:val="28"/>
                              <w:szCs w:val="28"/>
                            </w:rPr>
                            <w:t>19</w:t>
                          </w:r>
                        </w:p>
                        <w:p w:rsidR="00CB3E2B" w:rsidRPr="00000C35" w:rsidRDefault="00CB3E2B">
                          <w:pPr>
                            <w:jc w:val="right"/>
                            <w:rPr>
                              <w:sz w:val="28"/>
                              <w:szCs w:val="28"/>
                            </w:rPr>
                          </w:pPr>
                          <w:r w:rsidRPr="00000C35">
                            <w:rPr>
                              <w:sz w:val="28"/>
                              <w:szCs w:val="28"/>
                            </w:rPr>
                            <w:t>20</w:t>
                          </w:r>
                        </w:p>
                        <w:p w:rsidR="00CB3E2B" w:rsidRPr="00000C35" w:rsidRDefault="00CB3E2B">
                          <w:pPr>
                            <w:jc w:val="right"/>
                            <w:rPr>
                              <w:sz w:val="28"/>
                              <w:szCs w:val="28"/>
                            </w:rPr>
                          </w:pPr>
                          <w:r w:rsidRPr="00000C35">
                            <w:rPr>
                              <w:sz w:val="28"/>
                              <w:szCs w:val="28"/>
                            </w:rPr>
                            <w:t>21</w:t>
                          </w:r>
                        </w:p>
                        <w:p w:rsidR="00CB3E2B" w:rsidRPr="00000C35" w:rsidRDefault="00CB3E2B">
                          <w:pPr>
                            <w:jc w:val="right"/>
                            <w:rPr>
                              <w:sz w:val="28"/>
                              <w:szCs w:val="28"/>
                            </w:rPr>
                          </w:pPr>
                          <w:r w:rsidRPr="00000C35">
                            <w:rPr>
                              <w:sz w:val="28"/>
                              <w:szCs w:val="28"/>
                            </w:rPr>
                            <w:t>22</w:t>
                          </w:r>
                        </w:p>
                        <w:p w:rsidR="00CB3E2B" w:rsidRPr="00000C35" w:rsidRDefault="00CB3E2B">
                          <w:pPr>
                            <w:jc w:val="right"/>
                            <w:rPr>
                              <w:sz w:val="28"/>
                              <w:szCs w:val="28"/>
                            </w:rPr>
                          </w:pPr>
                          <w:r w:rsidRPr="00000C35">
                            <w:rPr>
                              <w:sz w:val="28"/>
                              <w:szCs w:val="28"/>
                            </w:rPr>
                            <w:t>23</w:t>
                          </w:r>
                        </w:p>
                        <w:p w:rsidR="00CB3E2B" w:rsidRPr="00000C35" w:rsidRDefault="00CB3E2B">
                          <w:pPr>
                            <w:jc w:val="right"/>
                            <w:rPr>
                              <w:sz w:val="28"/>
                              <w:szCs w:val="28"/>
                            </w:rPr>
                          </w:pPr>
                          <w:r w:rsidRPr="00000C35">
                            <w:rPr>
                              <w:sz w:val="28"/>
                              <w:szCs w:val="28"/>
                            </w:rPr>
                            <w:t>24</w:t>
                          </w:r>
                        </w:p>
                        <w:p w:rsidR="00CB3E2B" w:rsidRPr="00000C35" w:rsidRDefault="00CB3E2B">
                          <w:pPr>
                            <w:jc w:val="right"/>
                            <w:rPr>
                              <w:sz w:val="28"/>
                              <w:szCs w:val="28"/>
                            </w:rPr>
                          </w:pPr>
                          <w:r w:rsidRPr="00000C35">
                            <w:rPr>
                              <w:sz w:val="28"/>
                              <w:szCs w:val="28"/>
                            </w:rPr>
                            <w:t>25</w:t>
                          </w:r>
                        </w:p>
                        <w:p w:rsidR="00CB3E2B" w:rsidRPr="00000C35" w:rsidRDefault="00CB3E2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CB3E2B" w:rsidRPr="00000C35" w:rsidRDefault="00CB3E2B">
                    <w:pPr>
                      <w:jc w:val="right"/>
                      <w:rPr>
                        <w:sz w:val="28"/>
                        <w:szCs w:val="28"/>
                      </w:rPr>
                    </w:pPr>
                    <w:r w:rsidRPr="00000C35">
                      <w:rPr>
                        <w:sz w:val="28"/>
                        <w:szCs w:val="28"/>
                      </w:rPr>
                      <w:t>1</w:t>
                    </w:r>
                  </w:p>
                  <w:p w:rsidR="00CB3E2B" w:rsidRPr="00000C35" w:rsidRDefault="00CB3E2B">
                    <w:pPr>
                      <w:jc w:val="right"/>
                      <w:rPr>
                        <w:sz w:val="28"/>
                        <w:szCs w:val="28"/>
                      </w:rPr>
                    </w:pPr>
                    <w:r w:rsidRPr="00000C35">
                      <w:rPr>
                        <w:sz w:val="28"/>
                        <w:szCs w:val="28"/>
                      </w:rPr>
                      <w:t>2</w:t>
                    </w:r>
                  </w:p>
                  <w:p w:rsidR="00CB3E2B" w:rsidRPr="00000C35" w:rsidRDefault="00CB3E2B">
                    <w:pPr>
                      <w:jc w:val="right"/>
                      <w:rPr>
                        <w:sz w:val="28"/>
                        <w:szCs w:val="28"/>
                      </w:rPr>
                    </w:pPr>
                    <w:r w:rsidRPr="00000C35">
                      <w:rPr>
                        <w:sz w:val="28"/>
                        <w:szCs w:val="28"/>
                      </w:rPr>
                      <w:t>3</w:t>
                    </w:r>
                  </w:p>
                  <w:p w:rsidR="00CB3E2B" w:rsidRPr="00000C35" w:rsidRDefault="00CB3E2B">
                    <w:pPr>
                      <w:jc w:val="right"/>
                      <w:rPr>
                        <w:sz w:val="28"/>
                        <w:szCs w:val="28"/>
                      </w:rPr>
                    </w:pPr>
                    <w:r w:rsidRPr="00000C35">
                      <w:rPr>
                        <w:sz w:val="28"/>
                        <w:szCs w:val="28"/>
                      </w:rPr>
                      <w:t>4</w:t>
                    </w:r>
                  </w:p>
                  <w:p w:rsidR="00CB3E2B" w:rsidRPr="00000C35" w:rsidRDefault="00CB3E2B">
                    <w:pPr>
                      <w:jc w:val="right"/>
                      <w:rPr>
                        <w:sz w:val="28"/>
                        <w:szCs w:val="28"/>
                      </w:rPr>
                    </w:pPr>
                    <w:r w:rsidRPr="00000C35">
                      <w:rPr>
                        <w:sz w:val="28"/>
                        <w:szCs w:val="28"/>
                      </w:rPr>
                      <w:t>5</w:t>
                    </w:r>
                  </w:p>
                  <w:p w:rsidR="00CB3E2B" w:rsidRPr="00000C35" w:rsidRDefault="00CB3E2B">
                    <w:pPr>
                      <w:jc w:val="right"/>
                      <w:rPr>
                        <w:sz w:val="28"/>
                        <w:szCs w:val="28"/>
                      </w:rPr>
                    </w:pPr>
                    <w:r w:rsidRPr="00000C35">
                      <w:rPr>
                        <w:sz w:val="28"/>
                        <w:szCs w:val="28"/>
                      </w:rPr>
                      <w:t>6</w:t>
                    </w:r>
                  </w:p>
                  <w:p w:rsidR="00CB3E2B" w:rsidRPr="00000C35" w:rsidRDefault="00CB3E2B">
                    <w:pPr>
                      <w:jc w:val="right"/>
                      <w:rPr>
                        <w:sz w:val="28"/>
                        <w:szCs w:val="28"/>
                      </w:rPr>
                    </w:pPr>
                    <w:r w:rsidRPr="00000C35">
                      <w:rPr>
                        <w:sz w:val="28"/>
                        <w:szCs w:val="28"/>
                      </w:rPr>
                      <w:t>7</w:t>
                    </w:r>
                  </w:p>
                  <w:p w:rsidR="00CB3E2B" w:rsidRPr="00000C35" w:rsidRDefault="00CB3E2B">
                    <w:pPr>
                      <w:jc w:val="right"/>
                      <w:rPr>
                        <w:sz w:val="28"/>
                        <w:szCs w:val="28"/>
                      </w:rPr>
                    </w:pPr>
                    <w:r w:rsidRPr="00000C35">
                      <w:rPr>
                        <w:sz w:val="28"/>
                        <w:szCs w:val="28"/>
                      </w:rPr>
                      <w:t>8</w:t>
                    </w:r>
                  </w:p>
                  <w:p w:rsidR="00CB3E2B" w:rsidRPr="00000C35" w:rsidRDefault="00CB3E2B">
                    <w:pPr>
                      <w:jc w:val="right"/>
                      <w:rPr>
                        <w:sz w:val="28"/>
                        <w:szCs w:val="28"/>
                      </w:rPr>
                    </w:pPr>
                    <w:r w:rsidRPr="00000C35">
                      <w:rPr>
                        <w:sz w:val="28"/>
                        <w:szCs w:val="28"/>
                      </w:rPr>
                      <w:t>9</w:t>
                    </w:r>
                  </w:p>
                  <w:p w:rsidR="00CB3E2B" w:rsidRPr="00000C35" w:rsidRDefault="00CB3E2B">
                    <w:pPr>
                      <w:jc w:val="right"/>
                      <w:rPr>
                        <w:sz w:val="28"/>
                        <w:szCs w:val="28"/>
                      </w:rPr>
                    </w:pPr>
                    <w:r w:rsidRPr="00000C35">
                      <w:rPr>
                        <w:sz w:val="28"/>
                        <w:szCs w:val="28"/>
                      </w:rPr>
                      <w:t>10</w:t>
                    </w:r>
                  </w:p>
                  <w:p w:rsidR="00CB3E2B" w:rsidRPr="00000C35" w:rsidRDefault="00CB3E2B">
                    <w:pPr>
                      <w:jc w:val="right"/>
                      <w:rPr>
                        <w:sz w:val="28"/>
                        <w:szCs w:val="28"/>
                      </w:rPr>
                    </w:pPr>
                    <w:r w:rsidRPr="00000C35">
                      <w:rPr>
                        <w:sz w:val="28"/>
                        <w:szCs w:val="28"/>
                      </w:rPr>
                      <w:t>11</w:t>
                    </w:r>
                  </w:p>
                  <w:p w:rsidR="00CB3E2B" w:rsidRPr="00000C35" w:rsidRDefault="00CB3E2B">
                    <w:pPr>
                      <w:jc w:val="right"/>
                      <w:rPr>
                        <w:sz w:val="28"/>
                        <w:szCs w:val="28"/>
                      </w:rPr>
                    </w:pPr>
                    <w:r w:rsidRPr="00000C35">
                      <w:rPr>
                        <w:sz w:val="28"/>
                        <w:szCs w:val="28"/>
                      </w:rPr>
                      <w:t>12</w:t>
                    </w:r>
                  </w:p>
                  <w:p w:rsidR="00CB3E2B" w:rsidRPr="00000C35" w:rsidRDefault="00CB3E2B">
                    <w:pPr>
                      <w:jc w:val="right"/>
                      <w:rPr>
                        <w:sz w:val="28"/>
                        <w:szCs w:val="28"/>
                      </w:rPr>
                    </w:pPr>
                    <w:r w:rsidRPr="00000C35">
                      <w:rPr>
                        <w:sz w:val="28"/>
                        <w:szCs w:val="28"/>
                      </w:rPr>
                      <w:t>13</w:t>
                    </w:r>
                  </w:p>
                  <w:p w:rsidR="00CB3E2B" w:rsidRPr="00000C35" w:rsidRDefault="00CB3E2B">
                    <w:pPr>
                      <w:jc w:val="right"/>
                      <w:rPr>
                        <w:sz w:val="28"/>
                        <w:szCs w:val="28"/>
                      </w:rPr>
                    </w:pPr>
                    <w:r w:rsidRPr="00000C35">
                      <w:rPr>
                        <w:sz w:val="28"/>
                        <w:szCs w:val="28"/>
                      </w:rPr>
                      <w:t>14</w:t>
                    </w:r>
                  </w:p>
                  <w:p w:rsidR="00CB3E2B" w:rsidRPr="00000C35" w:rsidRDefault="00CB3E2B">
                    <w:pPr>
                      <w:jc w:val="right"/>
                      <w:rPr>
                        <w:sz w:val="28"/>
                        <w:szCs w:val="28"/>
                      </w:rPr>
                    </w:pPr>
                    <w:r w:rsidRPr="00000C35">
                      <w:rPr>
                        <w:sz w:val="28"/>
                        <w:szCs w:val="28"/>
                      </w:rPr>
                      <w:t>15</w:t>
                    </w:r>
                  </w:p>
                  <w:p w:rsidR="00CB3E2B" w:rsidRPr="00000C35" w:rsidRDefault="00CB3E2B">
                    <w:pPr>
                      <w:jc w:val="right"/>
                      <w:rPr>
                        <w:sz w:val="28"/>
                        <w:szCs w:val="28"/>
                      </w:rPr>
                    </w:pPr>
                    <w:r w:rsidRPr="00000C35">
                      <w:rPr>
                        <w:sz w:val="28"/>
                        <w:szCs w:val="28"/>
                      </w:rPr>
                      <w:t>16</w:t>
                    </w:r>
                  </w:p>
                  <w:p w:rsidR="00CB3E2B" w:rsidRPr="00000C35" w:rsidRDefault="00CB3E2B">
                    <w:pPr>
                      <w:jc w:val="right"/>
                      <w:rPr>
                        <w:sz w:val="28"/>
                        <w:szCs w:val="28"/>
                      </w:rPr>
                    </w:pPr>
                    <w:r w:rsidRPr="00000C35">
                      <w:rPr>
                        <w:sz w:val="28"/>
                        <w:szCs w:val="28"/>
                      </w:rPr>
                      <w:t>17</w:t>
                    </w:r>
                  </w:p>
                  <w:p w:rsidR="00CB3E2B" w:rsidRPr="00000C35" w:rsidRDefault="00CB3E2B">
                    <w:pPr>
                      <w:jc w:val="right"/>
                      <w:rPr>
                        <w:sz w:val="28"/>
                        <w:szCs w:val="28"/>
                      </w:rPr>
                    </w:pPr>
                    <w:r w:rsidRPr="00000C35">
                      <w:rPr>
                        <w:sz w:val="28"/>
                        <w:szCs w:val="28"/>
                      </w:rPr>
                      <w:t>18</w:t>
                    </w:r>
                  </w:p>
                  <w:p w:rsidR="00CB3E2B" w:rsidRPr="00000C35" w:rsidRDefault="00CB3E2B">
                    <w:pPr>
                      <w:jc w:val="right"/>
                      <w:rPr>
                        <w:sz w:val="28"/>
                        <w:szCs w:val="28"/>
                      </w:rPr>
                    </w:pPr>
                    <w:r w:rsidRPr="00000C35">
                      <w:rPr>
                        <w:sz w:val="28"/>
                        <w:szCs w:val="28"/>
                      </w:rPr>
                      <w:t>19</w:t>
                    </w:r>
                  </w:p>
                  <w:p w:rsidR="00CB3E2B" w:rsidRPr="00000C35" w:rsidRDefault="00CB3E2B">
                    <w:pPr>
                      <w:jc w:val="right"/>
                      <w:rPr>
                        <w:sz w:val="28"/>
                        <w:szCs w:val="28"/>
                      </w:rPr>
                    </w:pPr>
                    <w:r w:rsidRPr="00000C35">
                      <w:rPr>
                        <w:sz w:val="28"/>
                        <w:szCs w:val="28"/>
                      </w:rPr>
                      <w:t>20</w:t>
                    </w:r>
                  </w:p>
                  <w:p w:rsidR="00CB3E2B" w:rsidRPr="00000C35" w:rsidRDefault="00CB3E2B">
                    <w:pPr>
                      <w:jc w:val="right"/>
                      <w:rPr>
                        <w:sz w:val="28"/>
                        <w:szCs w:val="28"/>
                      </w:rPr>
                    </w:pPr>
                    <w:r w:rsidRPr="00000C35">
                      <w:rPr>
                        <w:sz w:val="28"/>
                        <w:szCs w:val="28"/>
                      </w:rPr>
                      <w:t>21</w:t>
                    </w:r>
                  </w:p>
                  <w:p w:rsidR="00CB3E2B" w:rsidRPr="00000C35" w:rsidRDefault="00CB3E2B">
                    <w:pPr>
                      <w:jc w:val="right"/>
                      <w:rPr>
                        <w:sz w:val="28"/>
                        <w:szCs w:val="28"/>
                      </w:rPr>
                    </w:pPr>
                    <w:r w:rsidRPr="00000C35">
                      <w:rPr>
                        <w:sz w:val="28"/>
                        <w:szCs w:val="28"/>
                      </w:rPr>
                      <w:t>22</w:t>
                    </w:r>
                  </w:p>
                  <w:p w:rsidR="00CB3E2B" w:rsidRPr="00000C35" w:rsidRDefault="00CB3E2B">
                    <w:pPr>
                      <w:jc w:val="right"/>
                      <w:rPr>
                        <w:sz w:val="28"/>
                        <w:szCs w:val="28"/>
                      </w:rPr>
                    </w:pPr>
                    <w:r w:rsidRPr="00000C35">
                      <w:rPr>
                        <w:sz w:val="28"/>
                        <w:szCs w:val="28"/>
                      </w:rPr>
                      <w:t>23</w:t>
                    </w:r>
                  </w:p>
                  <w:p w:rsidR="00CB3E2B" w:rsidRPr="00000C35" w:rsidRDefault="00CB3E2B">
                    <w:pPr>
                      <w:jc w:val="right"/>
                      <w:rPr>
                        <w:sz w:val="28"/>
                        <w:szCs w:val="28"/>
                      </w:rPr>
                    </w:pPr>
                    <w:r w:rsidRPr="00000C35">
                      <w:rPr>
                        <w:sz w:val="28"/>
                        <w:szCs w:val="28"/>
                      </w:rPr>
                      <w:t>24</w:t>
                    </w:r>
                  </w:p>
                  <w:p w:rsidR="00CB3E2B" w:rsidRPr="00000C35" w:rsidRDefault="00CB3E2B">
                    <w:pPr>
                      <w:jc w:val="right"/>
                      <w:rPr>
                        <w:sz w:val="28"/>
                        <w:szCs w:val="28"/>
                      </w:rPr>
                    </w:pPr>
                    <w:r w:rsidRPr="00000C35">
                      <w:rPr>
                        <w:sz w:val="28"/>
                        <w:szCs w:val="28"/>
                      </w:rPr>
                      <w:t>25</w:t>
                    </w:r>
                  </w:p>
                  <w:p w:rsidR="00CB3E2B" w:rsidRPr="00000C35" w:rsidRDefault="00CB3E2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5BB9"/>
    <w:multiLevelType w:val="hybridMultilevel"/>
    <w:tmpl w:val="3CFAA69E"/>
    <w:lvl w:ilvl="0" w:tplc="A1DA9E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161725"/>
    <w:multiLevelType w:val="hybridMultilevel"/>
    <w:tmpl w:val="042EB022"/>
    <w:lvl w:ilvl="0" w:tplc="9CD64024">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4E494D"/>
    <w:multiLevelType w:val="hybridMultilevel"/>
    <w:tmpl w:val="6E08C504"/>
    <w:lvl w:ilvl="0" w:tplc="8320D9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97332BA"/>
    <w:multiLevelType w:val="hybridMultilevel"/>
    <w:tmpl w:val="0AA0E7F0"/>
    <w:lvl w:ilvl="0" w:tplc="4CDC05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
  </w:num>
  <w:num w:numId="4">
    <w:abstractNumId w:val="5"/>
  </w:num>
  <w:num w:numId="5">
    <w:abstractNumId w:val="8"/>
  </w:num>
  <w:num w:numId="6">
    <w:abstractNumId w:val="9"/>
  </w:num>
  <w:num w:numId="7">
    <w:abstractNumId w:val="2"/>
  </w:num>
  <w:num w:numId="8">
    <w:abstractNumId w:val="17"/>
  </w:num>
  <w:num w:numId="9">
    <w:abstractNumId w:val="10"/>
  </w:num>
  <w:num w:numId="10">
    <w:abstractNumId w:val="12"/>
  </w:num>
  <w:num w:numId="11">
    <w:abstractNumId w:val="11"/>
  </w:num>
  <w:num w:numId="12">
    <w:abstractNumId w:val="7"/>
  </w:num>
  <w:num w:numId="13">
    <w:abstractNumId w:val="3"/>
  </w:num>
  <w:num w:numId="14">
    <w:abstractNumId w:val="4"/>
  </w:num>
  <w:num w:numId="15">
    <w:abstractNumId w:val="6"/>
  </w:num>
  <w:num w:numId="16">
    <w:abstractNumId w:val="1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105"/>
    <w:rsid w:val="00005C2E"/>
    <w:rsid w:val="00012A1D"/>
    <w:rsid w:val="000149E4"/>
    <w:rsid w:val="000410B3"/>
    <w:rsid w:val="00042E1D"/>
    <w:rsid w:val="00043D4D"/>
    <w:rsid w:val="000522FB"/>
    <w:rsid w:val="00052372"/>
    <w:rsid w:val="000666D1"/>
    <w:rsid w:val="0006741A"/>
    <w:rsid w:val="00073380"/>
    <w:rsid w:val="0007629A"/>
    <w:rsid w:val="0008003D"/>
    <w:rsid w:val="00081D4E"/>
    <w:rsid w:val="00086D6F"/>
    <w:rsid w:val="000917C0"/>
    <w:rsid w:val="000A19D2"/>
    <w:rsid w:val="000A1D6B"/>
    <w:rsid w:val="000B071F"/>
    <w:rsid w:val="000C48A9"/>
    <w:rsid w:val="000C7DD0"/>
    <w:rsid w:val="000D13EF"/>
    <w:rsid w:val="000E4AA8"/>
    <w:rsid w:val="000F376F"/>
    <w:rsid w:val="000F7A7F"/>
    <w:rsid w:val="000F7C13"/>
    <w:rsid w:val="001129E3"/>
    <w:rsid w:val="00135326"/>
    <w:rsid w:val="00135CF7"/>
    <w:rsid w:val="001365FF"/>
    <w:rsid w:val="001543AA"/>
    <w:rsid w:val="00157F1D"/>
    <w:rsid w:val="00162450"/>
    <w:rsid w:val="001657AF"/>
    <w:rsid w:val="00170EE1"/>
    <w:rsid w:val="00174C2F"/>
    <w:rsid w:val="001835FB"/>
    <w:rsid w:val="0018605A"/>
    <w:rsid w:val="001A2520"/>
    <w:rsid w:val="001A5DB6"/>
    <w:rsid w:val="001C5248"/>
    <w:rsid w:val="001E4DF8"/>
    <w:rsid w:val="001F591C"/>
    <w:rsid w:val="002216C4"/>
    <w:rsid w:val="00230BA2"/>
    <w:rsid w:val="00244FC6"/>
    <w:rsid w:val="00245683"/>
    <w:rsid w:val="00246173"/>
    <w:rsid w:val="002561E3"/>
    <w:rsid w:val="0026094A"/>
    <w:rsid w:val="002710E9"/>
    <w:rsid w:val="00271B5A"/>
    <w:rsid w:val="002741BD"/>
    <w:rsid w:val="00274D6A"/>
    <w:rsid w:val="002A13FC"/>
    <w:rsid w:val="002C3357"/>
    <w:rsid w:val="002D5B5C"/>
    <w:rsid w:val="002E419B"/>
    <w:rsid w:val="002E7AB3"/>
    <w:rsid w:val="002F7FF2"/>
    <w:rsid w:val="00302F85"/>
    <w:rsid w:val="00325259"/>
    <w:rsid w:val="00331FC3"/>
    <w:rsid w:val="00334294"/>
    <w:rsid w:val="00334C9B"/>
    <w:rsid w:val="00336DAE"/>
    <w:rsid w:val="003412EC"/>
    <w:rsid w:val="00344D2F"/>
    <w:rsid w:val="00352347"/>
    <w:rsid w:val="00355478"/>
    <w:rsid w:val="003566D6"/>
    <w:rsid w:val="00357F4D"/>
    <w:rsid w:val="003617D1"/>
    <w:rsid w:val="00370846"/>
    <w:rsid w:val="003710E4"/>
    <w:rsid w:val="003712A2"/>
    <w:rsid w:val="00377199"/>
    <w:rsid w:val="00384116"/>
    <w:rsid w:val="0038612B"/>
    <w:rsid w:val="003A28AC"/>
    <w:rsid w:val="003A65F4"/>
    <w:rsid w:val="003B0409"/>
    <w:rsid w:val="003C144B"/>
    <w:rsid w:val="003C4502"/>
    <w:rsid w:val="003E6079"/>
    <w:rsid w:val="00400B84"/>
    <w:rsid w:val="0040650C"/>
    <w:rsid w:val="00407E2D"/>
    <w:rsid w:val="004164C6"/>
    <w:rsid w:val="00416F03"/>
    <w:rsid w:val="004214A1"/>
    <w:rsid w:val="00422FAA"/>
    <w:rsid w:val="00422FE7"/>
    <w:rsid w:val="004257D5"/>
    <w:rsid w:val="00426D00"/>
    <w:rsid w:val="00430B28"/>
    <w:rsid w:val="004331B2"/>
    <w:rsid w:val="00434682"/>
    <w:rsid w:val="00435D11"/>
    <w:rsid w:val="00440E4C"/>
    <w:rsid w:val="00443070"/>
    <w:rsid w:val="00445C37"/>
    <w:rsid w:val="00463734"/>
    <w:rsid w:val="00477039"/>
    <w:rsid w:val="004827AD"/>
    <w:rsid w:val="004845FA"/>
    <w:rsid w:val="00494BDF"/>
    <w:rsid w:val="004C1180"/>
    <w:rsid w:val="004C2DE0"/>
    <w:rsid w:val="004C3AE3"/>
    <w:rsid w:val="004E0DE4"/>
    <w:rsid w:val="004F4B1F"/>
    <w:rsid w:val="00504E1E"/>
    <w:rsid w:val="00506859"/>
    <w:rsid w:val="00516AF8"/>
    <w:rsid w:val="00520845"/>
    <w:rsid w:val="00520F93"/>
    <w:rsid w:val="00522759"/>
    <w:rsid w:val="0052424D"/>
    <w:rsid w:val="0053355D"/>
    <w:rsid w:val="005436AE"/>
    <w:rsid w:val="00551DAD"/>
    <w:rsid w:val="00552AF1"/>
    <w:rsid w:val="0055581D"/>
    <w:rsid w:val="00566856"/>
    <w:rsid w:val="00570876"/>
    <w:rsid w:val="005A21B0"/>
    <w:rsid w:val="005A711E"/>
    <w:rsid w:val="005B5161"/>
    <w:rsid w:val="005C26CA"/>
    <w:rsid w:val="005C2967"/>
    <w:rsid w:val="005D30EF"/>
    <w:rsid w:val="005D6AD4"/>
    <w:rsid w:val="005F21AF"/>
    <w:rsid w:val="005F3A88"/>
    <w:rsid w:val="00610779"/>
    <w:rsid w:val="00621D2D"/>
    <w:rsid w:val="006239AF"/>
    <w:rsid w:val="006338C1"/>
    <w:rsid w:val="0063567B"/>
    <w:rsid w:val="00636F5E"/>
    <w:rsid w:val="006374AA"/>
    <w:rsid w:val="006414BF"/>
    <w:rsid w:val="0064681A"/>
    <w:rsid w:val="00665CCF"/>
    <w:rsid w:val="006666D1"/>
    <w:rsid w:val="00671618"/>
    <w:rsid w:val="006721EC"/>
    <w:rsid w:val="006766BF"/>
    <w:rsid w:val="00681CE9"/>
    <w:rsid w:val="006913CD"/>
    <w:rsid w:val="00692391"/>
    <w:rsid w:val="006932BA"/>
    <w:rsid w:val="006A1B57"/>
    <w:rsid w:val="006B4F9A"/>
    <w:rsid w:val="006B64D0"/>
    <w:rsid w:val="006E2E63"/>
    <w:rsid w:val="006E38FA"/>
    <w:rsid w:val="006E6D48"/>
    <w:rsid w:val="006E7EC7"/>
    <w:rsid w:val="006F63FD"/>
    <w:rsid w:val="006F673F"/>
    <w:rsid w:val="00715FD3"/>
    <w:rsid w:val="00732169"/>
    <w:rsid w:val="00735659"/>
    <w:rsid w:val="007427C6"/>
    <w:rsid w:val="00742F35"/>
    <w:rsid w:val="007602F2"/>
    <w:rsid w:val="0077110E"/>
    <w:rsid w:val="007845E3"/>
    <w:rsid w:val="00786A1C"/>
    <w:rsid w:val="007870CB"/>
    <w:rsid w:val="00794238"/>
    <w:rsid w:val="007A120C"/>
    <w:rsid w:val="007A3F0F"/>
    <w:rsid w:val="007A6F3B"/>
    <w:rsid w:val="007D10B6"/>
    <w:rsid w:val="007D5C49"/>
    <w:rsid w:val="007D73FF"/>
    <w:rsid w:val="007E3CCB"/>
    <w:rsid w:val="008006ED"/>
    <w:rsid w:val="00801A4F"/>
    <w:rsid w:val="00813CA4"/>
    <w:rsid w:val="00822598"/>
    <w:rsid w:val="00822F82"/>
    <w:rsid w:val="00827BF4"/>
    <w:rsid w:val="0083258B"/>
    <w:rsid w:val="008334FD"/>
    <w:rsid w:val="008360A1"/>
    <w:rsid w:val="00843CC7"/>
    <w:rsid w:val="00843FF4"/>
    <w:rsid w:val="0084454B"/>
    <w:rsid w:val="00847624"/>
    <w:rsid w:val="008508FB"/>
    <w:rsid w:val="008514AE"/>
    <w:rsid w:val="00852795"/>
    <w:rsid w:val="00856AEA"/>
    <w:rsid w:val="00856E32"/>
    <w:rsid w:val="00861563"/>
    <w:rsid w:val="0086764A"/>
    <w:rsid w:val="00871AAA"/>
    <w:rsid w:val="00876F57"/>
    <w:rsid w:val="00891AAA"/>
    <w:rsid w:val="008B3CFE"/>
    <w:rsid w:val="008B53DB"/>
    <w:rsid w:val="008C71FA"/>
    <w:rsid w:val="008D3F71"/>
    <w:rsid w:val="00933EA1"/>
    <w:rsid w:val="00941408"/>
    <w:rsid w:val="009502C2"/>
    <w:rsid w:val="00951416"/>
    <w:rsid w:val="00955F3B"/>
    <w:rsid w:val="00960D21"/>
    <w:rsid w:val="009651D5"/>
    <w:rsid w:val="00981D29"/>
    <w:rsid w:val="00981E11"/>
    <w:rsid w:val="0098203C"/>
    <w:rsid w:val="009922F6"/>
    <w:rsid w:val="00992F19"/>
    <w:rsid w:val="009A574C"/>
    <w:rsid w:val="009B58C3"/>
    <w:rsid w:val="009E0477"/>
    <w:rsid w:val="009F1AE5"/>
    <w:rsid w:val="00A06BE4"/>
    <w:rsid w:val="00A1564B"/>
    <w:rsid w:val="00A16055"/>
    <w:rsid w:val="00A16E3F"/>
    <w:rsid w:val="00A213BD"/>
    <w:rsid w:val="00A2203E"/>
    <w:rsid w:val="00A419D1"/>
    <w:rsid w:val="00A5194F"/>
    <w:rsid w:val="00A7182A"/>
    <w:rsid w:val="00A845AE"/>
    <w:rsid w:val="00A84B9C"/>
    <w:rsid w:val="00A871D6"/>
    <w:rsid w:val="00A93A7C"/>
    <w:rsid w:val="00A9676C"/>
    <w:rsid w:val="00AA1909"/>
    <w:rsid w:val="00AA3408"/>
    <w:rsid w:val="00AB1B4D"/>
    <w:rsid w:val="00AB69D6"/>
    <w:rsid w:val="00AD52BD"/>
    <w:rsid w:val="00AD71A3"/>
    <w:rsid w:val="00AD74EF"/>
    <w:rsid w:val="00AE4349"/>
    <w:rsid w:val="00AF282C"/>
    <w:rsid w:val="00AF3FF7"/>
    <w:rsid w:val="00AF5570"/>
    <w:rsid w:val="00B01D5A"/>
    <w:rsid w:val="00B12859"/>
    <w:rsid w:val="00B1491D"/>
    <w:rsid w:val="00B24389"/>
    <w:rsid w:val="00B25607"/>
    <w:rsid w:val="00B25D71"/>
    <w:rsid w:val="00B30E86"/>
    <w:rsid w:val="00B320C2"/>
    <w:rsid w:val="00B41087"/>
    <w:rsid w:val="00B47B7D"/>
    <w:rsid w:val="00B707BC"/>
    <w:rsid w:val="00B76792"/>
    <w:rsid w:val="00B820DC"/>
    <w:rsid w:val="00B83565"/>
    <w:rsid w:val="00BA3290"/>
    <w:rsid w:val="00BA3773"/>
    <w:rsid w:val="00BA38F6"/>
    <w:rsid w:val="00BB01BE"/>
    <w:rsid w:val="00BB60BB"/>
    <w:rsid w:val="00BB60C6"/>
    <w:rsid w:val="00BC3F65"/>
    <w:rsid w:val="00BC41B7"/>
    <w:rsid w:val="00BE5552"/>
    <w:rsid w:val="00BF25CB"/>
    <w:rsid w:val="00C03E0F"/>
    <w:rsid w:val="00C059F2"/>
    <w:rsid w:val="00C10DC2"/>
    <w:rsid w:val="00C20AD8"/>
    <w:rsid w:val="00C23E2A"/>
    <w:rsid w:val="00C27D93"/>
    <w:rsid w:val="00C358AC"/>
    <w:rsid w:val="00C46917"/>
    <w:rsid w:val="00C52E56"/>
    <w:rsid w:val="00C5407A"/>
    <w:rsid w:val="00C662B0"/>
    <w:rsid w:val="00C70583"/>
    <w:rsid w:val="00C731D8"/>
    <w:rsid w:val="00C827F4"/>
    <w:rsid w:val="00C84FD4"/>
    <w:rsid w:val="00C958EE"/>
    <w:rsid w:val="00CA2F41"/>
    <w:rsid w:val="00CA5BF6"/>
    <w:rsid w:val="00CB3E2B"/>
    <w:rsid w:val="00CB3FE5"/>
    <w:rsid w:val="00CB7BEF"/>
    <w:rsid w:val="00CC4326"/>
    <w:rsid w:val="00CD21FB"/>
    <w:rsid w:val="00CD73E1"/>
    <w:rsid w:val="00CF1DFF"/>
    <w:rsid w:val="00D03DDB"/>
    <w:rsid w:val="00D25F05"/>
    <w:rsid w:val="00D4105E"/>
    <w:rsid w:val="00D423FE"/>
    <w:rsid w:val="00D442E4"/>
    <w:rsid w:val="00D5090D"/>
    <w:rsid w:val="00D51F63"/>
    <w:rsid w:val="00D60D9B"/>
    <w:rsid w:val="00D648CB"/>
    <w:rsid w:val="00D80EDC"/>
    <w:rsid w:val="00D84285"/>
    <w:rsid w:val="00D84E55"/>
    <w:rsid w:val="00D90CA6"/>
    <w:rsid w:val="00D97834"/>
    <w:rsid w:val="00DA4757"/>
    <w:rsid w:val="00DB6636"/>
    <w:rsid w:val="00DC4224"/>
    <w:rsid w:val="00DC7F75"/>
    <w:rsid w:val="00DD2D36"/>
    <w:rsid w:val="00DF063D"/>
    <w:rsid w:val="00DF4F15"/>
    <w:rsid w:val="00DF5EB3"/>
    <w:rsid w:val="00DF7734"/>
    <w:rsid w:val="00E03BB3"/>
    <w:rsid w:val="00E047D3"/>
    <w:rsid w:val="00E05A4C"/>
    <w:rsid w:val="00E12917"/>
    <w:rsid w:val="00E13FE9"/>
    <w:rsid w:val="00E204B9"/>
    <w:rsid w:val="00E25F8E"/>
    <w:rsid w:val="00E266B7"/>
    <w:rsid w:val="00E273FC"/>
    <w:rsid w:val="00E321C5"/>
    <w:rsid w:val="00E357C6"/>
    <w:rsid w:val="00E428C9"/>
    <w:rsid w:val="00E4652F"/>
    <w:rsid w:val="00E54AD1"/>
    <w:rsid w:val="00E5772B"/>
    <w:rsid w:val="00E5789D"/>
    <w:rsid w:val="00E67511"/>
    <w:rsid w:val="00E81026"/>
    <w:rsid w:val="00E8109F"/>
    <w:rsid w:val="00E82D0F"/>
    <w:rsid w:val="00E950B5"/>
    <w:rsid w:val="00EA2566"/>
    <w:rsid w:val="00EA79C8"/>
    <w:rsid w:val="00ED3BB5"/>
    <w:rsid w:val="00ED5E98"/>
    <w:rsid w:val="00EF09AF"/>
    <w:rsid w:val="00F00809"/>
    <w:rsid w:val="00F0159C"/>
    <w:rsid w:val="00F01FAB"/>
    <w:rsid w:val="00F05879"/>
    <w:rsid w:val="00F06F5B"/>
    <w:rsid w:val="00F07BDE"/>
    <w:rsid w:val="00F23ABC"/>
    <w:rsid w:val="00F2485D"/>
    <w:rsid w:val="00F33926"/>
    <w:rsid w:val="00F4275E"/>
    <w:rsid w:val="00F43B8B"/>
    <w:rsid w:val="00F51E96"/>
    <w:rsid w:val="00F60C61"/>
    <w:rsid w:val="00F62E8C"/>
    <w:rsid w:val="00F63942"/>
    <w:rsid w:val="00F64B52"/>
    <w:rsid w:val="00F850BE"/>
    <w:rsid w:val="00F91740"/>
    <w:rsid w:val="00FB2A5E"/>
    <w:rsid w:val="00FB5291"/>
    <w:rsid w:val="00FB57BB"/>
    <w:rsid w:val="00FB5E84"/>
    <w:rsid w:val="00FC057D"/>
    <w:rsid w:val="00FC18C6"/>
    <w:rsid w:val="00FD08D1"/>
    <w:rsid w:val="00FE2DD3"/>
    <w:rsid w:val="00FE579A"/>
    <w:rsid w:val="00FE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unhideWhenUsed/>
    <w:qFormat/>
    <w:rsid w:val="003B040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uiPriority w:val="22"/>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FollowedHyperlink">
    <w:name w:val="FollowedHyperlink"/>
    <w:basedOn w:val="DefaultParagraphFont"/>
    <w:rsid w:val="00162450"/>
    <w:rPr>
      <w:color w:val="954F72" w:themeColor="followedHyperlink"/>
      <w:u w:val="single"/>
    </w:rPr>
  </w:style>
  <w:style w:type="character" w:customStyle="1" w:styleId="ilfuvd">
    <w:name w:val="ilfuvd"/>
    <w:basedOn w:val="DefaultParagraphFont"/>
    <w:rsid w:val="00C358AC"/>
  </w:style>
  <w:style w:type="paragraph" w:customStyle="1" w:styleId="Default">
    <w:name w:val="Default"/>
    <w:rsid w:val="002A13FC"/>
    <w:pPr>
      <w:autoSpaceDE w:val="0"/>
      <w:autoSpaceDN w:val="0"/>
      <w:adjustRightInd w:val="0"/>
    </w:pPr>
    <w:rPr>
      <w:color w:val="000000"/>
      <w:sz w:val="24"/>
      <w:szCs w:val="24"/>
    </w:rPr>
  </w:style>
  <w:style w:type="character" w:customStyle="1" w:styleId="Heading2Char">
    <w:name w:val="Heading 2 Char"/>
    <w:basedOn w:val="DefaultParagraphFont"/>
    <w:link w:val="Heading2"/>
    <w:rsid w:val="003B0409"/>
    <w:rPr>
      <w:rFonts w:asciiTheme="majorHAnsi" w:eastAsiaTheme="majorEastAsia" w:hAnsiTheme="majorHAnsi" w:cstheme="majorBidi"/>
      <w:b/>
      <w:bCs/>
      <w:color w:val="5B9BD5" w:themeColor="accent1"/>
      <w:sz w:val="26"/>
      <w:szCs w:val="26"/>
    </w:rPr>
  </w:style>
  <w:style w:type="character" w:customStyle="1" w:styleId="headertext">
    <w:name w:val="headertext"/>
    <w:basedOn w:val="DefaultParagraphFont"/>
    <w:rsid w:val="001365FF"/>
  </w:style>
  <w:style w:type="character" w:styleId="Emphasis">
    <w:name w:val="Emphasis"/>
    <w:basedOn w:val="DefaultParagraphFont"/>
    <w:uiPriority w:val="20"/>
    <w:qFormat/>
    <w:rsid w:val="001365FF"/>
    <w:rPr>
      <w:i/>
      <w:iCs/>
    </w:rPr>
  </w:style>
  <w:style w:type="paragraph" w:styleId="NormalWeb">
    <w:name w:val="Normal (Web)"/>
    <w:basedOn w:val="Normal"/>
    <w:uiPriority w:val="99"/>
    <w:unhideWhenUsed/>
    <w:rsid w:val="001365FF"/>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unhideWhenUsed/>
    <w:qFormat/>
    <w:rsid w:val="003B040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uiPriority w:val="22"/>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FollowedHyperlink">
    <w:name w:val="FollowedHyperlink"/>
    <w:basedOn w:val="DefaultParagraphFont"/>
    <w:rsid w:val="00162450"/>
    <w:rPr>
      <w:color w:val="954F72" w:themeColor="followedHyperlink"/>
      <w:u w:val="single"/>
    </w:rPr>
  </w:style>
  <w:style w:type="character" w:customStyle="1" w:styleId="ilfuvd">
    <w:name w:val="ilfuvd"/>
    <w:basedOn w:val="DefaultParagraphFont"/>
    <w:rsid w:val="00C358AC"/>
  </w:style>
  <w:style w:type="paragraph" w:customStyle="1" w:styleId="Default">
    <w:name w:val="Default"/>
    <w:rsid w:val="002A13FC"/>
    <w:pPr>
      <w:autoSpaceDE w:val="0"/>
      <w:autoSpaceDN w:val="0"/>
      <w:adjustRightInd w:val="0"/>
    </w:pPr>
    <w:rPr>
      <w:color w:val="000000"/>
      <w:sz w:val="24"/>
      <w:szCs w:val="24"/>
    </w:rPr>
  </w:style>
  <w:style w:type="character" w:customStyle="1" w:styleId="Heading2Char">
    <w:name w:val="Heading 2 Char"/>
    <w:basedOn w:val="DefaultParagraphFont"/>
    <w:link w:val="Heading2"/>
    <w:rsid w:val="003B0409"/>
    <w:rPr>
      <w:rFonts w:asciiTheme="majorHAnsi" w:eastAsiaTheme="majorEastAsia" w:hAnsiTheme="majorHAnsi" w:cstheme="majorBidi"/>
      <w:b/>
      <w:bCs/>
      <w:color w:val="5B9BD5" w:themeColor="accent1"/>
      <w:sz w:val="26"/>
      <w:szCs w:val="26"/>
    </w:rPr>
  </w:style>
  <w:style w:type="character" w:customStyle="1" w:styleId="headertext">
    <w:name w:val="headertext"/>
    <w:basedOn w:val="DefaultParagraphFont"/>
    <w:rsid w:val="001365FF"/>
  </w:style>
  <w:style w:type="character" w:styleId="Emphasis">
    <w:name w:val="Emphasis"/>
    <w:basedOn w:val="DefaultParagraphFont"/>
    <w:uiPriority w:val="20"/>
    <w:qFormat/>
    <w:rsid w:val="001365FF"/>
    <w:rPr>
      <w:i/>
      <w:iCs/>
    </w:rPr>
  </w:style>
  <w:style w:type="paragraph" w:styleId="NormalWeb">
    <w:name w:val="Normal (Web)"/>
    <w:basedOn w:val="Normal"/>
    <w:uiPriority w:val="99"/>
    <w:unhideWhenUsed/>
    <w:rsid w:val="001365FF"/>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8169">
      <w:bodyDiv w:val="1"/>
      <w:marLeft w:val="0"/>
      <w:marRight w:val="0"/>
      <w:marTop w:val="0"/>
      <w:marBottom w:val="0"/>
      <w:divBdr>
        <w:top w:val="none" w:sz="0" w:space="0" w:color="auto"/>
        <w:left w:val="none" w:sz="0" w:space="0" w:color="auto"/>
        <w:bottom w:val="none" w:sz="0" w:space="0" w:color="auto"/>
        <w:right w:val="none" w:sz="0" w:space="0" w:color="auto"/>
      </w:divBdr>
    </w:div>
    <w:div w:id="1390031475">
      <w:bodyDiv w:val="1"/>
      <w:marLeft w:val="0"/>
      <w:marRight w:val="0"/>
      <w:marTop w:val="0"/>
      <w:marBottom w:val="0"/>
      <w:divBdr>
        <w:top w:val="none" w:sz="0" w:space="0" w:color="auto"/>
        <w:left w:val="none" w:sz="0" w:space="0" w:color="auto"/>
        <w:bottom w:val="none" w:sz="0" w:space="0" w:color="auto"/>
        <w:right w:val="none" w:sz="0" w:space="0" w:color="auto"/>
      </w:divBdr>
    </w:div>
    <w:div w:id="1491405593">
      <w:bodyDiv w:val="1"/>
      <w:marLeft w:val="0"/>
      <w:marRight w:val="0"/>
      <w:marTop w:val="0"/>
      <w:marBottom w:val="0"/>
      <w:divBdr>
        <w:top w:val="none" w:sz="0" w:space="0" w:color="auto"/>
        <w:left w:val="none" w:sz="0" w:space="0" w:color="auto"/>
        <w:bottom w:val="none" w:sz="0" w:space="0" w:color="auto"/>
        <w:right w:val="none" w:sz="0" w:space="0" w:color="auto"/>
      </w:divBdr>
    </w:div>
    <w:div w:id="1512912393">
      <w:bodyDiv w:val="1"/>
      <w:marLeft w:val="0"/>
      <w:marRight w:val="0"/>
      <w:marTop w:val="0"/>
      <w:marBottom w:val="0"/>
      <w:divBdr>
        <w:top w:val="none" w:sz="0" w:space="0" w:color="auto"/>
        <w:left w:val="none" w:sz="0" w:space="0" w:color="auto"/>
        <w:bottom w:val="none" w:sz="0" w:space="0" w:color="auto"/>
        <w:right w:val="none" w:sz="0" w:space="0" w:color="auto"/>
      </w:divBdr>
      <w:divsChild>
        <w:div w:id="104216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zbar.org/aboutus/leadership/boardofgovernors/2019electioncandidates/2019boardofgovernorscandidatesstatements/" TargetMode="External"/><Relationship Id="rId3" Type="http://schemas.openxmlformats.org/officeDocument/2006/relationships/hyperlink" Target="https://www.law.com/dailybusinessreview/2019/02/14/us-supreme-court-ruling-fuels-suits-challenging-mandatory-bar-fees-392-47478/" TargetMode="External"/><Relationship Id="rId7" Type="http://schemas.openxmlformats.org/officeDocument/2006/relationships/hyperlink" Target="https://www.kuow.org/stories/state-legislature-could-dissolve-struggling-bar-association" TargetMode="External"/><Relationship Id="rId2" Type="http://schemas.openxmlformats.org/officeDocument/2006/relationships/hyperlink" Target="http://www.calbar.ca.gov/About-Us/News-Events/News-Releases/state-bar-prepares-to-implement-historic-reforms-following-gov-brown-signature-on-the-agencys-annual-fee-bill" TargetMode="External"/><Relationship Id="rId1" Type="http://schemas.openxmlformats.org/officeDocument/2006/relationships/hyperlink" Target="http://www.azbar.org/media/1398723/rulespetitionfactsheet.pdf" TargetMode="External"/><Relationship Id="rId6" Type="http://schemas.openxmlformats.org/officeDocument/2006/relationships/hyperlink" Target="https://www.wsba.org/about-wsba/legislative-affairs/faq-house-bill-1788" TargetMode="External"/><Relationship Id="rId5" Type="http://schemas.openxmlformats.org/officeDocument/2006/relationships/hyperlink" Target="http://www.abajournal.com/news/article/suit-challenges-mandatory-membership-in-texas-because-of-immigrant-support-diversity-initiatives" TargetMode="External"/><Relationship Id="rId4" Type="http://schemas.openxmlformats.org/officeDocument/2006/relationships/hyperlink" Target="https://www.law.com/texaslawyer/2019/04/25/oklahoma-bar-argues-mandatory-dues-are-constitutional-in-lawyers-first-amendment-suit/?slreturn=201903280014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72793948-940D-4C45-967B-A961881B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58</TotalTime>
  <Pages>17</Pages>
  <Words>2601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Pleading Wizard</vt:lpstr>
    </vt:vector>
  </TitlesOfParts>
  <Company>Hernandez Law Office</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Mauricio R. Hernandez</dc:creator>
  <cp:lastModifiedBy>Hernandez</cp:lastModifiedBy>
  <cp:revision>22</cp:revision>
  <cp:lastPrinted>2019-04-29T22:12:00Z</cp:lastPrinted>
  <dcterms:created xsi:type="dcterms:W3CDTF">2019-04-29T21:04:00Z</dcterms:created>
  <dcterms:modified xsi:type="dcterms:W3CDTF">2019-04-30T00:41:00Z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_MarkAsFinal">
    <vt:bool>true</vt:bool>
  </property>
</Properties>
</file>