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55BA" w:rsidRPr="008455BA" w:rsidRDefault="008455BA">
      <w:pPr>
        <w:pStyle w:val="BodyText"/>
        <w:spacing w:before="57" w:line="242" w:lineRule="auto"/>
        <w:ind w:left="100" w:right="4483"/>
        <w:rPr>
          <w:sz w:val="24"/>
          <w:szCs w:val="24"/>
        </w:rPr>
      </w:pPr>
      <w:r w:rsidRPr="008455BA">
        <w:rPr>
          <w:sz w:val="24"/>
          <w:szCs w:val="24"/>
        </w:rPr>
        <w:t>Craig Sullivan</w:t>
      </w:r>
    </w:p>
    <w:p w:rsidR="008455BA" w:rsidRPr="008455BA" w:rsidRDefault="008455BA">
      <w:pPr>
        <w:pStyle w:val="BodyText"/>
        <w:spacing w:before="57" w:line="242" w:lineRule="auto"/>
        <w:ind w:left="100" w:right="4483"/>
        <w:rPr>
          <w:sz w:val="24"/>
          <w:szCs w:val="24"/>
        </w:rPr>
      </w:pPr>
      <w:r w:rsidRPr="008455BA">
        <w:rPr>
          <w:sz w:val="24"/>
          <w:szCs w:val="24"/>
        </w:rPr>
        <w:t>Executive Director</w:t>
      </w:r>
    </w:p>
    <w:p w:rsidR="008455BA" w:rsidRPr="008455BA" w:rsidRDefault="008455BA">
      <w:pPr>
        <w:pStyle w:val="BodyText"/>
        <w:spacing w:before="57" w:line="242" w:lineRule="auto"/>
        <w:ind w:left="100" w:right="4483"/>
        <w:rPr>
          <w:sz w:val="24"/>
          <w:szCs w:val="24"/>
        </w:rPr>
      </w:pPr>
      <w:r w:rsidRPr="008455BA">
        <w:rPr>
          <w:sz w:val="24"/>
          <w:szCs w:val="24"/>
        </w:rPr>
        <w:t>County Supervisors Association of Arizona</w:t>
      </w:r>
    </w:p>
    <w:p w:rsidR="008455BA" w:rsidRDefault="008455BA">
      <w:pPr>
        <w:pStyle w:val="BodyText"/>
        <w:spacing w:before="57" w:line="242" w:lineRule="auto"/>
        <w:ind w:left="100" w:right="4483"/>
        <w:rPr>
          <w:sz w:val="24"/>
          <w:szCs w:val="24"/>
        </w:rPr>
      </w:pPr>
      <w:r w:rsidRPr="008455BA">
        <w:rPr>
          <w:sz w:val="24"/>
          <w:szCs w:val="24"/>
        </w:rPr>
        <w:t>1905 W. Washington Street, Suite 100</w:t>
      </w:r>
    </w:p>
    <w:p w:rsidR="002B4161" w:rsidRPr="008455BA" w:rsidRDefault="008455BA">
      <w:pPr>
        <w:pStyle w:val="BodyText"/>
        <w:spacing w:before="57" w:line="242" w:lineRule="auto"/>
        <w:ind w:left="100" w:right="4483"/>
        <w:rPr>
          <w:sz w:val="24"/>
          <w:szCs w:val="24"/>
        </w:rPr>
      </w:pPr>
      <w:r w:rsidRPr="008455BA">
        <w:rPr>
          <w:sz w:val="24"/>
          <w:szCs w:val="24"/>
        </w:rPr>
        <w:t>Phoenix, AZ 85009</w:t>
      </w:r>
    </w:p>
    <w:p w:rsidR="002B4161" w:rsidRDefault="008455BA">
      <w:pPr>
        <w:pStyle w:val="BodyText"/>
        <w:spacing w:before="3"/>
        <w:ind w:left="100"/>
        <w:rPr>
          <w:sz w:val="24"/>
          <w:szCs w:val="24"/>
        </w:rPr>
      </w:pPr>
      <w:r w:rsidRPr="008455BA">
        <w:rPr>
          <w:sz w:val="24"/>
          <w:szCs w:val="24"/>
        </w:rPr>
        <w:t>(602) 252 5521</w:t>
      </w:r>
    </w:p>
    <w:p w:rsidR="005C20E6" w:rsidRPr="008455BA" w:rsidRDefault="005C20E6">
      <w:pPr>
        <w:pStyle w:val="BodyText"/>
        <w:spacing w:before="3"/>
        <w:ind w:left="100"/>
        <w:rPr>
          <w:sz w:val="24"/>
          <w:szCs w:val="24"/>
        </w:rPr>
      </w:pPr>
      <w:r w:rsidRPr="005C20E6">
        <w:rPr>
          <w:sz w:val="24"/>
          <w:szCs w:val="24"/>
        </w:rPr>
        <w:t>craigs@countysupervisors.org</w:t>
      </w:r>
    </w:p>
    <w:p w:rsidR="002B4161" w:rsidRPr="008455BA" w:rsidRDefault="002B4161">
      <w:pPr>
        <w:pStyle w:val="BodyText"/>
        <w:spacing w:before="5" w:line="242" w:lineRule="auto"/>
        <w:ind w:left="100" w:right="6644"/>
        <w:rPr>
          <w:sz w:val="24"/>
          <w:szCs w:val="24"/>
        </w:rPr>
      </w:pPr>
    </w:p>
    <w:p w:rsidR="002B4161" w:rsidRPr="008455BA" w:rsidRDefault="002B4161">
      <w:pPr>
        <w:pStyle w:val="BodyText"/>
        <w:rPr>
          <w:sz w:val="24"/>
          <w:szCs w:val="24"/>
        </w:rPr>
      </w:pPr>
    </w:p>
    <w:p w:rsidR="002B4161" w:rsidRPr="008455BA" w:rsidRDefault="00AF57AA">
      <w:pPr>
        <w:pStyle w:val="Heading1"/>
        <w:spacing w:line="242" w:lineRule="auto"/>
        <w:ind w:left="3020" w:right="3035" w:firstLine="0"/>
        <w:jc w:val="center"/>
        <w:rPr>
          <w:sz w:val="24"/>
          <w:szCs w:val="24"/>
        </w:rPr>
      </w:pPr>
      <w:r w:rsidRPr="008455BA">
        <w:rPr>
          <w:sz w:val="24"/>
          <w:szCs w:val="24"/>
        </w:rPr>
        <w:t>IN THE SUPREME COURT STATE OF ARIZONA</w:t>
      </w:r>
    </w:p>
    <w:p w:rsidR="002B4161" w:rsidRPr="008455BA" w:rsidRDefault="002B4161">
      <w:pPr>
        <w:pStyle w:val="BodyText"/>
        <w:rPr>
          <w:b/>
          <w:sz w:val="24"/>
          <w:szCs w:val="24"/>
        </w:rPr>
      </w:pPr>
    </w:p>
    <w:p w:rsidR="002B4161" w:rsidRPr="008455BA" w:rsidRDefault="00AF57AA">
      <w:pPr>
        <w:pStyle w:val="BodyText"/>
        <w:tabs>
          <w:tab w:val="left" w:pos="4420"/>
        </w:tabs>
        <w:spacing w:before="214"/>
        <w:ind w:left="100"/>
        <w:rPr>
          <w:sz w:val="24"/>
          <w:szCs w:val="24"/>
        </w:rPr>
      </w:pPr>
      <w:r w:rsidRPr="008455BA">
        <w:rPr>
          <w:sz w:val="24"/>
          <w:szCs w:val="24"/>
        </w:rPr>
        <w:t>In the</w:t>
      </w:r>
      <w:r w:rsidRPr="008455BA">
        <w:rPr>
          <w:spacing w:val="-10"/>
          <w:sz w:val="24"/>
          <w:szCs w:val="24"/>
        </w:rPr>
        <w:t xml:space="preserve"> </w:t>
      </w:r>
      <w:r w:rsidRPr="008455BA">
        <w:rPr>
          <w:sz w:val="24"/>
          <w:szCs w:val="24"/>
        </w:rPr>
        <w:t>Matter</w:t>
      </w:r>
      <w:r w:rsidRPr="008455BA">
        <w:rPr>
          <w:spacing w:val="-3"/>
          <w:sz w:val="24"/>
          <w:szCs w:val="24"/>
        </w:rPr>
        <w:t xml:space="preserve"> </w:t>
      </w:r>
      <w:r w:rsidRPr="008455BA">
        <w:rPr>
          <w:sz w:val="24"/>
          <w:szCs w:val="24"/>
        </w:rPr>
        <w:t>of:</w:t>
      </w:r>
      <w:r w:rsidRPr="008455BA">
        <w:rPr>
          <w:sz w:val="24"/>
          <w:szCs w:val="24"/>
        </w:rPr>
        <w:tab/>
        <w:t>)</w:t>
      </w:r>
    </w:p>
    <w:p w:rsidR="002B4161" w:rsidRPr="008455BA" w:rsidRDefault="00AF57AA">
      <w:pPr>
        <w:pStyle w:val="BodyText"/>
        <w:tabs>
          <w:tab w:val="left" w:pos="5861"/>
          <w:tab w:val="left" w:pos="8657"/>
          <w:tab w:val="left" w:pos="9372"/>
        </w:tabs>
        <w:spacing w:before="5"/>
        <w:ind w:left="4421"/>
        <w:rPr>
          <w:sz w:val="24"/>
          <w:szCs w:val="24"/>
        </w:rPr>
      </w:pPr>
      <w:proofErr w:type="gramStart"/>
      <w:r w:rsidRPr="008455BA">
        <w:rPr>
          <w:sz w:val="24"/>
          <w:szCs w:val="24"/>
        </w:rPr>
        <w:t>)</w:t>
      </w:r>
      <w:r w:rsidRPr="008455BA">
        <w:rPr>
          <w:sz w:val="24"/>
          <w:szCs w:val="24"/>
        </w:rPr>
        <w:tab/>
        <w:t>Supreme Court</w:t>
      </w:r>
      <w:r w:rsidRPr="008455BA">
        <w:rPr>
          <w:spacing w:val="-11"/>
          <w:sz w:val="24"/>
          <w:szCs w:val="24"/>
        </w:rPr>
        <w:t xml:space="preserve"> </w:t>
      </w:r>
      <w:r w:rsidRPr="008455BA">
        <w:rPr>
          <w:sz w:val="24"/>
          <w:szCs w:val="24"/>
        </w:rPr>
        <w:t>No.</w:t>
      </w:r>
      <w:proofErr w:type="gramEnd"/>
      <w:r w:rsidRPr="008455BA">
        <w:rPr>
          <w:spacing w:val="-5"/>
          <w:sz w:val="24"/>
          <w:szCs w:val="24"/>
        </w:rPr>
        <w:t xml:space="preserve"> </w:t>
      </w:r>
      <w:r w:rsidRPr="008455BA">
        <w:rPr>
          <w:sz w:val="24"/>
          <w:szCs w:val="24"/>
        </w:rPr>
        <w:t>R-</w:t>
      </w:r>
      <w:r w:rsidR="008455BA" w:rsidRPr="008455BA">
        <w:rPr>
          <w:sz w:val="24"/>
          <w:szCs w:val="24"/>
        </w:rPr>
        <w:t>19-0031</w:t>
      </w:r>
    </w:p>
    <w:p w:rsidR="008455BA" w:rsidRPr="008455BA" w:rsidRDefault="00AF57AA" w:rsidP="008455BA">
      <w:pPr>
        <w:pStyle w:val="BodyText"/>
        <w:tabs>
          <w:tab w:val="left" w:pos="5861"/>
        </w:tabs>
        <w:spacing w:before="5"/>
        <w:ind w:left="4421"/>
        <w:rPr>
          <w:spacing w:val="-8"/>
          <w:sz w:val="24"/>
          <w:szCs w:val="24"/>
        </w:rPr>
      </w:pPr>
      <w:r w:rsidRPr="008455BA">
        <w:rPr>
          <w:sz w:val="24"/>
          <w:szCs w:val="24"/>
        </w:rPr>
        <w:t>)</w:t>
      </w:r>
      <w:r w:rsidRPr="008455BA">
        <w:rPr>
          <w:sz w:val="24"/>
          <w:szCs w:val="24"/>
        </w:rPr>
        <w:tab/>
      </w:r>
    </w:p>
    <w:p w:rsidR="002B4161" w:rsidRPr="008455BA" w:rsidRDefault="00AF57AA">
      <w:pPr>
        <w:pStyle w:val="BodyText"/>
        <w:tabs>
          <w:tab w:val="left" w:pos="4420"/>
        </w:tabs>
        <w:spacing w:before="4"/>
        <w:ind w:left="100"/>
        <w:rPr>
          <w:sz w:val="24"/>
          <w:szCs w:val="24"/>
        </w:rPr>
      </w:pPr>
      <w:r w:rsidRPr="008455BA">
        <w:rPr>
          <w:sz w:val="24"/>
          <w:szCs w:val="24"/>
        </w:rPr>
        <w:t>PETITION</w:t>
      </w:r>
      <w:r w:rsidRPr="008455BA">
        <w:rPr>
          <w:spacing w:val="-4"/>
          <w:sz w:val="24"/>
          <w:szCs w:val="24"/>
        </w:rPr>
        <w:t xml:space="preserve"> </w:t>
      </w:r>
      <w:r w:rsidRPr="008455BA">
        <w:rPr>
          <w:sz w:val="24"/>
          <w:szCs w:val="24"/>
        </w:rPr>
        <w:t>TO</w:t>
      </w:r>
      <w:r w:rsidRPr="008455BA">
        <w:rPr>
          <w:spacing w:val="-2"/>
          <w:sz w:val="24"/>
          <w:szCs w:val="24"/>
        </w:rPr>
        <w:t xml:space="preserve"> </w:t>
      </w:r>
      <w:r w:rsidRPr="008455BA">
        <w:rPr>
          <w:sz w:val="24"/>
          <w:szCs w:val="24"/>
        </w:rPr>
        <w:t>AMEND</w:t>
      </w:r>
      <w:r w:rsidRPr="008455BA">
        <w:rPr>
          <w:sz w:val="24"/>
          <w:szCs w:val="24"/>
        </w:rPr>
        <w:tab/>
        <w:t>)</w:t>
      </w:r>
    </w:p>
    <w:p w:rsidR="002B4161" w:rsidRPr="008455BA" w:rsidRDefault="00AF57AA">
      <w:pPr>
        <w:tabs>
          <w:tab w:val="left" w:pos="1314"/>
          <w:tab w:val="left" w:pos="4420"/>
          <w:tab w:val="left" w:pos="5861"/>
        </w:tabs>
        <w:spacing w:before="9"/>
        <w:ind w:left="100"/>
        <w:rPr>
          <w:sz w:val="24"/>
          <w:szCs w:val="24"/>
        </w:rPr>
      </w:pPr>
      <w:r w:rsidRPr="008455BA">
        <w:rPr>
          <w:sz w:val="24"/>
          <w:szCs w:val="24"/>
        </w:rPr>
        <w:t>RULE</w:t>
      </w:r>
      <w:r w:rsidR="008455BA" w:rsidRPr="008455BA">
        <w:rPr>
          <w:sz w:val="24"/>
          <w:szCs w:val="24"/>
        </w:rPr>
        <w:t xml:space="preserve"> 45(a</w:t>
      </w:r>
      <w:proofErr w:type="gramStart"/>
      <w:r w:rsidR="008455BA" w:rsidRPr="008455BA">
        <w:rPr>
          <w:sz w:val="24"/>
          <w:szCs w:val="24"/>
        </w:rPr>
        <w:t>)(</w:t>
      </w:r>
      <w:proofErr w:type="gramEnd"/>
      <w:r w:rsidR="008455BA" w:rsidRPr="008455BA">
        <w:rPr>
          <w:sz w:val="24"/>
          <w:szCs w:val="24"/>
        </w:rPr>
        <w:t>2) and (b)(1)</w:t>
      </w:r>
      <w:r w:rsidRPr="008455BA">
        <w:rPr>
          <w:sz w:val="24"/>
          <w:szCs w:val="24"/>
        </w:rPr>
        <w:tab/>
        <w:t>)</w:t>
      </w:r>
      <w:r w:rsidRPr="008455BA">
        <w:rPr>
          <w:sz w:val="24"/>
          <w:szCs w:val="24"/>
        </w:rPr>
        <w:tab/>
        <w:t>Comment</w:t>
      </w:r>
      <w:r w:rsidRPr="008455BA">
        <w:rPr>
          <w:spacing w:val="-20"/>
          <w:sz w:val="24"/>
          <w:szCs w:val="24"/>
        </w:rPr>
        <w:t xml:space="preserve"> </w:t>
      </w:r>
      <w:r w:rsidRPr="008455BA">
        <w:rPr>
          <w:sz w:val="24"/>
          <w:szCs w:val="24"/>
        </w:rPr>
        <w:t>to</w:t>
      </w:r>
      <w:r w:rsidRPr="008455BA">
        <w:rPr>
          <w:spacing w:val="-25"/>
          <w:sz w:val="24"/>
          <w:szCs w:val="24"/>
        </w:rPr>
        <w:t xml:space="preserve"> </w:t>
      </w:r>
      <w:r w:rsidRPr="008455BA">
        <w:rPr>
          <w:spacing w:val="-3"/>
          <w:sz w:val="24"/>
          <w:szCs w:val="24"/>
        </w:rPr>
        <w:t>Petition</w:t>
      </w:r>
      <w:r w:rsidRPr="008455BA">
        <w:rPr>
          <w:spacing w:val="-25"/>
          <w:sz w:val="24"/>
          <w:szCs w:val="24"/>
        </w:rPr>
        <w:t xml:space="preserve"> </w:t>
      </w:r>
      <w:r w:rsidRPr="008455BA">
        <w:rPr>
          <w:sz w:val="24"/>
          <w:szCs w:val="24"/>
        </w:rPr>
        <w:t>to</w:t>
      </w:r>
      <w:r w:rsidRPr="008455BA">
        <w:rPr>
          <w:spacing w:val="-26"/>
          <w:sz w:val="24"/>
          <w:szCs w:val="24"/>
        </w:rPr>
        <w:t xml:space="preserve"> </w:t>
      </w:r>
      <w:r w:rsidRPr="008455BA">
        <w:rPr>
          <w:spacing w:val="-3"/>
          <w:sz w:val="24"/>
          <w:szCs w:val="24"/>
        </w:rPr>
        <w:t>Amend</w:t>
      </w:r>
    </w:p>
    <w:p w:rsidR="002B4161" w:rsidRPr="008455BA" w:rsidRDefault="00AF57AA">
      <w:pPr>
        <w:pStyle w:val="Heading1"/>
        <w:tabs>
          <w:tab w:val="left" w:pos="5861"/>
          <w:tab w:val="left" w:pos="6905"/>
        </w:tabs>
        <w:spacing w:before="9" w:line="321" w:lineRule="exact"/>
        <w:ind w:left="4421" w:firstLine="0"/>
        <w:rPr>
          <w:b w:val="0"/>
          <w:sz w:val="24"/>
          <w:szCs w:val="24"/>
        </w:rPr>
      </w:pPr>
      <w:r w:rsidRPr="008455BA">
        <w:rPr>
          <w:b w:val="0"/>
          <w:sz w:val="24"/>
          <w:szCs w:val="24"/>
        </w:rPr>
        <w:t>)</w:t>
      </w:r>
      <w:r w:rsidRPr="008455BA">
        <w:rPr>
          <w:b w:val="0"/>
          <w:sz w:val="24"/>
          <w:szCs w:val="24"/>
        </w:rPr>
        <w:tab/>
        <w:t>Rule</w:t>
      </w:r>
      <w:r w:rsidR="008455BA" w:rsidRPr="008455BA">
        <w:rPr>
          <w:b w:val="0"/>
          <w:sz w:val="24"/>
          <w:szCs w:val="24"/>
        </w:rPr>
        <w:t xml:space="preserve"> 45(a</w:t>
      </w:r>
      <w:proofErr w:type="gramStart"/>
      <w:r w:rsidR="008455BA" w:rsidRPr="008455BA">
        <w:rPr>
          <w:b w:val="0"/>
          <w:sz w:val="24"/>
          <w:szCs w:val="24"/>
        </w:rPr>
        <w:t>)(</w:t>
      </w:r>
      <w:proofErr w:type="gramEnd"/>
      <w:r w:rsidR="008455BA" w:rsidRPr="008455BA">
        <w:rPr>
          <w:b w:val="0"/>
          <w:sz w:val="24"/>
          <w:szCs w:val="24"/>
        </w:rPr>
        <w:t>2) and (b)(1)</w:t>
      </w:r>
    </w:p>
    <w:p w:rsidR="002B4161" w:rsidRPr="008455BA" w:rsidRDefault="00AF57AA">
      <w:pPr>
        <w:pStyle w:val="BodyText"/>
        <w:spacing w:line="321" w:lineRule="exact"/>
        <w:ind w:right="643"/>
        <w:jc w:val="center"/>
        <w:rPr>
          <w:sz w:val="24"/>
          <w:szCs w:val="24"/>
        </w:rPr>
      </w:pPr>
      <w:r w:rsidRPr="008455BA">
        <w:rPr>
          <w:w w:val="99"/>
          <w:sz w:val="24"/>
          <w:szCs w:val="24"/>
        </w:rPr>
        <w:t>)</w:t>
      </w:r>
    </w:p>
    <w:p w:rsidR="002B4161" w:rsidRPr="008455BA" w:rsidRDefault="00AF57AA">
      <w:pPr>
        <w:pStyle w:val="BodyText"/>
        <w:spacing w:before="5"/>
        <w:ind w:right="643"/>
        <w:jc w:val="center"/>
        <w:rPr>
          <w:sz w:val="24"/>
          <w:szCs w:val="24"/>
        </w:rPr>
      </w:pPr>
      <w:r w:rsidRPr="008455BA">
        <w:rPr>
          <w:w w:val="99"/>
          <w:sz w:val="24"/>
          <w:szCs w:val="24"/>
        </w:rPr>
        <w:t>)</w:t>
      </w:r>
    </w:p>
    <w:p w:rsidR="002B4161" w:rsidRPr="009D1156" w:rsidRDefault="00AF57AA" w:rsidP="009D1156">
      <w:pPr>
        <w:pStyle w:val="BodyText"/>
        <w:tabs>
          <w:tab w:val="left" w:pos="4201"/>
        </w:tabs>
        <w:spacing w:before="4" w:after="240"/>
        <w:rPr>
          <w:sz w:val="24"/>
          <w:szCs w:val="24"/>
        </w:rPr>
      </w:pPr>
      <w:r w:rsidRPr="008455BA">
        <w:rPr>
          <w:w w:val="99"/>
          <w:sz w:val="24"/>
          <w:szCs w:val="24"/>
          <w:u w:val="single"/>
        </w:rPr>
        <w:t xml:space="preserve"> </w:t>
      </w:r>
      <w:r w:rsidRPr="008455BA">
        <w:rPr>
          <w:sz w:val="24"/>
          <w:szCs w:val="24"/>
          <w:u w:val="single"/>
        </w:rPr>
        <w:tab/>
      </w:r>
      <w:r w:rsidR="008455BA" w:rsidRPr="009D1156">
        <w:rPr>
          <w:sz w:val="24"/>
          <w:szCs w:val="24"/>
          <w:u w:val="single"/>
        </w:rPr>
        <w:t xml:space="preserve">    </w:t>
      </w:r>
      <w:r w:rsidRPr="009D1156">
        <w:rPr>
          <w:sz w:val="24"/>
          <w:szCs w:val="24"/>
        </w:rPr>
        <w:t>)</w:t>
      </w:r>
    </w:p>
    <w:p w:rsidR="002B4161" w:rsidRPr="008455BA" w:rsidRDefault="00AF57AA" w:rsidP="008455BA">
      <w:pPr>
        <w:pStyle w:val="BodyText"/>
        <w:spacing w:line="480" w:lineRule="auto"/>
        <w:ind w:left="100" w:right="-50" w:firstLine="719"/>
        <w:rPr>
          <w:sz w:val="24"/>
          <w:szCs w:val="24"/>
        </w:rPr>
      </w:pPr>
      <w:r w:rsidRPr="008455BA">
        <w:rPr>
          <w:sz w:val="24"/>
          <w:szCs w:val="24"/>
        </w:rPr>
        <w:t xml:space="preserve">Pursuant to Rule 28(D), Rules of the Supreme Court, </w:t>
      </w:r>
      <w:r w:rsidR="008455BA" w:rsidRPr="008455BA">
        <w:rPr>
          <w:sz w:val="24"/>
          <w:szCs w:val="24"/>
        </w:rPr>
        <w:t>Craig Sullivan, Executive Director, County Supervisors Association of Arizona,</w:t>
      </w:r>
      <w:r w:rsidRPr="008455BA">
        <w:rPr>
          <w:b/>
          <w:sz w:val="24"/>
          <w:szCs w:val="24"/>
        </w:rPr>
        <w:t xml:space="preserve"> </w:t>
      </w:r>
      <w:r w:rsidRPr="008455BA">
        <w:rPr>
          <w:sz w:val="24"/>
          <w:szCs w:val="24"/>
        </w:rPr>
        <w:t>respectfully submits this Comment for the Court’s consideration.</w:t>
      </w:r>
    </w:p>
    <w:p w:rsidR="008455BA" w:rsidRPr="008455BA" w:rsidRDefault="008455BA" w:rsidP="008455BA">
      <w:pPr>
        <w:spacing w:line="480" w:lineRule="auto"/>
        <w:ind w:firstLine="810"/>
        <w:jc w:val="both"/>
        <w:rPr>
          <w:sz w:val="24"/>
          <w:szCs w:val="24"/>
        </w:rPr>
      </w:pPr>
      <w:r w:rsidRPr="008455BA">
        <w:rPr>
          <w:sz w:val="24"/>
          <w:szCs w:val="24"/>
        </w:rPr>
        <w:t>The County Supervisors Association (CSA) is submitting this comment in opposition of the proposed change to Rule 45 of the Arizona Rules of Civil Procedure. CSA represents county supervisors from Arizona’s fifteen counties, all of whom contribute directly to the funding of Arizona’s judicial system. As written, the proposal would allow attorneys in civil cases to issue their own subpoenas, bypassing the current system where the Clerk of the Court issues subpoenas and collects the statutorily required $30 subpoena fee.</w:t>
      </w:r>
    </w:p>
    <w:p w:rsidR="008455BA" w:rsidRPr="008455BA" w:rsidRDefault="008455BA" w:rsidP="008455BA">
      <w:pPr>
        <w:spacing w:line="480" w:lineRule="auto"/>
        <w:ind w:firstLine="720"/>
        <w:jc w:val="both"/>
        <w:rPr>
          <w:sz w:val="24"/>
          <w:szCs w:val="24"/>
        </w:rPr>
      </w:pPr>
      <w:r w:rsidRPr="008455BA">
        <w:rPr>
          <w:sz w:val="24"/>
          <w:szCs w:val="24"/>
        </w:rPr>
        <w:t>Statute currently distributes this fee to over 10 different projects and funds including the Judicial Collections Enhancement Fund (JCEF) and the Elected Officials Retirement Plan (EORP). Any rule change that impacts the recipients of these funds should provide an alternative funding source.</w:t>
      </w:r>
    </w:p>
    <w:p w:rsidR="008455BA" w:rsidRPr="008455BA" w:rsidRDefault="008455BA" w:rsidP="00FB57A9">
      <w:pPr>
        <w:spacing w:line="480" w:lineRule="auto"/>
        <w:ind w:firstLine="720"/>
        <w:jc w:val="both"/>
        <w:rPr>
          <w:sz w:val="24"/>
          <w:szCs w:val="24"/>
        </w:rPr>
      </w:pPr>
      <w:r w:rsidRPr="008455BA">
        <w:rPr>
          <w:sz w:val="24"/>
          <w:szCs w:val="24"/>
        </w:rPr>
        <w:lastRenderedPageBreak/>
        <w:t>If the rule change were adopted, counties would see both a reduction in revenues from the fee and an increase in costs. In fiscal year 2018, the fee put more than $1 million into the system and was distributed to counties in the following manner:</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8455BA" w:rsidRPr="008455BA" w:rsidTr="00D92E58">
        <w:tc>
          <w:tcPr>
            <w:tcW w:w="4680" w:type="dxa"/>
          </w:tcPr>
          <w:p w:rsidR="008455BA" w:rsidRPr="008455BA" w:rsidRDefault="008455BA" w:rsidP="00FB57A9">
            <w:pPr>
              <w:spacing w:line="480" w:lineRule="auto"/>
              <w:jc w:val="both"/>
              <w:rPr>
                <w:b/>
                <w:sz w:val="24"/>
                <w:szCs w:val="24"/>
              </w:rPr>
            </w:pPr>
            <w:r w:rsidRPr="008455BA">
              <w:rPr>
                <w:b/>
                <w:sz w:val="24"/>
                <w:szCs w:val="24"/>
              </w:rPr>
              <w:t>Counties with a population over 500K:</w:t>
            </w:r>
          </w:p>
        </w:tc>
        <w:tc>
          <w:tcPr>
            <w:tcW w:w="4680" w:type="dxa"/>
          </w:tcPr>
          <w:p w:rsidR="008455BA" w:rsidRPr="008455BA" w:rsidRDefault="008455BA" w:rsidP="00FB57A9">
            <w:pPr>
              <w:spacing w:line="480" w:lineRule="auto"/>
              <w:jc w:val="both"/>
              <w:rPr>
                <w:b/>
                <w:sz w:val="24"/>
                <w:szCs w:val="24"/>
              </w:rPr>
            </w:pPr>
            <w:r w:rsidRPr="008455BA">
              <w:rPr>
                <w:b/>
                <w:sz w:val="24"/>
                <w:szCs w:val="24"/>
              </w:rPr>
              <w:t>Counties with a population under 500K:</w:t>
            </w:r>
          </w:p>
        </w:tc>
      </w:tr>
      <w:tr w:rsidR="008455BA" w:rsidRPr="008455BA" w:rsidTr="00D92E58">
        <w:tc>
          <w:tcPr>
            <w:tcW w:w="4680" w:type="dxa"/>
          </w:tcPr>
          <w:p w:rsidR="008455BA" w:rsidRPr="008455BA" w:rsidRDefault="008455BA" w:rsidP="00FB57A9">
            <w:pPr>
              <w:pStyle w:val="ListParagraph"/>
              <w:numPr>
                <w:ilvl w:val="0"/>
                <w:numId w:val="2"/>
              </w:numPr>
              <w:spacing w:before="0" w:line="480" w:lineRule="auto"/>
              <w:contextualSpacing/>
              <w:jc w:val="both"/>
              <w:rPr>
                <w:sz w:val="24"/>
                <w:szCs w:val="24"/>
              </w:rPr>
            </w:pPr>
            <w:r w:rsidRPr="008455BA">
              <w:rPr>
                <w:sz w:val="24"/>
                <w:szCs w:val="24"/>
              </w:rPr>
              <w:t>7.02% County Law Library Fund</w:t>
            </w:r>
          </w:p>
        </w:tc>
        <w:tc>
          <w:tcPr>
            <w:tcW w:w="4680" w:type="dxa"/>
          </w:tcPr>
          <w:p w:rsidR="008455BA" w:rsidRPr="008455BA" w:rsidRDefault="008455BA" w:rsidP="00FB57A9">
            <w:pPr>
              <w:pStyle w:val="ListParagraph"/>
              <w:numPr>
                <w:ilvl w:val="0"/>
                <w:numId w:val="2"/>
              </w:numPr>
              <w:spacing w:before="0" w:line="480" w:lineRule="auto"/>
              <w:contextualSpacing/>
              <w:jc w:val="both"/>
              <w:rPr>
                <w:sz w:val="24"/>
                <w:szCs w:val="24"/>
              </w:rPr>
            </w:pPr>
            <w:r w:rsidRPr="008455BA">
              <w:rPr>
                <w:sz w:val="24"/>
                <w:szCs w:val="24"/>
              </w:rPr>
              <w:t>14.09% County Law Library</w:t>
            </w:r>
          </w:p>
        </w:tc>
      </w:tr>
      <w:tr w:rsidR="008455BA" w:rsidRPr="008455BA" w:rsidTr="00D92E58">
        <w:tc>
          <w:tcPr>
            <w:tcW w:w="4680" w:type="dxa"/>
          </w:tcPr>
          <w:p w:rsidR="008455BA" w:rsidRPr="008455BA" w:rsidRDefault="008455BA" w:rsidP="00FB57A9">
            <w:pPr>
              <w:pStyle w:val="ListParagraph"/>
              <w:numPr>
                <w:ilvl w:val="0"/>
                <w:numId w:val="2"/>
              </w:numPr>
              <w:spacing w:before="0" w:line="480" w:lineRule="auto"/>
              <w:contextualSpacing/>
              <w:jc w:val="both"/>
              <w:rPr>
                <w:sz w:val="24"/>
                <w:szCs w:val="24"/>
              </w:rPr>
            </w:pPr>
            <w:r w:rsidRPr="008455BA">
              <w:rPr>
                <w:sz w:val="24"/>
                <w:szCs w:val="24"/>
              </w:rPr>
              <w:t>28.81% County General Fund</w:t>
            </w:r>
          </w:p>
        </w:tc>
        <w:tc>
          <w:tcPr>
            <w:tcW w:w="4680" w:type="dxa"/>
          </w:tcPr>
          <w:p w:rsidR="008455BA" w:rsidRPr="008455BA" w:rsidRDefault="008455BA" w:rsidP="00FB57A9">
            <w:pPr>
              <w:pStyle w:val="ListParagraph"/>
              <w:numPr>
                <w:ilvl w:val="0"/>
                <w:numId w:val="2"/>
              </w:numPr>
              <w:spacing w:before="0" w:line="480" w:lineRule="auto"/>
              <w:contextualSpacing/>
              <w:jc w:val="both"/>
              <w:rPr>
                <w:sz w:val="24"/>
                <w:szCs w:val="24"/>
              </w:rPr>
            </w:pPr>
            <w:r w:rsidRPr="008455BA">
              <w:rPr>
                <w:sz w:val="24"/>
                <w:szCs w:val="24"/>
              </w:rPr>
              <w:t>29.56% County General Fund</w:t>
            </w:r>
          </w:p>
        </w:tc>
      </w:tr>
    </w:tbl>
    <w:p w:rsidR="008455BA" w:rsidRPr="008455BA" w:rsidRDefault="008455BA" w:rsidP="00FB57A9">
      <w:pPr>
        <w:spacing w:before="240" w:line="480" w:lineRule="auto"/>
        <w:ind w:firstLine="720"/>
        <w:jc w:val="both"/>
        <w:rPr>
          <w:sz w:val="24"/>
          <w:szCs w:val="24"/>
        </w:rPr>
      </w:pPr>
      <w:r w:rsidRPr="008455BA">
        <w:rPr>
          <w:sz w:val="24"/>
          <w:szCs w:val="24"/>
        </w:rPr>
        <w:t>Additionally, 27.91% (urban counties) and 20.09% (rural counties) of this fee is deposited into the EORP, which reduces the employer contributions required to fund the retirement system for judges and elected officials. Counties also pay fees into the JCEF, which receives 17.62% of the civil subpoena fee. Any reduction in the payment of this fee would likely result in an increase of the other fees counties are required to pay into the JCEF.</w:t>
      </w:r>
    </w:p>
    <w:p w:rsidR="008455BA" w:rsidRPr="008455BA" w:rsidRDefault="008455BA" w:rsidP="00FB57A9">
      <w:pPr>
        <w:spacing w:line="480" w:lineRule="auto"/>
        <w:ind w:firstLine="720"/>
        <w:jc w:val="both"/>
        <w:rPr>
          <w:sz w:val="24"/>
          <w:szCs w:val="24"/>
        </w:rPr>
      </w:pPr>
      <w:r w:rsidRPr="008455BA">
        <w:rPr>
          <w:sz w:val="24"/>
          <w:szCs w:val="24"/>
        </w:rPr>
        <w:t>If there is an issue with access, it is our understanding that the Arizona State Bar Association provides a simple online subpoena service available 24 hours a day for attorneys to issue subpoenas and pay the fee at </w:t>
      </w:r>
      <w:hyperlink r:id="rId8" w:history="1">
        <w:r w:rsidRPr="008455BA">
          <w:rPr>
            <w:rStyle w:val="Hyperlink"/>
            <w:sz w:val="24"/>
            <w:szCs w:val="24"/>
          </w:rPr>
          <w:t>https://www.myazbar.org/subpoenas/index.cfm</w:t>
        </w:r>
      </w:hyperlink>
      <w:r w:rsidRPr="008455BA">
        <w:rPr>
          <w:sz w:val="24"/>
          <w:szCs w:val="24"/>
        </w:rPr>
        <w:t>.</w:t>
      </w:r>
    </w:p>
    <w:p w:rsidR="008455BA" w:rsidRPr="008455BA" w:rsidRDefault="008455BA" w:rsidP="00FB57A9">
      <w:pPr>
        <w:spacing w:line="480" w:lineRule="auto"/>
        <w:ind w:left="720"/>
        <w:jc w:val="both"/>
        <w:rPr>
          <w:sz w:val="24"/>
          <w:szCs w:val="24"/>
        </w:rPr>
      </w:pPr>
      <w:r w:rsidRPr="008455BA">
        <w:rPr>
          <w:sz w:val="24"/>
          <w:szCs w:val="24"/>
        </w:rPr>
        <w:t>In closing, we request that the proposed rule be denied. Thank you for your consideration.</w:t>
      </w:r>
    </w:p>
    <w:p w:rsidR="002B4161" w:rsidRPr="008455BA" w:rsidRDefault="002B4161" w:rsidP="008455BA">
      <w:pPr>
        <w:pStyle w:val="BodyText"/>
        <w:spacing w:before="9" w:line="480" w:lineRule="auto"/>
        <w:rPr>
          <w:sz w:val="24"/>
          <w:szCs w:val="24"/>
        </w:rPr>
      </w:pPr>
    </w:p>
    <w:p w:rsidR="002B4161" w:rsidRPr="008455BA" w:rsidRDefault="00AF57AA" w:rsidP="008455BA">
      <w:pPr>
        <w:pStyle w:val="BodyText"/>
        <w:tabs>
          <w:tab w:val="left" w:pos="5741"/>
          <w:tab w:val="left" w:pos="8048"/>
          <w:tab w:val="left" w:pos="8744"/>
        </w:tabs>
        <w:spacing w:line="480" w:lineRule="auto"/>
        <w:ind w:left="720"/>
        <w:rPr>
          <w:sz w:val="24"/>
          <w:szCs w:val="24"/>
        </w:rPr>
      </w:pPr>
      <w:proofErr w:type="gramStart"/>
      <w:r w:rsidRPr="008455BA">
        <w:rPr>
          <w:sz w:val="24"/>
          <w:szCs w:val="24"/>
        </w:rPr>
        <w:t>RESPECTFULLY</w:t>
      </w:r>
      <w:r w:rsidRPr="008455BA">
        <w:rPr>
          <w:spacing w:val="-7"/>
          <w:sz w:val="24"/>
          <w:szCs w:val="24"/>
        </w:rPr>
        <w:t xml:space="preserve"> </w:t>
      </w:r>
      <w:r w:rsidRPr="008455BA">
        <w:rPr>
          <w:sz w:val="24"/>
          <w:szCs w:val="24"/>
        </w:rPr>
        <w:t>SUBMITTED</w:t>
      </w:r>
      <w:r w:rsidRPr="008455BA">
        <w:rPr>
          <w:spacing w:val="-6"/>
          <w:sz w:val="24"/>
          <w:szCs w:val="24"/>
        </w:rPr>
        <w:t xml:space="preserve"> </w:t>
      </w:r>
      <w:r w:rsidRPr="008455BA">
        <w:rPr>
          <w:sz w:val="24"/>
          <w:szCs w:val="24"/>
        </w:rPr>
        <w:t>this</w:t>
      </w:r>
      <w:r w:rsidR="005C20E6">
        <w:rPr>
          <w:sz w:val="24"/>
          <w:szCs w:val="24"/>
        </w:rPr>
        <w:t xml:space="preserve"> 22</w:t>
      </w:r>
      <w:r w:rsidR="005C20E6" w:rsidRPr="005C20E6">
        <w:rPr>
          <w:sz w:val="24"/>
          <w:szCs w:val="24"/>
          <w:vertAlign w:val="superscript"/>
        </w:rPr>
        <w:t>nd</w:t>
      </w:r>
      <w:r w:rsidR="005C20E6">
        <w:rPr>
          <w:sz w:val="24"/>
          <w:szCs w:val="24"/>
        </w:rPr>
        <w:t xml:space="preserve"> </w:t>
      </w:r>
      <w:r w:rsidRPr="008455BA">
        <w:rPr>
          <w:sz w:val="24"/>
          <w:szCs w:val="24"/>
        </w:rPr>
        <w:t>day</w:t>
      </w:r>
      <w:r w:rsidRPr="008455BA">
        <w:rPr>
          <w:spacing w:val="-4"/>
          <w:sz w:val="24"/>
          <w:szCs w:val="24"/>
        </w:rPr>
        <w:t xml:space="preserve"> </w:t>
      </w:r>
      <w:r w:rsidRPr="008455BA">
        <w:rPr>
          <w:sz w:val="24"/>
          <w:szCs w:val="24"/>
        </w:rPr>
        <w:t>of</w:t>
      </w:r>
      <w:r w:rsidR="005C20E6">
        <w:rPr>
          <w:sz w:val="24"/>
          <w:szCs w:val="24"/>
        </w:rPr>
        <w:t xml:space="preserve"> April</w:t>
      </w:r>
      <w:r w:rsidRPr="008455BA">
        <w:rPr>
          <w:sz w:val="24"/>
          <w:szCs w:val="24"/>
        </w:rPr>
        <w:t>,</w:t>
      </w:r>
      <w:r w:rsidRPr="008455BA">
        <w:rPr>
          <w:spacing w:val="-2"/>
          <w:sz w:val="24"/>
          <w:szCs w:val="24"/>
        </w:rPr>
        <w:t xml:space="preserve"> </w:t>
      </w:r>
      <w:r w:rsidRPr="008455BA">
        <w:rPr>
          <w:sz w:val="24"/>
          <w:szCs w:val="24"/>
        </w:rPr>
        <w:t>20</w:t>
      </w:r>
      <w:r w:rsidR="008455BA">
        <w:rPr>
          <w:sz w:val="24"/>
          <w:szCs w:val="24"/>
        </w:rPr>
        <w:t>19.</w:t>
      </w:r>
      <w:proofErr w:type="gramEnd"/>
    </w:p>
    <w:p w:rsidR="002B4161" w:rsidRPr="008455BA" w:rsidRDefault="002B4161">
      <w:pPr>
        <w:pStyle w:val="BodyText"/>
        <w:rPr>
          <w:sz w:val="24"/>
          <w:szCs w:val="24"/>
        </w:rPr>
      </w:pPr>
    </w:p>
    <w:p w:rsidR="002B4161" w:rsidRPr="008455BA" w:rsidRDefault="002B4161">
      <w:pPr>
        <w:pStyle w:val="BodyText"/>
        <w:spacing w:before="4"/>
        <w:rPr>
          <w:sz w:val="24"/>
          <w:szCs w:val="24"/>
        </w:rPr>
      </w:pPr>
    </w:p>
    <w:p w:rsidR="002B4161" w:rsidRPr="008455BA" w:rsidRDefault="00AF57AA">
      <w:pPr>
        <w:tabs>
          <w:tab w:val="left" w:pos="9428"/>
        </w:tabs>
        <w:spacing w:before="90"/>
        <w:ind w:left="4421"/>
        <w:rPr>
          <w:sz w:val="24"/>
          <w:szCs w:val="24"/>
        </w:rPr>
      </w:pPr>
      <w:r w:rsidRPr="008455BA">
        <w:rPr>
          <w:spacing w:val="-5"/>
          <w:sz w:val="24"/>
          <w:szCs w:val="24"/>
        </w:rPr>
        <w:t>By</w:t>
      </w:r>
      <w:r w:rsidRPr="008455BA">
        <w:rPr>
          <w:sz w:val="24"/>
          <w:szCs w:val="24"/>
          <w:u w:val="single"/>
        </w:rPr>
        <w:t xml:space="preserve"> </w:t>
      </w:r>
      <w:r>
        <w:rPr>
          <w:sz w:val="24"/>
          <w:szCs w:val="24"/>
          <w:u w:val="single"/>
        </w:rPr>
        <w:t>/S/</w:t>
      </w:r>
      <w:bookmarkStart w:id="0" w:name="_GoBack"/>
      <w:bookmarkEnd w:id="0"/>
      <w:r w:rsidRPr="008455BA">
        <w:rPr>
          <w:sz w:val="24"/>
          <w:szCs w:val="24"/>
          <w:u w:val="single"/>
        </w:rPr>
        <w:tab/>
      </w:r>
    </w:p>
    <w:p w:rsidR="002B4161" w:rsidRDefault="008455BA" w:rsidP="008455BA">
      <w:pPr>
        <w:pStyle w:val="BodyText"/>
        <w:spacing w:before="4"/>
        <w:ind w:left="4410"/>
        <w:rPr>
          <w:sz w:val="24"/>
          <w:szCs w:val="24"/>
        </w:rPr>
      </w:pPr>
      <w:r>
        <w:rPr>
          <w:sz w:val="24"/>
          <w:szCs w:val="24"/>
        </w:rPr>
        <w:t>Craig Sullivan, Executive Director</w:t>
      </w:r>
    </w:p>
    <w:p w:rsidR="008455BA" w:rsidRDefault="008455BA" w:rsidP="008455BA">
      <w:pPr>
        <w:pStyle w:val="BodyText"/>
        <w:spacing w:before="4"/>
        <w:ind w:left="4410"/>
        <w:rPr>
          <w:sz w:val="24"/>
          <w:szCs w:val="24"/>
        </w:rPr>
      </w:pPr>
      <w:r>
        <w:rPr>
          <w:sz w:val="24"/>
          <w:szCs w:val="24"/>
        </w:rPr>
        <w:t>County Supervisors Association of Arizona</w:t>
      </w:r>
    </w:p>
    <w:p w:rsidR="008455BA" w:rsidRDefault="008455BA" w:rsidP="008455BA">
      <w:pPr>
        <w:pStyle w:val="BodyText"/>
        <w:spacing w:before="4"/>
        <w:ind w:left="4410"/>
        <w:rPr>
          <w:sz w:val="24"/>
          <w:szCs w:val="24"/>
        </w:rPr>
      </w:pPr>
      <w:r w:rsidRPr="008455BA">
        <w:rPr>
          <w:sz w:val="24"/>
          <w:szCs w:val="24"/>
        </w:rPr>
        <w:t xml:space="preserve">1905 W. Washington Street, Suite 100 </w:t>
      </w:r>
    </w:p>
    <w:p w:rsidR="008455BA" w:rsidRPr="008455BA" w:rsidRDefault="008455BA" w:rsidP="008455BA">
      <w:pPr>
        <w:pStyle w:val="BodyText"/>
        <w:spacing w:before="4"/>
        <w:ind w:left="4410"/>
        <w:rPr>
          <w:sz w:val="24"/>
          <w:szCs w:val="24"/>
        </w:rPr>
      </w:pPr>
      <w:r w:rsidRPr="008455BA">
        <w:rPr>
          <w:sz w:val="24"/>
          <w:szCs w:val="24"/>
        </w:rPr>
        <w:t>Phoenix, AZ 85009</w:t>
      </w:r>
    </w:p>
    <w:p w:rsidR="008455BA" w:rsidRDefault="008455BA" w:rsidP="008455BA">
      <w:pPr>
        <w:pStyle w:val="BodyText"/>
        <w:spacing w:before="4"/>
        <w:ind w:left="4410"/>
        <w:rPr>
          <w:sz w:val="24"/>
          <w:szCs w:val="24"/>
        </w:rPr>
      </w:pPr>
      <w:r w:rsidRPr="008455BA">
        <w:rPr>
          <w:sz w:val="24"/>
          <w:szCs w:val="24"/>
        </w:rPr>
        <w:t>(602) 252 5521</w:t>
      </w:r>
    </w:p>
    <w:p w:rsidR="005C20E6" w:rsidRPr="008455BA" w:rsidRDefault="005C20E6" w:rsidP="008455BA">
      <w:pPr>
        <w:pStyle w:val="BodyText"/>
        <w:spacing w:before="4"/>
        <w:ind w:left="4410"/>
        <w:rPr>
          <w:sz w:val="24"/>
          <w:szCs w:val="24"/>
        </w:rPr>
      </w:pPr>
      <w:r w:rsidRPr="005C20E6">
        <w:rPr>
          <w:sz w:val="24"/>
          <w:szCs w:val="24"/>
        </w:rPr>
        <w:t>craigs@countysupervisors.org</w:t>
      </w:r>
    </w:p>
    <w:p w:rsidR="008455BA" w:rsidRPr="008455BA" w:rsidRDefault="008455BA" w:rsidP="008455BA">
      <w:pPr>
        <w:pStyle w:val="BodyText"/>
        <w:spacing w:before="4"/>
        <w:ind w:left="4410"/>
        <w:rPr>
          <w:sz w:val="24"/>
          <w:szCs w:val="24"/>
        </w:rPr>
      </w:pPr>
    </w:p>
    <w:sectPr w:rsidR="008455BA" w:rsidRPr="008455BA" w:rsidSect="005C20E6">
      <w:headerReference w:type="even" r:id="rId9"/>
      <w:headerReference w:type="default" r:id="rId10"/>
      <w:footerReference w:type="even" r:id="rId11"/>
      <w:footerReference w:type="default" r:id="rId12"/>
      <w:headerReference w:type="first" r:id="rId13"/>
      <w:footerReference w:type="first" r:id="rId14"/>
      <w:pgSz w:w="12240" w:h="15840"/>
      <w:pgMar w:top="1260" w:right="1320" w:bottom="81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156" w:rsidRDefault="009D1156" w:rsidP="009D1156">
      <w:r>
        <w:separator/>
      </w:r>
    </w:p>
  </w:endnote>
  <w:endnote w:type="continuationSeparator" w:id="0">
    <w:p w:rsidR="009D1156" w:rsidRDefault="009D1156" w:rsidP="009D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56" w:rsidRDefault="009D11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56" w:rsidRDefault="009D11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56" w:rsidRDefault="009D11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156" w:rsidRDefault="009D1156" w:rsidP="009D1156">
      <w:r>
        <w:separator/>
      </w:r>
    </w:p>
  </w:footnote>
  <w:footnote w:type="continuationSeparator" w:id="0">
    <w:p w:rsidR="009D1156" w:rsidRDefault="009D1156" w:rsidP="009D1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56" w:rsidRDefault="009D11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56" w:rsidRDefault="009D11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156" w:rsidRDefault="009D11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5BF"/>
    <w:multiLevelType w:val="hybridMultilevel"/>
    <w:tmpl w:val="80CC89F0"/>
    <w:lvl w:ilvl="0" w:tplc="49DE1A26">
      <w:start w:val="1"/>
      <w:numFmt w:val="upperRoman"/>
      <w:lvlText w:val="%1."/>
      <w:lvlJc w:val="left"/>
      <w:pPr>
        <w:ind w:left="820" w:hanging="720"/>
        <w:jc w:val="left"/>
      </w:pPr>
      <w:rPr>
        <w:rFonts w:ascii="Times New Roman" w:eastAsia="Times New Roman" w:hAnsi="Times New Roman" w:cs="Times New Roman" w:hint="default"/>
        <w:b/>
        <w:bCs/>
        <w:spacing w:val="-1"/>
        <w:w w:val="99"/>
        <w:sz w:val="28"/>
        <w:szCs w:val="28"/>
        <w:lang w:val="en-US" w:eastAsia="en-US" w:bidi="en-US"/>
      </w:rPr>
    </w:lvl>
    <w:lvl w:ilvl="1" w:tplc="9266F8AE">
      <w:numFmt w:val="bullet"/>
      <w:lvlText w:val="•"/>
      <w:lvlJc w:val="left"/>
      <w:pPr>
        <w:ind w:left="1696" w:hanging="720"/>
      </w:pPr>
      <w:rPr>
        <w:rFonts w:hint="default"/>
        <w:lang w:val="en-US" w:eastAsia="en-US" w:bidi="en-US"/>
      </w:rPr>
    </w:lvl>
    <w:lvl w:ilvl="2" w:tplc="C592E38A">
      <w:numFmt w:val="bullet"/>
      <w:lvlText w:val="•"/>
      <w:lvlJc w:val="left"/>
      <w:pPr>
        <w:ind w:left="2572" w:hanging="720"/>
      </w:pPr>
      <w:rPr>
        <w:rFonts w:hint="default"/>
        <w:lang w:val="en-US" w:eastAsia="en-US" w:bidi="en-US"/>
      </w:rPr>
    </w:lvl>
    <w:lvl w:ilvl="3" w:tplc="B79EC1A0">
      <w:numFmt w:val="bullet"/>
      <w:lvlText w:val="•"/>
      <w:lvlJc w:val="left"/>
      <w:pPr>
        <w:ind w:left="3448" w:hanging="720"/>
      </w:pPr>
      <w:rPr>
        <w:rFonts w:hint="default"/>
        <w:lang w:val="en-US" w:eastAsia="en-US" w:bidi="en-US"/>
      </w:rPr>
    </w:lvl>
    <w:lvl w:ilvl="4" w:tplc="C908D958">
      <w:numFmt w:val="bullet"/>
      <w:lvlText w:val="•"/>
      <w:lvlJc w:val="left"/>
      <w:pPr>
        <w:ind w:left="4324" w:hanging="720"/>
      </w:pPr>
      <w:rPr>
        <w:rFonts w:hint="default"/>
        <w:lang w:val="en-US" w:eastAsia="en-US" w:bidi="en-US"/>
      </w:rPr>
    </w:lvl>
    <w:lvl w:ilvl="5" w:tplc="85E65D00">
      <w:numFmt w:val="bullet"/>
      <w:lvlText w:val="•"/>
      <w:lvlJc w:val="left"/>
      <w:pPr>
        <w:ind w:left="5200" w:hanging="720"/>
      </w:pPr>
      <w:rPr>
        <w:rFonts w:hint="default"/>
        <w:lang w:val="en-US" w:eastAsia="en-US" w:bidi="en-US"/>
      </w:rPr>
    </w:lvl>
    <w:lvl w:ilvl="6" w:tplc="617AF748">
      <w:numFmt w:val="bullet"/>
      <w:lvlText w:val="•"/>
      <w:lvlJc w:val="left"/>
      <w:pPr>
        <w:ind w:left="6076" w:hanging="720"/>
      </w:pPr>
      <w:rPr>
        <w:rFonts w:hint="default"/>
        <w:lang w:val="en-US" w:eastAsia="en-US" w:bidi="en-US"/>
      </w:rPr>
    </w:lvl>
    <w:lvl w:ilvl="7" w:tplc="3A78644C">
      <w:numFmt w:val="bullet"/>
      <w:lvlText w:val="•"/>
      <w:lvlJc w:val="left"/>
      <w:pPr>
        <w:ind w:left="6952" w:hanging="720"/>
      </w:pPr>
      <w:rPr>
        <w:rFonts w:hint="default"/>
        <w:lang w:val="en-US" w:eastAsia="en-US" w:bidi="en-US"/>
      </w:rPr>
    </w:lvl>
    <w:lvl w:ilvl="8" w:tplc="57049D9A">
      <w:numFmt w:val="bullet"/>
      <w:lvlText w:val="•"/>
      <w:lvlJc w:val="left"/>
      <w:pPr>
        <w:ind w:left="7828" w:hanging="720"/>
      </w:pPr>
      <w:rPr>
        <w:rFonts w:hint="default"/>
        <w:lang w:val="en-US" w:eastAsia="en-US" w:bidi="en-US"/>
      </w:rPr>
    </w:lvl>
  </w:abstractNum>
  <w:abstractNum w:abstractNumId="1">
    <w:nsid w:val="13696A53"/>
    <w:multiLevelType w:val="hybridMultilevel"/>
    <w:tmpl w:val="9A6A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161"/>
    <w:rsid w:val="0005574F"/>
    <w:rsid w:val="002B4161"/>
    <w:rsid w:val="005C20E6"/>
    <w:rsid w:val="008455BA"/>
    <w:rsid w:val="009D1156"/>
    <w:rsid w:val="00A46948"/>
    <w:rsid w:val="00AF57AA"/>
    <w:rsid w:val="00FB5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before="1"/>
      <w:ind w:left="820" w:hanging="720"/>
    </w:pPr>
  </w:style>
  <w:style w:type="paragraph" w:customStyle="1" w:styleId="TableParagraph">
    <w:name w:val="Table Paragraph"/>
    <w:basedOn w:val="Normal"/>
    <w:uiPriority w:val="1"/>
    <w:qFormat/>
  </w:style>
  <w:style w:type="table" w:styleId="TableGrid">
    <w:name w:val="Table Grid"/>
    <w:basedOn w:val="TableNormal"/>
    <w:uiPriority w:val="59"/>
    <w:rsid w:val="008455B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5BA"/>
    <w:rPr>
      <w:color w:val="0563C1"/>
      <w:u w:val="single"/>
    </w:rPr>
  </w:style>
  <w:style w:type="paragraph" w:styleId="Header">
    <w:name w:val="header"/>
    <w:basedOn w:val="Normal"/>
    <w:link w:val="HeaderChar"/>
    <w:uiPriority w:val="99"/>
    <w:unhideWhenUsed/>
    <w:rsid w:val="009D1156"/>
    <w:pPr>
      <w:tabs>
        <w:tab w:val="center" w:pos="4680"/>
        <w:tab w:val="right" w:pos="9360"/>
      </w:tabs>
    </w:pPr>
  </w:style>
  <w:style w:type="character" w:customStyle="1" w:styleId="HeaderChar">
    <w:name w:val="Header Char"/>
    <w:basedOn w:val="DefaultParagraphFont"/>
    <w:link w:val="Header"/>
    <w:uiPriority w:val="99"/>
    <w:rsid w:val="009D1156"/>
    <w:rPr>
      <w:rFonts w:ascii="Times New Roman" w:eastAsia="Times New Roman" w:hAnsi="Times New Roman" w:cs="Times New Roman"/>
      <w:lang w:bidi="en-US"/>
    </w:rPr>
  </w:style>
  <w:style w:type="paragraph" w:styleId="Footer">
    <w:name w:val="footer"/>
    <w:basedOn w:val="Normal"/>
    <w:link w:val="FooterChar"/>
    <w:uiPriority w:val="99"/>
    <w:unhideWhenUsed/>
    <w:rsid w:val="009D1156"/>
    <w:pPr>
      <w:tabs>
        <w:tab w:val="center" w:pos="4680"/>
        <w:tab w:val="right" w:pos="9360"/>
      </w:tabs>
    </w:pPr>
  </w:style>
  <w:style w:type="character" w:customStyle="1" w:styleId="FooterChar">
    <w:name w:val="Footer Char"/>
    <w:basedOn w:val="DefaultParagraphFont"/>
    <w:link w:val="Footer"/>
    <w:uiPriority w:val="99"/>
    <w:rsid w:val="009D1156"/>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hanging="7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34"/>
    <w:qFormat/>
    <w:pPr>
      <w:spacing w:before="1"/>
      <w:ind w:left="820" w:hanging="720"/>
    </w:pPr>
  </w:style>
  <w:style w:type="paragraph" w:customStyle="1" w:styleId="TableParagraph">
    <w:name w:val="Table Paragraph"/>
    <w:basedOn w:val="Normal"/>
    <w:uiPriority w:val="1"/>
    <w:qFormat/>
  </w:style>
  <w:style w:type="table" w:styleId="TableGrid">
    <w:name w:val="Table Grid"/>
    <w:basedOn w:val="TableNormal"/>
    <w:uiPriority w:val="59"/>
    <w:rsid w:val="008455B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5BA"/>
    <w:rPr>
      <w:color w:val="0563C1"/>
      <w:u w:val="single"/>
    </w:rPr>
  </w:style>
  <w:style w:type="paragraph" w:styleId="Header">
    <w:name w:val="header"/>
    <w:basedOn w:val="Normal"/>
    <w:link w:val="HeaderChar"/>
    <w:uiPriority w:val="99"/>
    <w:unhideWhenUsed/>
    <w:rsid w:val="009D1156"/>
    <w:pPr>
      <w:tabs>
        <w:tab w:val="center" w:pos="4680"/>
        <w:tab w:val="right" w:pos="9360"/>
      </w:tabs>
    </w:pPr>
  </w:style>
  <w:style w:type="character" w:customStyle="1" w:styleId="HeaderChar">
    <w:name w:val="Header Char"/>
    <w:basedOn w:val="DefaultParagraphFont"/>
    <w:link w:val="Header"/>
    <w:uiPriority w:val="99"/>
    <w:rsid w:val="009D1156"/>
    <w:rPr>
      <w:rFonts w:ascii="Times New Roman" w:eastAsia="Times New Roman" w:hAnsi="Times New Roman" w:cs="Times New Roman"/>
      <w:lang w:bidi="en-US"/>
    </w:rPr>
  </w:style>
  <w:style w:type="paragraph" w:styleId="Footer">
    <w:name w:val="footer"/>
    <w:basedOn w:val="Normal"/>
    <w:link w:val="FooterChar"/>
    <w:uiPriority w:val="99"/>
    <w:unhideWhenUsed/>
    <w:rsid w:val="009D1156"/>
    <w:pPr>
      <w:tabs>
        <w:tab w:val="center" w:pos="4680"/>
        <w:tab w:val="right" w:pos="9360"/>
      </w:tabs>
    </w:pPr>
  </w:style>
  <w:style w:type="character" w:customStyle="1" w:styleId="FooterChar">
    <w:name w:val="Footer Char"/>
    <w:basedOn w:val="DefaultParagraphFont"/>
    <w:link w:val="Footer"/>
    <w:uiPriority w:val="99"/>
    <w:rsid w:val="009D1156"/>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myazbar.org/subpoenas/index.cf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xptest3</dc:creator>
  <cp:lastModifiedBy>Vanessa Fielder</cp:lastModifiedBy>
  <cp:revision>2</cp:revision>
  <cp:lastPrinted>2019-04-22T19:00:00Z</cp:lastPrinted>
  <dcterms:created xsi:type="dcterms:W3CDTF">2019-04-22T19:02:00Z</dcterms:created>
  <dcterms:modified xsi:type="dcterms:W3CDTF">2019-04-22T19:02:00Z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2013-01-09T00:00:00Z</vt:filetime>
  </property>
  <property fmtid="{D5CDD505-2E9C-101B-9397-08002B2CF9AE}" pid="3" name="Creator">
    <vt:lpwstr>Microsoft® Office Word 2007</vt:lpwstr>
  </property>
  <property fmtid="{D5CDD505-2E9C-101B-9397-08002B2CF9AE}" pid="4" name="LastSaved">
    <vt:filetime>2019-04-16T00:00:00Z</vt:filetime>
  </property>
</Properties>
</file>