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C51" w:rsidRPr="002B3716" w:rsidRDefault="00F21C51" w:rsidP="00094ABB">
      <w:pPr>
        <w:spacing w:line="160" w:lineRule="exact"/>
        <w:jc w:val="both"/>
        <w:rPr>
          <w:rFonts w:ascii="Century Schoolbook" w:hAnsi="Century Schoolbook"/>
          <w:sz w:val="26"/>
          <w:szCs w:val="26"/>
        </w:rPr>
      </w:pPr>
    </w:p>
    <w:p w:rsidR="00452E75" w:rsidRPr="00AD6B9D" w:rsidRDefault="006A015E" w:rsidP="00E476D1">
      <w:pPr>
        <w:spacing w:line="240" w:lineRule="auto"/>
        <w:rPr>
          <w:rFonts w:ascii="Century Schoolbook" w:hAnsi="Century Schoolbook"/>
          <w:b/>
          <w:smallCaps/>
          <w:sz w:val="26"/>
          <w:szCs w:val="26"/>
        </w:rPr>
      </w:pPr>
      <w:bookmarkStart w:id="0" w:name="AttorneyName"/>
      <w:bookmarkEnd w:id="0"/>
      <w:r w:rsidRPr="00AD6B9D">
        <w:rPr>
          <w:rStyle w:val="Style3"/>
          <w:rFonts w:ascii="Century Schoolbook" w:hAnsi="Century Schoolbook"/>
          <w:b/>
          <w:i w:val="0"/>
          <w:smallCaps/>
          <w:sz w:val="26"/>
          <w:szCs w:val="26"/>
        </w:rPr>
        <w:t>Pima County Bar Association</w:t>
      </w:r>
    </w:p>
    <w:p w:rsidR="00247B4D" w:rsidRPr="002B3716" w:rsidRDefault="006A015E" w:rsidP="00E476D1">
      <w:pPr>
        <w:spacing w:line="240" w:lineRule="auto"/>
        <w:rPr>
          <w:sz w:val="26"/>
          <w:szCs w:val="26"/>
        </w:rPr>
      </w:pPr>
      <w:r w:rsidRPr="002B3716">
        <w:rPr>
          <w:sz w:val="26"/>
          <w:szCs w:val="26"/>
        </w:rPr>
        <w:t>177 North Church Avenue</w:t>
      </w:r>
    </w:p>
    <w:p w:rsidR="00247B4D" w:rsidRPr="002B3716" w:rsidRDefault="00247B4D" w:rsidP="00E476D1">
      <w:pPr>
        <w:spacing w:line="240" w:lineRule="auto"/>
        <w:rPr>
          <w:sz w:val="26"/>
          <w:szCs w:val="26"/>
        </w:rPr>
      </w:pPr>
      <w:r w:rsidRPr="002B3716">
        <w:rPr>
          <w:sz w:val="26"/>
          <w:szCs w:val="26"/>
        </w:rPr>
        <w:t>Tucson, A</w:t>
      </w:r>
      <w:r w:rsidR="00FD2A80" w:rsidRPr="002B3716">
        <w:rPr>
          <w:sz w:val="26"/>
          <w:szCs w:val="26"/>
        </w:rPr>
        <w:t>rizona</w:t>
      </w:r>
      <w:r w:rsidRPr="002B3716">
        <w:rPr>
          <w:sz w:val="26"/>
          <w:szCs w:val="26"/>
        </w:rPr>
        <w:t xml:space="preserve">  85701</w:t>
      </w:r>
    </w:p>
    <w:p w:rsidR="00A924BD" w:rsidRDefault="002B3716" w:rsidP="00A924BD">
      <w:pPr>
        <w:spacing w:line="240" w:lineRule="auto"/>
        <w:rPr>
          <w:sz w:val="26"/>
          <w:szCs w:val="26"/>
        </w:rPr>
      </w:pPr>
      <w:r>
        <w:rPr>
          <w:sz w:val="26"/>
          <w:szCs w:val="26"/>
        </w:rPr>
        <w:t>520-</w:t>
      </w:r>
      <w:r w:rsidR="006A015E" w:rsidRPr="002B3716">
        <w:rPr>
          <w:sz w:val="26"/>
          <w:szCs w:val="26"/>
        </w:rPr>
        <w:t>623-8258</w:t>
      </w:r>
      <w:r w:rsidR="00A924BD" w:rsidRPr="00A924BD">
        <w:rPr>
          <w:sz w:val="26"/>
          <w:szCs w:val="26"/>
        </w:rPr>
        <w:t xml:space="preserve"> </w:t>
      </w:r>
    </w:p>
    <w:p w:rsidR="00247B4D" w:rsidRPr="002B3716" w:rsidRDefault="009C5286" w:rsidP="00E476D1">
      <w:pPr>
        <w:spacing w:line="240" w:lineRule="auto"/>
        <w:rPr>
          <w:sz w:val="26"/>
          <w:szCs w:val="26"/>
        </w:rPr>
      </w:pPr>
      <w:r>
        <w:rPr>
          <w:sz w:val="26"/>
          <w:szCs w:val="26"/>
        </w:rPr>
        <w:t>James W. Rappaport, SBN 0</w:t>
      </w:r>
      <w:r w:rsidR="00A924BD">
        <w:rPr>
          <w:sz w:val="26"/>
          <w:szCs w:val="26"/>
        </w:rPr>
        <w:t>31699</w:t>
      </w:r>
    </w:p>
    <w:p w:rsidR="00AD6B9D" w:rsidRPr="00AD6B9D" w:rsidRDefault="00AD6B9D" w:rsidP="00E476D1">
      <w:pPr>
        <w:spacing w:line="240" w:lineRule="auto"/>
        <w:rPr>
          <w:i/>
          <w:sz w:val="26"/>
          <w:szCs w:val="26"/>
        </w:rPr>
      </w:pPr>
      <w:r>
        <w:rPr>
          <w:rStyle w:val="Style1"/>
          <w:i/>
          <w:szCs w:val="26"/>
        </w:rPr>
        <w:t>Rules Committee Chair</w:t>
      </w:r>
    </w:p>
    <w:p w:rsidR="005E1399" w:rsidRPr="00022A34" w:rsidRDefault="005E1399" w:rsidP="00094ABB">
      <w:pPr>
        <w:spacing w:after="320" w:line="540" w:lineRule="exact"/>
        <w:rPr>
          <w:sz w:val="26"/>
          <w:szCs w:val="26"/>
        </w:rPr>
      </w:pPr>
    </w:p>
    <w:p w:rsidR="005E1399" w:rsidRPr="009C465B" w:rsidRDefault="006A015E" w:rsidP="00094ABB">
      <w:pPr>
        <w:jc w:val="center"/>
        <w:rPr>
          <w:b/>
          <w:sz w:val="26"/>
          <w:szCs w:val="26"/>
        </w:rPr>
      </w:pPr>
      <w:r>
        <w:rPr>
          <w:b/>
          <w:sz w:val="26"/>
          <w:szCs w:val="26"/>
        </w:rPr>
        <w:t>IN THE SUPREME COURT</w:t>
      </w:r>
    </w:p>
    <w:p w:rsidR="00272BD5" w:rsidRDefault="006A015E" w:rsidP="008A3442">
      <w:pPr>
        <w:jc w:val="center"/>
        <w:rPr>
          <w:b/>
          <w:sz w:val="26"/>
          <w:szCs w:val="26"/>
        </w:rPr>
      </w:pPr>
      <w:r>
        <w:rPr>
          <w:b/>
          <w:sz w:val="26"/>
          <w:szCs w:val="26"/>
        </w:rPr>
        <w:t>STATE OF ARIZONA</w:t>
      </w:r>
    </w:p>
    <w:p w:rsidR="005E1399" w:rsidRPr="009C465B" w:rsidRDefault="005E1399" w:rsidP="00E476D1">
      <w:pPr>
        <w:spacing w:line="660" w:lineRule="exact"/>
        <w:jc w:val="center"/>
        <w:rPr>
          <w:b/>
          <w:sz w:val="26"/>
          <w:szCs w:val="26"/>
        </w:rPr>
      </w:pPr>
    </w:p>
    <w:tbl>
      <w:tblPr>
        <w:tblW w:w="9360" w:type="dxa"/>
        <w:tblBorders>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80"/>
        <w:gridCol w:w="4680"/>
      </w:tblGrid>
      <w:tr w:rsidR="00F85E94" w:rsidRPr="009C465B" w:rsidTr="009D6CAB">
        <w:trPr>
          <w:trHeight w:val="2207"/>
        </w:trPr>
        <w:tc>
          <w:tcPr>
            <w:tcW w:w="4680" w:type="dxa"/>
            <w:shd w:val="clear" w:color="auto" w:fill="auto"/>
          </w:tcPr>
          <w:p w:rsidR="00B73BA9" w:rsidRDefault="006A015E" w:rsidP="009D6CAB">
            <w:pPr>
              <w:spacing w:line="240" w:lineRule="auto"/>
              <w:ind w:right="86"/>
              <w:jc w:val="both"/>
              <w:rPr>
                <w:sz w:val="26"/>
                <w:szCs w:val="26"/>
              </w:rPr>
            </w:pPr>
            <w:bookmarkStart w:id="1" w:name="Parties"/>
            <w:bookmarkEnd w:id="1"/>
            <w:r>
              <w:rPr>
                <w:sz w:val="26"/>
                <w:szCs w:val="26"/>
              </w:rPr>
              <w:t>In the matter of:</w:t>
            </w:r>
          </w:p>
          <w:p w:rsidR="006A015E" w:rsidRDefault="006A015E" w:rsidP="009D6CAB">
            <w:pPr>
              <w:spacing w:line="240" w:lineRule="auto"/>
              <w:ind w:right="86"/>
              <w:jc w:val="both"/>
              <w:rPr>
                <w:sz w:val="26"/>
                <w:szCs w:val="26"/>
              </w:rPr>
            </w:pPr>
          </w:p>
          <w:p w:rsidR="006A015E" w:rsidRPr="006A015E" w:rsidRDefault="006A015E" w:rsidP="009D6CAB">
            <w:pPr>
              <w:spacing w:line="240" w:lineRule="auto"/>
              <w:ind w:right="86"/>
              <w:rPr>
                <w:b/>
                <w:sz w:val="26"/>
                <w:szCs w:val="26"/>
              </w:rPr>
            </w:pPr>
            <w:r>
              <w:rPr>
                <w:b/>
                <w:sz w:val="26"/>
                <w:szCs w:val="26"/>
              </w:rPr>
              <w:t>PETITION TO ABROGATE RULE 68, ARIZONA RULES OF CIVIL PROCEDURE</w:t>
            </w:r>
          </w:p>
        </w:tc>
        <w:tc>
          <w:tcPr>
            <w:tcW w:w="4680" w:type="dxa"/>
            <w:tcBorders>
              <w:top w:val="nil"/>
              <w:bottom w:val="nil"/>
            </w:tcBorders>
            <w:shd w:val="clear" w:color="auto" w:fill="auto"/>
          </w:tcPr>
          <w:p w:rsidR="00515C65" w:rsidRPr="008A3442" w:rsidRDefault="00B30BF9" w:rsidP="009D6CAB">
            <w:pPr>
              <w:pStyle w:val="SingleSpacing"/>
              <w:spacing w:line="240" w:lineRule="auto"/>
              <w:ind w:left="180"/>
              <w:rPr>
                <w:sz w:val="26"/>
                <w:szCs w:val="26"/>
              </w:rPr>
            </w:pPr>
            <w:bookmarkStart w:id="2" w:name="CaseNumber"/>
            <w:bookmarkEnd w:id="2"/>
            <w:r>
              <w:rPr>
                <w:sz w:val="26"/>
                <w:szCs w:val="26"/>
              </w:rPr>
              <w:t>Supreme Court No. R-19-0001</w:t>
            </w:r>
            <w:r w:rsidR="00EC6C93">
              <w:rPr>
                <w:sz w:val="26"/>
                <w:szCs w:val="26"/>
              </w:rPr>
              <w:t>5</w:t>
            </w:r>
            <w:bookmarkStart w:id="3" w:name="_GoBack"/>
            <w:bookmarkEnd w:id="3"/>
          </w:p>
          <w:p w:rsidR="00515C65" w:rsidRDefault="00515C65" w:rsidP="009D6CAB">
            <w:pPr>
              <w:spacing w:line="240" w:lineRule="auto"/>
              <w:ind w:left="187"/>
              <w:rPr>
                <w:b/>
                <w:sz w:val="26"/>
                <w:szCs w:val="26"/>
              </w:rPr>
            </w:pPr>
          </w:p>
          <w:p w:rsidR="008A3442" w:rsidRPr="009C465B" w:rsidRDefault="006A015E" w:rsidP="009D6CAB">
            <w:pPr>
              <w:spacing w:line="240" w:lineRule="auto"/>
              <w:ind w:left="187"/>
              <w:rPr>
                <w:sz w:val="26"/>
                <w:szCs w:val="26"/>
              </w:rPr>
            </w:pPr>
            <w:r>
              <w:rPr>
                <w:b/>
                <w:sz w:val="26"/>
                <w:szCs w:val="26"/>
              </w:rPr>
              <w:t>PROPOSED COMMENT OF THE PIMA COUNTY BAR ASSOCIATION ON THE PETITION TO ABROGATE RULE 68, ARIZONA RULES OF CIVIL PROCEDURE</w:t>
            </w:r>
          </w:p>
        </w:tc>
      </w:tr>
    </w:tbl>
    <w:p w:rsidR="00B30BF9" w:rsidRDefault="00B30BF9" w:rsidP="00094ABB">
      <w:pPr>
        <w:tabs>
          <w:tab w:val="left" w:pos="0"/>
        </w:tabs>
        <w:spacing w:line="420" w:lineRule="exact"/>
        <w:jc w:val="both"/>
        <w:rPr>
          <w:sz w:val="26"/>
          <w:szCs w:val="26"/>
        </w:rPr>
      </w:pPr>
    </w:p>
    <w:p w:rsidR="00094ABB" w:rsidRDefault="000E441F" w:rsidP="00B30BF9">
      <w:pPr>
        <w:tabs>
          <w:tab w:val="left" w:pos="0"/>
        </w:tabs>
        <w:jc w:val="both"/>
        <w:rPr>
          <w:sz w:val="26"/>
          <w:szCs w:val="26"/>
        </w:rPr>
      </w:pPr>
      <w:r>
        <w:rPr>
          <w:sz w:val="26"/>
          <w:szCs w:val="26"/>
        </w:rPr>
        <w:tab/>
      </w:r>
      <w:r w:rsidR="006A015E" w:rsidRPr="006A015E">
        <w:rPr>
          <w:sz w:val="26"/>
          <w:szCs w:val="26"/>
        </w:rPr>
        <w:t xml:space="preserve">Pursuant to Rule 28, Ariz. R. Sup. Ct., the Pima </w:t>
      </w:r>
      <w:r w:rsidR="00D32F46">
        <w:rPr>
          <w:sz w:val="26"/>
          <w:szCs w:val="26"/>
        </w:rPr>
        <w:t xml:space="preserve">County Bar Association </w:t>
      </w:r>
      <w:r w:rsidR="006A015E" w:rsidRPr="006A015E">
        <w:rPr>
          <w:sz w:val="26"/>
          <w:szCs w:val="26"/>
        </w:rPr>
        <w:t>respectfully submits the following comment on Petition R-19, filed by the St</w:t>
      </w:r>
      <w:r w:rsidR="00D32F46">
        <w:rPr>
          <w:sz w:val="26"/>
          <w:szCs w:val="26"/>
        </w:rPr>
        <w:t>ate Bar of Arizona</w:t>
      </w:r>
      <w:r w:rsidR="006A015E" w:rsidRPr="006A015E">
        <w:rPr>
          <w:sz w:val="26"/>
          <w:szCs w:val="26"/>
        </w:rPr>
        <w:t>. The State Bar contends that Rule 68, Ariz. R. Civ. P. (“Rule 68”), is too draconian—too blunt an instrument to do justice to plaintiffs. As their petition sets forth, Rule 68 both unfairly penalizes plaintiffs who reasonably reject an offer of judgment and provides for a sanction that bears no relation to the reasonableness of that rejection. In short, Rule 68 is depicted as a Sword of Damocles hanging over the heads of legitimately aggrieved plaintiffs. Respectfully, that sword—like any other weapon in the trial lawyer’s arsenal—cuts both ways. Just as it has the potential to chill litigation, so too does it provide a reasonable means to screen unmeritorious lawsuits where other rules fail.</w:t>
      </w:r>
    </w:p>
    <w:p w:rsidR="000366AE" w:rsidRDefault="00094ABB" w:rsidP="00B30BF9">
      <w:pPr>
        <w:tabs>
          <w:tab w:val="left" w:pos="0"/>
        </w:tabs>
        <w:jc w:val="both"/>
        <w:rPr>
          <w:sz w:val="26"/>
          <w:szCs w:val="26"/>
        </w:rPr>
      </w:pPr>
      <w:r>
        <w:rPr>
          <w:sz w:val="26"/>
          <w:szCs w:val="26"/>
        </w:rPr>
        <w:t>/ / /</w:t>
      </w:r>
      <w:r w:rsidR="006A015E" w:rsidRPr="006A015E">
        <w:rPr>
          <w:sz w:val="26"/>
          <w:szCs w:val="26"/>
        </w:rPr>
        <w:t xml:space="preserve"> </w:t>
      </w:r>
      <w:r w:rsidR="000366AE">
        <w:rPr>
          <w:sz w:val="26"/>
          <w:szCs w:val="26"/>
        </w:rPr>
        <w:br w:type="page"/>
      </w:r>
    </w:p>
    <w:p w:rsidR="006A015E" w:rsidRDefault="006A015E" w:rsidP="000366AE">
      <w:pPr>
        <w:tabs>
          <w:tab w:val="left" w:pos="0"/>
        </w:tabs>
        <w:spacing w:line="160" w:lineRule="exact"/>
        <w:jc w:val="both"/>
        <w:rPr>
          <w:sz w:val="26"/>
          <w:szCs w:val="26"/>
        </w:rPr>
      </w:pPr>
    </w:p>
    <w:p w:rsidR="000366AE" w:rsidRDefault="000366AE" w:rsidP="000366AE">
      <w:pPr>
        <w:pStyle w:val="ListParagraph"/>
        <w:numPr>
          <w:ilvl w:val="0"/>
          <w:numId w:val="23"/>
        </w:numPr>
        <w:tabs>
          <w:tab w:val="left" w:pos="0"/>
        </w:tabs>
        <w:spacing w:line="240" w:lineRule="auto"/>
        <w:jc w:val="both"/>
        <w:rPr>
          <w:b/>
          <w:sz w:val="26"/>
          <w:szCs w:val="26"/>
        </w:rPr>
      </w:pPr>
      <w:r w:rsidRPr="006A015E">
        <w:rPr>
          <w:b/>
          <w:sz w:val="26"/>
          <w:szCs w:val="26"/>
        </w:rPr>
        <w:t>Rule 68 strikes an appropriate balance between the rights of plaintiffs and defendants.</w:t>
      </w:r>
    </w:p>
    <w:p w:rsidR="000366AE" w:rsidRPr="006A015E" w:rsidRDefault="000366AE" w:rsidP="000366AE">
      <w:pPr>
        <w:pStyle w:val="ListParagraph"/>
        <w:tabs>
          <w:tab w:val="left" w:pos="0"/>
        </w:tabs>
        <w:spacing w:line="180" w:lineRule="exact"/>
        <w:ind w:left="1440"/>
        <w:jc w:val="both"/>
        <w:rPr>
          <w:b/>
          <w:sz w:val="26"/>
          <w:szCs w:val="26"/>
        </w:rPr>
      </w:pPr>
    </w:p>
    <w:p w:rsidR="006A015E" w:rsidRPr="006A015E" w:rsidRDefault="006A015E" w:rsidP="006A015E">
      <w:pPr>
        <w:tabs>
          <w:tab w:val="left" w:pos="0"/>
        </w:tabs>
        <w:jc w:val="both"/>
        <w:rPr>
          <w:sz w:val="26"/>
          <w:szCs w:val="26"/>
        </w:rPr>
      </w:pPr>
      <w:r w:rsidRPr="006A015E">
        <w:rPr>
          <w:sz w:val="26"/>
          <w:szCs w:val="26"/>
        </w:rPr>
        <w:tab/>
        <w:t>While the State Bar looks at Rule 68 from the perspective of plaintiffs, both sides in litigation can and do make offers of judgment. The example given by the State Bar is one in which a defendant makes a one dollar offer of judgment—which most plaintiffs would reasonably reject—and then recovers expert witness fees and double taxable costs after the jury renders a defense verdict. Assuming the case was reasonable and brought in good faith, the State Bar isn’t wrong that this is perhaps a harsh result for the plaintiff—</w:t>
      </w:r>
      <w:r w:rsidR="00CE11CA">
        <w:rPr>
          <w:sz w:val="26"/>
          <w:szCs w:val="26"/>
        </w:rPr>
        <w:t>especially</w:t>
      </w:r>
      <w:r w:rsidRPr="006A015E">
        <w:rPr>
          <w:sz w:val="26"/>
          <w:szCs w:val="26"/>
        </w:rPr>
        <w:t xml:space="preserve"> if one imagines a David v. Goliath scenario with an individual plaintiff suing a powerful corporate defendant. However, the hypothetical rests on a faulty premise: If a factfinder renders a defense verdict, the plaintiff’s lawsuit is arguably unmeritorious by definition. To the extent the aggrieved plaintiff assigns fault for having to pay Rule 68 sanctions, the fault lies not in the application of Rule 68 but in the finder of fact.  Likewise, one need not strain their imagination to conceive of the same scenario in which the shoe is on the other foot: An unmeritorious lawsuit by a well-heeled plaintiff against an individual person or underfunded public entity. Even granting the assumption that our Civil Rules should reflect an ethos of giving plaintiffs their day in court, they are nonetheless less than effective at screening unmeritorious cases—they most often catch only the plainly frivolous.  </w:t>
      </w:r>
    </w:p>
    <w:p w:rsidR="006A015E" w:rsidRPr="006A015E" w:rsidRDefault="006A015E" w:rsidP="006A015E">
      <w:pPr>
        <w:tabs>
          <w:tab w:val="left" w:pos="0"/>
        </w:tabs>
        <w:jc w:val="both"/>
        <w:rPr>
          <w:sz w:val="26"/>
          <w:szCs w:val="26"/>
        </w:rPr>
      </w:pPr>
      <w:r>
        <w:rPr>
          <w:sz w:val="26"/>
          <w:szCs w:val="26"/>
        </w:rPr>
        <w:tab/>
      </w:r>
      <w:r w:rsidRPr="006A015E">
        <w:rPr>
          <w:sz w:val="26"/>
          <w:szCs w:val="26"/>
        </w:rPr>
        <w:t>First, it is trivially easy to state a claim under Rule 12, Ariz. Civ. P. Second, it is similarly easy to create a triable issue of fact and survive summary judgment—an issue compounded by many trial judges’ understandable reluctance to take cases away from juries, even when it is appropriate. Third, Rule 11, Ariz. R. Civ. P., is likewise ineffective at deterring unmeritorious litigation—the standard is so low (“</w:t>
      </w:r>
      <w:proofErr w:type="spellStart"/>
      <w:r w:rsidRPr="006A015E">
        <w:rPr>
          <w:sz w:val="26"/>
          <w:szCs w:val="26"/>
        </w:rPr>
        <w:t>nonfrivolous</w:t>
      </w:r>
      <w:proofErr w:type="spellEnd"/>
      <w:r w:rsidRPr="006A015E">
        <w:rPr>
          <w:sz w:val="26"/>
          <w:szCs w:val="26"/>
        </w:rPr>
        <w:t xml:space="preserve">”), and its sanctions are rarely meted out. Finally, when a case does go to trial, the preponderance standard is a relatively easy bar to meet, particularly when it is coupled with the </w:t>
      </w:r>
      <w:r w:rsidRPr="006A015E">
        <w:rPr>
          <w:sz w:val="26"/>
          <w:szCs w:val="26"/>
        </w:rPr>
        <w:lastRenderedPageBreak/>
        <w:t>availability of comparative fault. Rule 68 is simply a means of balancing an already-tilted playing field.</w:t>
      </w:r>
    </w:p>
    <w:p w:rsidR="006A015E" w:rsidRDefault="006A015E" w:rsidP="006A015E">
      <w:pPr>
        <w:tabs>
          <w:tab w:val="left" w:pos="0"/>
        </w:tabs>
        <w:jc w:val="both"/>
        <w:rPr>
          <w:sz w:val="26"/>
          <w:szCs w:val="26"/>
        </w:rPr>
      </w:pPr>
      <w:r>
        <w:rPr>
          <w:sz w:val="26"/>
          <w:szCs w:val="26"/>
        </w:rPr>
        <w:tab/>
      </w:r>
      <w:r w:rsidRPr="006A015E">
        <w:rPr>
          <w:sz w:val="26"/>
          <w:szCs w:val="26"/>
        </w:rPr>
        <w:t xml:space="preserve">Not only does Rule 68 present symmetrical risks for plaintiffs and defendants alike—as both sides may tender offers of judgment—but also, the risk of a harsh result is part and parcel of any litigation. Indeed, as trial lawyers, risk is our business—the risk of a harsh result, for example, or the risk that counsel on either side take unfair advantage of the rules, are omnipresent in litigation and at every stage. To contend that a particular rule or practice should be abolished because it is susceptible to abuse is not logical, as that criticism could justly be leveled against virtually every rule and every tactical choice a trial attorney makes—including the choice to file a lawsuit in the first place.  What ensures the fairness of Rule 68 offers of judgment is precisely what ensures that plaintiffs’ attorneys file only those lawsuits that are meritorious: Good faith. In this way, a Rule 68 offer of judgment is no different from a motion to dismiss or for summary judgment, or indeed the choice to file a lawsuit altogether. </w:t>
      </w:r>
    </w:p>
    <w:p w:rsidR="006A015E" w:rsidRPr="006A015E" w:rsidRDefault="006A015E" w:rsidP="006A015E">
      <w:pPr>
        <w:tabs>
          <w:tab w:val="left" w:pos="0"/>
        </w:tabs>
        <w:jc w:val="both"/>
        <w:rPr>
          <w:sz w:val="26"/>
          <w:szCs w:val="26"/>
        </w:rPr>
      </w:pPr>
    </w:p>
    <w:p w:rsidR="006A015E" w:rsidRPr="006A015E" w:rsidRDefault="006A015E" w:rsidP="006A015E">
      <w:pPr>
        <w:tabs>
          <w:tab w:val="left" w:pos="0"/>
        </w:tabs>
        <w:jc w:val="both"/>
        <w:rPr>
          <w:b/>
          <w:sz w:val="26"/>
          <w:szCs w:val="26"/>
        </w:rPr>
      </w:pPr>
      <w:r w:rsidRPr="006A015E">
        <w:rPr>
          <w:b/>
          <w:sz w:val="26"/>
          <w:szCs w:val="26"/>
        </w:rPr>
        <w:tab/>
        <w:t>II.</w:t>
      </w:r>
      <w:r w:rsidRPr="006A015E">
        <w:rPr>
          <w:b/>
          <w:sz w:val="26"/>
          <w:szCs w:val="26"/>
        </w:rPr>
        <w:tab/>
        <w:t>Mediation and settlement do not supplant the need for Rule 68.</w:t>
      </w:r>
    </w:p>
    <w:p w:rsidR="00094ABB" w:rsidRDefault="006A015E" w:rsidP="006A015E">
      <w:pPr>
        <w:tabs>
          <w:tab w:val="left" w:pos="0"/>
        </w:tabs>
        <w:jc w:val="both"/>
        <w:rPr>
          <w:sz w:val="26"/>
          <w:szCs w:val="26"/>
        </w:rPr>
      </w:pPr>
      <w:r>
        <w:rPr>
          <w:sz w:val="26"/>
          <w:szCs w:val="26"/>
        </w:rPr>
        <w:tab/>
      </w:r>
      <w:r w:rsidRPr="006A015E">
        <w:rPr>
          <w:sz w:val="26"/>
          <w:szCs w:val="26"/>
        </w:rPr>
        <w:t xml:space="preserve">Finally, the State Bar contends that, because judges have been pushing harder for settlement and mediation—and in many cases requiring it—Rule 68 is largely superfluous. Respectfully, this conclusion does not follow. While it is hard to argue with the premise that many judges strongly encourage settlement and mediation or that more and more cases are settling before trial, Rule 68 provides a robust incentive for parties on both sides to earnestly engage with one another as opposed to bringing entrenched clients to the bargaining table, as both plaintiffs and defendants are vulnerable to potential Rule 68 sanctions. The State Bar’s claim that these sanctions can be unduly harsh or arbitrary only buttresses this argument: Because both sides bear the risk of Rule 68 sanctions, both </w:t>
      </w:r>
    </w:p>
    <w:p w:rsidR="00094ABB" w:rsidRDefault="00094ABB" w:rsidP="006A015E">
      <w:pPr>
        <w:tabs>
          <w:tab w:val="left" w:pos="0"/>
        </w:tabs>
        <w:jc w:val="both"/>
        <w:rPr>
          <w:sz w:val="26"/>
          <w:szCs w:val="26"/>
        </w:rPr>
      </w:pPr>
      <w:r>
        <w:rPr>
          <w:sz w:val="26"/>
          <w:szCs w:val="26"/>
        </w:rPr>
        <w:t>/ / /</w:t>
      </w:r>
    </w:p>
    <w:p w:rsidR="003D4288" w:rsidRDefault="006A015E" w:rsidP="006A015E">
      <w:pPr>
        <w:tabs>
          <w:tab w:val="left" w:pos="0"/>
        </w:tabs>
        <w:jc w:val="both"/>
        <w:rPr>
          <w:sz w:val="26"/>
          <w:szCs w:val="26"/>
        </w:rPr>
      </w:pPr>
      <w:proofErr w:type="gramStart"/>
      <w:r w:rsidRPr="006A015E">
        <w:rPr>
          <w:sz w:val="26"/>
          <w:szCs w:val="26"/>
        </w:rPr>
        <w:lastRenderedPageBreak/>
        <w:t>have</w:t>
      </w:r>
      <w:proofErr w:type="gramEnd"/>
      <w:r w:rsidRPr="006A015E">
        <w:rPr>
          <w:sz w:val="26"/>
          <w:szCs w:val="26"/>
        </w:rPr>
        <w:t xml:space="preserve"> an equal and identical incentive both to settle and, barring settlement, to tender offers of judgment judiciously </w:t>
      </w:r>
      <w:proofErr w:type="spellStart"/>
      <w:r w:rsidRPr="006A015E">
        <w:rPr>
          <w:sz w:val="26"/>
          <w:szCs w:val="26"/>
        </w:rPr>
        <w:t>lest</w:t>
      </w:r>
      <w:proofErr w:type="spellEnd"/>
      <w:r w:rsidRPr="006A015E">
        <w:rPr>
          <w:sz w:val="26"/>
          <w:szCs w:val="26"/>
        </w:rPr>
        <w:t xml:space="preserve"> one be hoisted by their own petard. </w:t>
      </w:r>
    </w:p>
    <w:p w:rsidR="00FC0C49" w:rsidRDefault="00FC0C49" w:rsidP="006A015E">
      <w:pPr>
        <w:tabs>
          <w:tab w:val="left" w:pos="0"/>
        </w:tabs>
        <w:jc w:val="both"/>
        <w:rPr>
          <w:sz w:val="26"/>
          <w:szCs w:val="26"/>
        </w:rPr>
      </w:pPr>
    </w:p>
    <w:p w:rsidR="00094ABB" w:rsidRDefault="00094ABB" w:rsidP="00094ABB">
      <w:pPr>
        <w:tabs>
          <w:tab w:val="left" w:pos="0"/>
        </w:tabs>
        <w:spacing w:line="160" w:lineRule="exact"/>
        <w:jc w:val="both"/>
        <w:rPr>
          <w:sz w:val="26"/>
          <w:szCs w:val="26"/>
        </w:rPr>
      </w:pPr>
    </w:p>
    <w:p w:rsidR="003D4288" w:rsidRDefault="003F1DF7" w:rsidP="00094ABB">
      <w:pPr>
        <w:pStyle w:val="ListParagraph"/>
        <w:numPr>
          <w:ilvl w:val="0"/>
          <w:numId w:val="24"/>
        </w:numPr>
        <w:tabs>
          <w:tab w:val="left" w:pos="0"/>
        </w:tabs>
        <w:spacing w:line="260" w:lineRule="exact"/>
        <w:jc w:val="both"/>
        <w:rPr>
          <w:b/>
          <w:sz w:val="26"/>
          <w:szCs w:val="26"/>
        </w:rPr>
      </w:pPr>
      <w:r w:rsidRPr="003F1DF7">
        <w:rPr>
          <w:b/>
          <w:sz w:val="26"/>
          <w:szCs w:val="26"/>
        </w:rPr>
        <w:t>Not only is Rule 68 a valuable tool for both sides in litigation, but also—and just as importantly—it furthers the administration of justice</w:t>
      </w:r>
      <w:r w:rsidR="00833D58">
        <w:rPr>
          <w:b/>
          <w:sz w:val="26"/>
          <w:szCs w:val="26"/>
        </w:rPr>
        <w:t xml:space="preserve"> in our civil system</w:t>
      </w:r>
      <w:r w:rsidRPr="003F1DF7">
        <w:rPr>
          <w:b/>
          <w:sz w:val="26"/>
          <w:szCs w:val="26"/>
        </w:rPr>
        <w:t xml:space="preserve">. </w:t>
      </w:r>
      <w:r>
        <w:rPr>
          <w:b/>
          <w:sz w:val="26"/>
          <w:szCs w:val="26"/>
        </w:rPr>
        <w:t xml:space="preserve"> </w:t>
      </w:r>
    </w:p>
    <w:p w:rsidR="00094ABB" w:rsidRPr="00094ABB" w:rsidRDefault="00094ABB" w:rsidP="00094ABB">
      <w:pPr>
        <w:pStyle w:val="ListParagraph"/>
        <w:spacing w:line="20" w:lineRule="exact"/>
        <w:ind w:left="0"/>
        <w:jc w:val="both"/>
        <w:rPr>
          <w:sz w:val="26"/>
          <w:szCs w:val="26"/>
        </w:rPr>
      </w:pPr>
    </w:p>
    <w:p w:rsidR="00066DAD" w:rsidRDefault="00BA0D21" w:rsidP="003F1DF7">
      <w:pPr>
        <w:tabs>
          <w:tab w:val="left" w:pos="0"/>
        </w:tabs>
        <w:ind w:firstLine="720"/>
        <w:jc w:val="both"/>
        <w:rPr>
          <w:sz w:val="26"/>
          <w:szCs w:val="26"/>
        </w:rPr>
      </w:pPr>
      <w:r>
        <w:rPr>
          <w:sz w:val="26"/>
          <w:szCs w:val="26"/>
        </w:rPr>
        <w:t>Rule 68’s import isn’t limited to its utility as a trial st</w:t>
      </w:r>
      <w:r w:rsidR="00A924BD">
        <w:rPr>
          <w:sz w:val="26"/>
          <w:szCs w:val="26"/>
        </w:rPr>
        <w:t>ratagem. To be sure, it helps achieve</w:t>
      </w:r>
      <w:r>
        <w:rPr>
          <w:sz w:val="26"/>
          <w:szCs w:val="26"/>
        </w:rPr>
        <w:t xml:space="preserve"> some measure of balance between plaintiffs and defendants, but it also furthers exactly what the civil rules are designed</w:t>
      </w:r>
      <w:r w:rsidR="002B6337">
        <w:rPr>
          <w:sz w:val="26"/>
          <w:szCs w:val="26"/>
        </w:rPr>
        <w:t xml:space="preserve"> for: The just, speedy, and inexpensive determination of every action and proceeding. Ariz. R. Civ. P. 1.</w:t>
      </w:r>
      <w:r>
        <w:rPr>
          <w:sz w:val="26"/>
          <w:szCs w:val="26"/>
        </w:rPr>
        <w:t xml:space="preserve"> </w:t>
      </w:r>
      <w:r w:rsidR="002B6337">
        <w:rPr>
          <w:sz w:val="26"/>
          <w:szCs w:val="26"/>
        </w:rPr>
        <w:t xml:space="preserve">First, Rule 68 is an effective way of managing client expectations. An unrealistic plaintiff on the receiving end of a Rule 68 offer of judgment, for example, is much more easily </w:t>
      </w:r>
      <w:r w:rsidR="00CE11CA">
        <w:rPr>
          <w:sz w:val="26"/>
          <w:szCs w:val="26"/>
        </w:rPr>
        <w:t>dislodged from her</w:t>
      </w:r>
      <w:r w:rsidR="002B6337">
        <w:rPr>
          <w:sz w:val="26"/>
          <w:szCs w:val="26"/>
        </w:rPr>
        <w:t xml:space="preserve"> position than </w:t>
      </w:r>
      <w:r w:rsidR="006739F3">
        <w:rPr>
          <w:sz w:val="26"/>
          <w:szCs w:val="26"/>
        </w:rPr>
        <w:t>s</w:t>
      </w:r>
      <w:r w:rsidR="002B6337">
        <w:rPr>
          <w:sz w:val="26"/>
          <w:szCs w:val="26"/>
        </w:rPr>
        <w:t xml:space="preserve">he otherwise would be. The same is true for a recalcitrant defendant who resists settlement at every </w:t>
      </w:r>
      <w:r w:rsidR="003D4939">
        <w:rPr>
          <w:sz w:val="26"/>
          <w:szCs w:val="26"/>
        </w:rPr>
        <w:t>turn</w:t>
      </w:r>
      <w:r w:rsidR="002B6337">
        <w:rPr>
          <w:sz w:val="26"/>
          <w:szCs w:val="26"/>
        </w:rPr>
        <w:t xml:space="preserve"> yet has to confront the possibility of Rule 68 sanctions. </w:t>
      </w:r>
    </w:p>
    <w:p w:rsidR="00BA0D21" w:rsidRDefault="002B6337" w:rsidP="003F1DF7">
      <w:pPr>
        <w:tabs>
          <w:tab w:val="left" w:pos="0"/>
        </w:tabs>
        <w:ind w:firstLine="720"/>
        <w:jc w:val="both"/>
        <w:rPr>
          <w:sz w:val="26"/>
          <w:szCs w:val="26"/>
        </w:rPr>
      </w:pPr>
      <w:r>
        <w:rPr>
          <w:sz w:val="26"/>
          <w:szCs w:val="26"/>
        </w:rPr>
        <w:t>Second, Rule 68 provides an incentive for parties to work their</w:t>
      </w:r>
      <w:r w:rsidR="003D4939">
        <w:rPr>
          <w:sz w:val="26"/>
          <w:szCs w:val="26"/>
        </w:rPr>
        <w:t xml:space="preserve"> cases and </w:t>
      </w:r>
      <w:r w:rsidR="006B5D52">
        <w:rPr>
          <w:sz w:val="26"/>
          <w:szCs w:val="26"/>
        </w:rPr>
        <w:t>shepherd</w:t>
      </w:r>
      <w:r w:rsidR="003D4939">
        <w:rPr>
          <w:sz w:val="26"/>
          <w:szCs w:val="26"/>
        </w:rPr>
        <w:t xml:space="preserve"> them through discovery and disposition</w:t>
      </w:r>
      <w:r w:rsidR="00CE11CA">
        <w:rPr>
          <w:sz w:val="26"/>
          <w:szCs w:val="26"/>
        </w:rPr>
        <w:t>. One fights inertia in all things</w:t>
      </w:r>
      <w:r w:rsidR="003D4939">
        <w:rPr>
          <w:sz w:val="26"/>
          <w:szCs w:val="26"/>
        </w:rPr>
        <w:t xml:space="preserve">. Nowhere is this more true than for a trial lawyer who has more cases than he has time for—not a rarity among either the plaintiff’s or defense bar. A Rule 68 offer of judgment is a reality check for many lawyers that forces them not only to assess the value of their cases and how to approach discovery and settlement negotiations, but also </w:t>
      </w:r>
      <w:r w:rsidR="00066DAD">
        <w:rPr>
          <w:sz w:val="26"/>
          <w:szCs w:val="26"/>
        </w:rPr>
        <w:t xml:space="preserve">to be proactive in working </w:t>
      </w:r>
      <w:r w:rsidR="006739F3">
        <w:rPr>
          <w:sz w:val="26"/>
          <w:szCs w:val="26"/>
        </w:rPr>
        <w:t>their cases so they can meaningfully communicate the offer to the client and respond to it.</w:t>
      </w:r>
    </w:p>
    <w:p w:rsidR="00066DAD" w:rsidRDefault="00066DAD" w:rsidP="003F1DF7">
      <w:pPr>
        <w:tabs>
          <w:tab w:val="left" w:pos="0"/>
        </w:tabs>
        <w:ind w:firstLine="720"/>
        <w:jc w:val="both"/>
        <w:rPr>
          <w:sz w:val="26"/>
          <w:szCs w:val="26"/>
        </w:rPr>
      </w:pPr>
      <w:r>
        <w:rPr>
          <w:sz w:val="26"/>
          <w:szCs w:val="26"/>
        </w:rPr>
        <w:t xml:space="preserve">These benefits go both ways: Who among either the plaintiff’s or defense bar hasn’t </w:t>
      </w:r>
      <w:r w:rsidR="006739F3">
        <w:rPr>
          <w:sz w:val="26"/>
          <w:szCs w:val="26"/>
        </w:rPr>
        <w:t>had</w:t>
      </w:r>
      <w:r>
        <w:rPr>
          <w:sz w:val="26"/>
          <w:szCs w:val="26"/>
        </w:rPr>
        <w:t xml:space="preserve"> a case with an entrenched client—or indeed with an entrenched lawyer? Who hasn’t had a case in which both sides </w:t>
      </w:r>
      <w:r w:rsidR="006739F3">
        <w:rPr>
          <w:sz w:val="26"/>
          <w:szCs w:val="26"/>
        </w:rPr>
        <w:t xml:space="preserve">let a lawsuit languish in discovery while deadlines come and go? Rule 68 serves both lawyers and clients by providing a powerful incentive to sincerely evaluate one’s case and do the work necessary to move it toward a resolution. </w:t>
      </w:r>
    </w:p>
    <w:p w:rsidR="006A015E" w:rsidRPr="006A015E" w:rsidRDefault="00FC0C49" w:rsidP="006A015E">
      <w:pPr>
        <w:tabs>
          <w:tab w:val="left" w:pos="0"/>
        </w:tabs>
        <w:jc w:val="both"/>
        <w:rPr>
          <w:sz w:val="26"/>
          <w:szCs w:val="26"/>
        </w:rPr>
      </w:pPr>
      <w:r>
        <w:rPr>
          <w:sz w:val="26"/>
          <w:szCs w:val="26"/>
        </w:rPr>
        <w:t xml:space="preserve">/ / / </w:t>
      </w:r>
    </w:p>
    <w:p w:rsidR="006A015E" w:rsidRPr="006A015E" w:rsidRDefault="006A015E" w:rsidP="006A015E">
      <w:pPr>
        <w:tabs>
          <w:tab w:val="left" w:pos="0"/>
        </w:tabs>
        <w:jc w:val="both"/>
        <w:rPr>
          <w:b/>
          <w:sz w:val="26"/>
          <w:szCs w:val="26"/>
        </w:rPr>
      </w:pPr>
      <w:r w:rsidRPr="006A015E">
        <w:rPr>
          <w:b/>
          <w:sz w:val="26"/>
          <w:szCs w:val="26"/>
        </w:rPr>
        <w:lastRenderedPageBreak/>
        <w:t>CONCLUSION</w:t>
      </w:r>
    </w:p>
    <w:p w:rsidR="008A3442" w:rsidRDefault="006A015E" w:rsidP="006A015E">
      <w:pPr>
        <w:tabs>
          <w:tab w:val="left" w:pos="0"/>
        </w:tabs>
        <w:jc w:val="both"/>
        <w:rPr>
          <w:sz w:val="26"/>
          <w:szCs w:val="26"/>
        </w:rPr>
      </w:pPr>
      <w:r w:rsidRPr="006A015E">
        <w:rPr>
          <w:sz w:val="26"/>
          <w:szCs w:val="26"/>
        </w:rPr>
        <w:tab/>
        <w:t>The Sword of Damocles cuts both ways: Rule 68 offers of judgment are available to both plaintiffs and defendants, and the risk of harsh or arbitrary sanctions applies equally to plaintiffs and defendants. Far from being a cudgel for unsuspecting and meritorious plaintiffs, Rule 68 provides a much-needed counterweight in our Civil Rules that overwhelmingly favor giving plaintiffs their day in court.</w:t>
      </w:r>
      <w:r w:rsidR="006739F3">
        <w:rPr>
          <w:sz w:val="26"/>
          <w:szCs w:val="26"/>
        </w:rPr>
        <w:t xml:space="preserve"> Furthermore, Rule 68 has the benefits of helping clients manage their expectations and lawyers honestly evaluate and work their cases.</w:t>
      </w:r>
      <w:r w:rsidR="00563B50">
        <w:rPr>
          <w:sz w:val="26"/>
          <w:szCs w:val="26"/>
        </w:rPr>
        <w:t xml:space="preserve"> </w:t>
      </w:r>
    </w:p>
    <w:p w:rsidR="006A015E" w:rsidRDefault="006A015E" w:rsidP="006A015E">
      <w:pPr>
        <w:tabs>
          <w:tab w:val="left" w:pos="0"/>
        </w:tabs>
        <w:jc w:val="both"/>
        <w:rPr>
          <w:sz w:val="26"/>
          <w:szCs w:val="26"/>
        </w:rPr>
      </w:pPr>
    </w:p>
    <w:p w:rsidR="004C6BC2" w:rsidRPr="00B741C5" w:rsidRDefault="00B741C5" w:rsidP="00247B4D">
      <w:pPr>
        <w:tabs>
          <w:tab w:val="left" w:pos="720"/>
        </w:tabs>
        <w:jc w:val="both"/>
        <w:rPr>
          <w:sz w:val="26"/>
          <w:szCs w:val="26"/>
        </w:rPr>
      </w:pPr>
      <w:r>
        <w:rPr>
          <w:sz w:val="26"/>
          <w:szCs w:val="26"/>
        </w:rPr>
        <w:tab/>
      </w:r>
      <w:r w:rsidR="00907F7B">
        <w:rPr>
          <w:sz w:val="26"/>
          <w:szCs w:val="26"/>
        </w:rPr>
        <w:t>RESPECTFULLY SUBMITTED</w:t>
      </w:r>
      <w:r>
        <w:rPr>
          <w:sz w:val="26"/>
          <w:szCs w:val="26"/>
        </w:rPr>
        <w:t xml:space="preserve"> </w:t>
      </w:r>
      <w:r w:rsidR="00990D79">
        <w:rPr>
          <w:sz w:val="26"/>
          <w:szCs w:val="26"/>
        </w:rPr>
        <w:t>April 19,</w:t>
      </w:r>
      <w:r w:rsidR="00A20800">
        <w:rPr>
          <w:sz w:val="26"/>
          <w:szCs w:val="26"/>
        </w:rPr>
        <w:t xml:space="preserve"> </w:t>
      </w:r>
      <w:r w:rsidR="004C6BC2" w:rsidRPr="00B741C5">
        <w:rPr>
          <w:sz w:val="26"/>
          <w:szCs w:val="26"/>
        </w:rPr>
        <w:t>201</w:t>
      </w:r>
      <w:r w:rsidR="007C7BC5">
        <w:rPr>
          <w:sz w:val="26"/>
          <w:szCs w:val="26"/>
        </w:rPr>
        <w:t>9</w:t>
      </w:r>
      <w:r w:rsidR="004C6BC2" w:rsidRPr="00B741C5">
        <w:rPr>
          <w:sz w:val="26"/>
          <w:szCs w:val="26"/>
        </w:rPr>
        <w:t>.</w:t>
      </w:r>
    </w:p>
    <w:p w:rsidR="004C6BC2" w:rsidRPr="004C6BC2" w:rsidRDefault="004C6BC2" w:rsidP="00B741C5">
      <w:pPr>
        <w:pStyle w:val="ListParagraph"/>
        <w:spacing w:line="236" w:lineRule="exact"/>
        <w:ind w:left="0"/>
        <w:jc w:val="both"/>
        <w:rPr>
          <w:sz w:val="26"/>
          <w:szCs w:val="26"/>
        </w:rPr>
      </w:pPr>
    </w:p>
    <w:p w:rsidR="004C6BC2" w:rsidRPr="004C6BC2" w:rsidRDefault="004C6BC2" w:rsidP="00B741C5">
      <w:pPr>
        <w:pStyle w:val="ListParagraph"/>
        <w:spacing w:line="236" w:lineRule="exact"/>
        <w:ind w:left="0"/>
        <w:jc w:val="both"/>
        <w:rPr>
          <w:sz w:val="26"/>
          <w:szCs w:val="26"/>
        </w:rPr>
      </w:pPr>
    </w:p>
    <w:p w:rsidR="006A015E" w:rsidRDefault="00115179" w:rsidP="0041554B">
      <w:pPr>
        <w:pStyle w:val="ListParagraph"/>
        <w:tabs>
          <w:tab w:val="left" w:pos="3960"/>
        </w:tabs>
        <w:spacing w:line="236" w:lineRule="exact"/>
        <w:ind w:left="0"/>
        <w:jc w:val="both"/>
        <w:rPr>
          <w:rFonts w:ascii="Century Schoolbook" w:hAnsi="Century Schoolbook"/>
          <w:b/>
          <w:smallCaps/>
          <w:sz w:val="26"/>
          <w:szCs w:val="26"/>
        </w:rPr>
      </w:pPr>
      <w:r>
        <w:rPr>
          <w:sz w:val="26"/>
          <w:szCs w:val="26"/>
        </w:rPr>
        <w:tab/>
      </w:r>
      <w:r w:rsidR="006A015E" w:rsidRPr="005263EE">
        <w:rPr>
          <w:rFonts w:ascii="Century Schoolbook" w:hAnsi="Century Schoolbook"/>
          <w:b/>
          <w:smallCaps/>
          <w:sz w:val="26"/>
          <w:szCs w:val="26"/>
        </w:rPr>
        <w:t>Pima County Bar Association</w:t>
      </w:r>
    </w:p>
    <w:p w:rsidR="00290DD5" w:rsidRPr="005263EE" w:rsidRDefault="00290DD5" w:rsidP="006A015E">
      <w:pPr>
        <w:pStyle w:val="ListParagraph"/>
        <w:tabs>
          <w:tab w:val="left" w:pos="4320"/>
        </w:tabs>
        <w:spacing w:line="236" w:lineRule="exact"/>
        <w:ind w:left="0"/>
        <w:jc w:val="both"/>
        <w:rPr>
          <w:rFonts w:ascii="Century Schoolbook" w:hAnsi="Century Schoolbook"/>
          <w:b/>
          <w:smallCaps/>
          <w:sz w:val="26"/>
          <w:szCs w:val="26"/>
        </w:rPr>
      </w:pPr>
    </w:p>
    <w:p w:rsidR="00115179" w:rsidRDefault="00115179" w:rsidP="00115179">
      <w:pPr>
        <w:pStyle w:val="ListParagraph"/>
        <w:spacing w:line="236" w:lineRule="exact"/>
        <w:ind w:left="0"/>
        <w:jc w:val="both"/>
        <w:rPr>
          <w:sz w:val="26"/>
          <w:szCs w:val="26"/>
        </w:rPr>
      </w:pPr>
    </w:p>
    <w:p w:rsidR="00115179" w:rsidRDefault="00115179" w:rsidP="00115179">
      <w:pPr>
        <w:pStyle w:val="ListParagraph"/>
        <w:spacing w:line="236" w:lineRule="exact"/>
        <w:ind w:left="0"/>
        <w:jc w:val="both"/>
        <w:rPr>
          <w:sz w:val="26"/>
          <w:szCs w:val="26"/>
        </w:rPr>
      </w:pPr>
    </w:p>
    <w:p w:rsidR="00115179" w:rsidRDefault="00115179" w:rsidP="00641961">
      <w:pPr>
        <w:pStyle w:val="ListParagraph"/>
        <w:spacing w:line="240" w:lineRule="auto"/>
        <w:ind w:left="3960"/>
        <w:jc w:val="both"/>
        <w:rPr>
          <w:sz w:val="26"/>
          <w:szCs w:val="26"/>
        </w:rPr>
      </w:pPr>
      <w:r>
        <w:rPr>
          <w:sz w:val="26"/>
          <w:szCs w:val="26"/>
        </w:rPr>
        <w:t>By</w:t>
      </w:r>
      <w:r>
        <w:rPr>
          <w:sz w:val="26"/>
          <w:szCs w:val="26"/>
        </w:rPr>
        <w:tab/>
      </w:r>
      <w:r w:rsidR="00701B81">
        <w:rPr>
          <w:sz w:val="26"/>
          <w:szCs w:val="26"/>
          <w:u w:val="single"/>
        </w:rPr>
        <w:tab/>
      </w:r>
      <w:r w:rsidR="00701B81">
        <w:rPr>
          <w:sz w:val="26"/>
          <w:szCs w:val="26"/>
          <w:u w:val="single"/>
        </w:rPr>
        <w:tab/>
      </w:r>
      <w:r w:rsidR="00701B81">
        <w:rPr>
          <w:sz w:val="26"/>
          <w:szCs w:val="26"/>
          <w:u w:val="single"/>
        </w:rPr>
        <w:tab/>
      </w:r>
      <w:r w:rsidR="00701B81">
        <w:rPr>
          <w:sz w:val="26"/>
          <w:szCs w:val="26"/>
          <w:u w:val="single"/>
        </w:rPr>
        <w:tab/>
      </w:r>
      <w:r w:rsidR="00701B81">
        <w:rPr>
          <w:sz w:val="26"/>
          <w:szCs w:val="26"/>
          <w:u w:val="single"/>
        </w:rPr>
        <w:tab/>
      </w:r>
    </w:p>
    <w:p w:rsidR="00515C65" w:rsidRDefault="00115179" w:rsidP="00641961">
      <w:pPr>
        <w:pStyle w:val="ListParagraph"/>
        <w:spacing w:line="240" w:lineRule="auto"/>
        <w:ind w:left="0"/>
        <w:jc w:val="both"/>
        <w:rPr>
          <w:rStyle w:val="Style1"/>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E619F9">
        <w:rPr>
          <w:rStyle w:val="Style1"/>
        </w:rPr>
        <w:t>James W. Rappaport</w:t>
      </w:r>
    </w:p>
    <w:p w:rsidR="006A015E" w:rsidRDefault="00BE6F0F" w:rsidP="00641961">
      <w:pPr>
        <w:pStyle w:val="ListParagraph"/>
        <w:spacing w:line="240" w:lineRule="auto"/>
        <w:ind w:left="0"/>
        <w:jc w:val="both"/>
        <w:rPr>
          <w:i/>
          <w:sz w:val="26"/>
          <w:szCs w:val="26"/>
        </w:rPr>
      </w:pPr>
      <w:r>
        <w:rPr>
          <w:rStyle w:val="Style1"/>
        </w:rPr>
        <w:tab/>
      </w:r>
      <w:r>
        <w:rPr>
          <w:rStyle w:val="Style1"/>
        </w:rPr>
        <w:tab/>
      </w:r>
      <w:r>
        <w:rPr>
          <w:rStyle w:val="Style1"/>
        </w:rPr>
        <w:tab/>
      </w:r>
      <w:r>
        <w:rPr>
          <w:rStyle w:val="Style1"/>
        </w:rPr>
        <w:tab/>
      </w:r>
      <w:r>
        <w:rPr>
          <w:rStyle w:val="Style1"/>
        </w:rPr>
        <w:tab/>
      </w:r>
      <w:r w:rsidR="00115179">
        <w:rPr>
          <w:sz w:val="26"/>
          <w:szCs w:val="26"/>
        </w:rPr>
        <w:tab/>
      </w:r>
      <w:r w:rsidR="00A924BD" w:rsidRPr="00A924BD">
        <w:rPr>
          <w:i/>
          <w:sz w:val="26"/>
          <w:szCs w:val="26"/>
        </w:rPr>
        <w:t>Rules Committee Chair</w:t>
      </w:r>
    </w:p>
    <w:p w:rsidR="00A924BD" w:rsidRDefault="00A924BD" w:rsidP="00641961">
      <w:pPr>
        <w:pStyle w:val="ListParagraph"/>
        <w:spacing w:line="240" w:lineRule="auto"/>
        <w:ind w:left="0"/>
        <w:jc w:val="both"/>
        <w:rPr>
          <w:i/>
          <w:sz w:val="26"/>
          <w:szCs w:val="26"/>
        </w:rPr>
      </w:pPr>
    </w:p>
    <w:p w:rsidR="00A924BD" w:rsidRDefault="00A924BD" w:rsidP="00641961">
      <w:pPr>
        <w:pStyle w:val="ListParagraph"/>
        <w:spacing w:line="240" w:lineRule="auto"/>
        <w:ind w:left="0"/>
        <w:jc w:val="both"/>
        <w:rPr>
          <w:i/>
          <w:sz w:val="26"/>
          <w:szCs w:val="26"/>
        </w:rPr>
      </w:pPr>
    </w:p>
    <w:p w:rsidR="00A924BD" w:rsidRDefault="00A924BD" w:rsidP="00641961">
      <w:pPr>
        <w:pStyle w:val="ListParagraph"/>
        <w:spacing w:line="240" w:lineRule="auto"/>
        <w:ind w:left="0"/>
        <w:jc w:val="both"/>
        <w:rPr>
          <w:i/>
          <w:sz w:val="26"/>
          <w:szCs w:val="26"/>
        </w:rPr>
      </w:pPr>
    </w:p>
    <w:p w:rsidR="00A924BD" w:rsidRDefault="00A924BD" w:rsidP="00641961">
      <w:pPr>
        <w:pStyle w:val="ListParagraph"/>
        <w:spacing w:line="240" w:lineRule="auto"/>
        <w:ind w:left="3960"/>
        <w:jc w:val="both"/>
        <w:rPr>
          <w:sz w:val="26"/>
          <w:szCs w:val="26"/>
        </w:rPr>
      </w:pPr>
      <w:r>
        <w:rPr>
          <w:sz w:val="26"/>
          <w:szCs w:val="26"/>
        </w:rPr>
        <w:t>By</w:t>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rsidR="00A924BD" w:rsidRDefault="00A924BD" w:rsidP="00641961">
      <w:pPr>
        <w:pStyle w:val="ListParagraph"/>
        <w:spacing w:line="240" w:lineRule="auto"/>
        <w:ind w:left="0"/>
        <w:jc w:val="both"/>
        <w:rPr>
          <w:rStyle w:val="Style1"/>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rStyle w:val="Style1"/>
        </w:rPr>
        <w:t>Michael Aaron</w:t>
      </w:r>
    </w:p>
    <w:p w:rsidR="00A924BD" w:rsidRPr="00A924BD" w:rsidRDefault="00A924BD" w:rsidP="00641961">
      <w:pPr>
        <w:pStyle w:val="ListParagraph"/>
        <w:spacing w:line="240" w:lineRule="auto"/>
        <w:ind w:left="0"/>
        <w:jc w:val="both"/>
        <w:rPr>
          <w:i/>
          <w:sz w:val="26"/>
          <w:szCs w:val="26"/>
        </w:rPr>
      </w:pPr>
      <w:r>
        <w:rPr>
          <w:rStyle w:val="Style1"/>
        </w:rPr>
        <w:tab/>
      </w:r>
      <w:r>
        <w:rPr>
          <w:rStyle w:val="Style1"/>
        </w:rPr>
        <w:tab/>
      </w:r>
      <w:r>
        <w:rPr>
          <w:rStyle w:val="Style1"/>
        </w:rPr>
        <w:tab/>
      </w:r>
      <w:r>
        <w:rPr>
          <w:rStyle w:val="Style1"/>
        </w:rPr>
        <w:tab/>
      </w:r>
      <w:r>
        <w:rPr>
          <w:rStyle w:val="Style1"/>
        </w:rPr>
        <w:tab/>
      </w:r>
      <w:r>
        <w:rPr>
          <w:sz w:val="26"/>
          <w:szCs w:val="26"/>
        </w:rPr>
        <w:tab/>
      </w:r>
      <w:r>
        <w:rPr>
          <w:i/>
          <w:sz w:val="26"/>
          <w:szCs w:val="26"/>
        </w:rPr>
        <w:t>President</w:t>
      </w:r>
    </w:p>
    <w:p w:rsidR="005C4E11" w:rsidRPr="00C9234D" w:rsidRDefault="005C4E11" w:rsidP="00675290">
      <w:pPr>
        <w:pStyle w:val="ListParagraph"/>
        <w:spacing w:line="236" w:lineRule="exact"/>
        <w:ind w:left="0"/>
        <w:jc w:val="both"/>
        <w:rPr>
          <w:sz w:val="26"/>
          <w:szCs w:val="26"/>
        </w:rPr>
      </w:pPr>
    </w:p>
    <w:sectPr w:rsidR="005C4E11" w:rsidRPr="00C9234D" w:rsidSect="004C2142">
      <w:headerReference w:type="default" r:id="rId8"/>
      <w:type w:val="continuous"/>
      <w:pgSz w:w="12240" w:h="15840" w:code="1"/>
      <w:pgMar w:top="1915" w:right="720" w:bottom="1440" w:left="216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72A" w:rsidRDefault="0009472A">
      <w:r>
        <w:separator/>
      </w:r>
    </w:p>
  </w:endnote>
  <w:endnote w:type="continuationSeparator" w:id="0">
    <w:p w:rsidR="0009472A" w:rsidRDefault="00094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72A" w:rsidRDefault="0009472A">
      <w:pPr>
        <w:rPr>
          <w:noProof/>
        </w:rPr>
      </w:pPr>
      <w:r>
        <w:rPr>
          <w:noProof/>
        </w:rPr>
        <w:separator/>
      </w:r>
    </w:p>
  </w:footnote>
  <w:footnote w:type="continuationSeparator" w:id="0">
    <w:p w:rsidR="0009472A" w:rsidRDefault="00094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142" w:rsidRPr="004C2142" w:rsidRDefault="00EC177C" w:rsidP="004C2142">
    <w:pPr>
      <w:pStyle w:val="Header"/>
      <w:tabs>
        <w:tab w:val="clear" w:pos="4320"/>
      </w:tabs>
      <w:spacing w:line="240" w:lineRule="auto"/>
      <w:rPr>
        <w:i/>
      </w:rPr>
    </w:pPr>
    <w:r>
      <w:rPr>
        <w:noProof/>
      </w:rPr>
      <mc:AlternateContent>
        <mc:Choice Requires="wps">
          <w:drawing>
            <wp:anchor distT="0" distB="0" distL="114300" distR="114300" simplePos="0" relativeHeight="251666944" behindDoc="0" locked="0" layoutInCell="1" allowOverlap="1" wp14:anchorId="62DD2619" wp14:editId="590B692B">
              <wp:simplePos x="0" y="0"/>
              <wp:positionH relativeFrom="column">
                <wp:posOffset>-1163320</wp:posOffset>
              </wp:positionH>
              <wp:positionV relativeFrom="paragraph">
                <wp:posOffset>3593796</wp:posOffset>
              </wp:positionV>
              <wp:extent cx="971550" cy="2048786"/>
              <wp:effectExtent l="0" t="0" r="0" b="889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048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77C" w:rsidRPr="00FD2A80" w:rsidRDefault="00EC177C" w:rsidP="00EC177C">
                          <w:pPr>
                            <w:spacing w:line="240" w:lineRule="auto"/>
                            <w:jc w:val="center"/>
                            <w:rPr>
                              <w:rFonts w:ascii="Garamond" w:hAnsi="Garamond"/>
                              <w:smallCaps/>
                              <w:sz w:val="26"/>
                              <w:szCs w:val="26"/>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DD2619" id="_x0000_t202" coordsize="21600,21600" o:spt="202" path="m,l,21600r21600,l21600,xe">
              <v:stroke joinstyle="miter"/>
              <v:path gradientshapeok="t" o:connecttype="rect"/>
            </v:shapetype>
            <v:shape id="Text Box 7" o:spid="_x0000_s1026" type="#_x0000_t202" style="position:absolute;margin-left:-91.6pt;margin-top:283pt;width:76.5pt;height:161.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tkvtAIAAL0FAAAOAAAAZHJzL2Uyb0RvYy54bWysVNtu2zAMfR+wfxD07voyJb6gTtHG8TCg&#10;uwDtPkCx5ViYLXmSEqcY9u+j5CRNWgwYtvlBsETqkIc84vXNvu/QjinNpchxeBVgxEQlay42Of76&#10;WHoJRtpQUdNOCpbjJ6bxzeLtm+txyFgkW9nVTCEAETobhxy3xgyZ7+uqZT3VV3JgAoyNVD01sFUb&#10;v1Z0BPS+86MgmPujVPWgZMW0htNiMuKFw28aVpnPTaOZQV2OITfjVuXWtV39xTXNNooOLa8OadC/&#10;yKKnXEDQE1RBDUVbxV9B9bxSUsvGXFWy92XT8Io5DsAmDF6weWjpwBwXKI4eTmXS/w+2+rT7ohCv&#10;oXcRRoL20KNHtjfoTu5RbMszDjoDr4cB/MwejsHVUdXDvay+aSTksqViw26VkmPLaA3phfamf3Z1&#10;wtEWZD1+lDWEoVsjHdC+Ub2tHVQDATq06enUGptKBYdpHM5mYKnAFAUkiZO5C0Gz4+1BafOeyR7Z&#10;nxwraL1Dp7t7bWw2NDu62GBClrzrXPs7cXEAjtMJxIar1mazcN38kQbpKlklxCPRfOWRoCi823JJ&#10;vHkZxrPiXbFcFuFPGzckWcvrmgkb5qiskPxZ5w4anzRx0paWHa8tnE1Jq8162Sm0o6Ds0n2Hgpy5&#10;+ZdpuCIAlxeUwogEd1HqlfMk9khJZl4aB4kXhOldOg9ISoryktI9F+zfKaER2jqLZpOYfsstcN9r&#10;bjTruYHZ0fE+x8nJiWZWgitRu9Yayrvp/6wUNv3nUkC7j412grUandRq9us9oFgVr2X9BNJVEpQF&#10;KoSBBz92jWLYjjA/cqy/b6liGHUfBLyANCQETMZtyCyOYKPOLetzCxVVK2EsGYym36WZhtR2UHzT&#10;QrDpzQl5C6+m4U7Qz4kd3hrMCMfrMM/sEDrfO6/nqbv4BQAA//8DAFBLAwQUAAYACAAAACEAh/B3&#10;BeIAAAAMAQAADwAAAGRycy9kb3ducmV2LnhtbEyPTU+DQBCG7yb+h82YeKO7LZEQZGmMxiZeTIt6&#10;8LawIxD3A9ltof/e8WSPM/Pknectt4s17IRTGLyTsF4JYOharwfXSXh/e05yYCEqp5XxDiWcMcC2&#10;ur4qVaH97A54qmPHKMSFQknoYxwLzkPbo1Vh5Ud0dPvyk1WRxqnjelIzhVvDN0Jk3KrB0YdejfjY&#10;Y/tdH62Ej+b1bA5j+imG+WW/7H729dOuk/L2Znm4BxZxif8w/OmTOlTk1Pij04EZCck6TzfESrjL&#10;MmpFSJIK2jQS8jzPgFclvyxR/QIAAP//AwBQSwECLQAUAAYACAAAACEAtoM4kv4AAADhAQAAEwAA&#10;AAAAAAAAAAAAAAAAAAAAW0NvbnRlbnRfVHlwZXNdLnhtbFBLAQItABQABgAIAAAAIQA4/SH/1gAA&#10;AJQBAAALAAAAAAAAAAAAAAAAAC8BAABfcmVscy8ucmVsc1BLAQItABQABgAIAAAAIQD71tkvtAIA&#10;AL0FAAAOAAAAAAAAAAAAAAAAAC4CAABkcnMvZTJvRG9jLnhtbFBLAQItABQABgAIAAAAIQCH8HcF&#10;4gAAAAwBAAAPAAAAAAAAAAAAAAAAAA4FAABkcnMvZG93bnJldi54bWxQSwUGAAAAAAQABADzAAAA&#10;HQYAAAAA&#10;" filled="f" stroked="f">
              <v:textbox style="layout-flow:vertical;mso-layout-flow-alt:bottom-to-top">
                <w:txbxContent>
                  <w:p w:rsidR="00EC177C" w:rsidRPr="00FD2A80" w:rsidRDefault="00EC177C" w:rsidP="00EC177C">
                    <w:pPr>
                      <w:spacing w:line="240" w:lineRule="auto"/>
                      <w:jc w:val="center"/>
                      <w:rPr>
                        <w:rFonts w:ascii="Garamond" w:hAnsi="Garamond"/>
                        <w:smallCaps/>
                        <w:sz w:val="26"/>
                        <w:szCs w:val="26"/>
                      </w:rPr>
                    </w:pPr>
                  </w:p>
                </w:txbxContent>
              </v:textbox>
            </v:shape>
          </w:pict>
        </mc:Fallback>
      </mc:AlternateContent>
    </w:r>
    <w:r w:rsidR="004C2142">
      <w:rPr>
        <w:noProof/>
      </w:rPr>
      <mc:AlternateContent>
        <mc:Choice Requires="wps">
          <w:drawing>
            <wp:anchor distT="0" distB="0" distL="114300" distR="114300" simplePos="0" relativeHeight="251664896" behindDoc="0" locked="0" layoutInCell="1" allowOverlap="1" wp14:anchorId="53E45E15" wp14:editId="7AFA34D3">
              <wp:simplePos x="0" y="0"/>
              <wp:positionH relativeFrom="margin">
                <wp:posOffset>-640080</wp:posOffset>
              </wp:positionH>
              <wp:positionV relativeFrom="margin">
                <wp:posOffset>0</wp:posOffset>
              </wp:positionV>
              <wp:extent cx="457200" cy="7927975"/>
              <wp:effectExtent l="0" t="0" r="1905"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792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2142" w:rsidRPr="00374AC1" w:rsidRDefault="004C2142" w:rsidP="00F85E94">
                          <w:pPr>
                            <w:jc w:val="right"/>
                            <w:rPr>
                              <w:sz w:val="24"/>
                              <w:szCs w:val="24"/>
                            </w:rPr>
                          </w:pPr>
                          <w:r w:rsidRPr="00374AC1">
                            <w:rPr>
                              <w:sz w:val="24"/>
                              <w:szCs w:val="24"/>
                            </w:rPr>
                            <w:t>1</w:t>
                          </w:r>
                        </w:p>
                        <w:p w:rsidR="004C2142" w:rsidRPr="00374AC1" w:rsidRDefault="004C2142" w:rsidP="00F85E94">
                          <w:pPr>
                            <w:jc w:val="right"/>
                            <w:rPr>
                              <w:sz w:val="24"/>
                              <w:szCs w:val="24"/>
                            </w:rPr>
                          </w:pPr>
                          <w:r w:rsidRPr="00374AC1">
                            <w:rPr>
                              <w:sz w:val="24"/>
                              <w:szCs w:val="24"/>
                            </w:rPr>
                            <w:t>2</w:t>
                          </w:r>
                        </w:p>
                        <w:p w:rsidR="004C2142" w:rsidRPr="00374AC1" w:rsidRDefault="004C2142" w:rsidP="00F85E94">
                          <w:pPr>
                            <w:jc w:val="right"/>
                            <w:rPr>
                              <w:sz w:val="24"/>
                              <w:szCs w:val="24"/>
                            </w:rPr>
                          </w:pPr>
                          <w:r w:rsidRPr="00374AC1">
                            <w:rPr>
                              <w:sz w:val="24"/>
                              <w:szCs w:val="24"/>
                            </w:rPr>
                            <w:t>3</w:t>
                          </w:r>
                        </w:p>
                        <w:p w:rsidR="004C2142" w:rsidRPr="00374AC1" w:rsidRDefault="004C2142" w:rsidP="00F85E94">
                          <w:pPr>
                            <w:jc w:val="right"/>
                            <w:rPr>
                              <w:sz w:val="24"/>
                              <w:szCs w:val="24"/>
                            </w:rPr>
                          </w:pPr>
                          <w:r w:rsidRPr="00374AC1">
                            <w:rPr>
                              <w:sz w:val="24"/>
                              <w:szCs w:val="24"/>
                            </w:rPr>
                            <w:t>4</w:t>
                          </w:r>
                        </w:p>
                        <w:p w:rsidR="004C2142" w:rsidRPr="00374AC1" w:rsidRDefault="004C2142" w:rsidP="00F85E94">
                          <w:pPr>
                            <w:jc w:val="right"/>
                            <w:rPr>
                              <w:sz w:val="24"/>
                              <w:szCs w:val="24"/>
                            </w:rPr>
                          </w:pPr>
                          <w:r w:rsidRPr="00374AC1">
                            <w:rPr>
                              <w:sz w:val="24"/>
                              <w:szCs w:val="24"/>
                            </w:rPr>
                            <w:t>5</w:t>
                          </w:r>
                        </w:p>
                        <w:p w:rsidR="004C2142" w:rsidRPr="00374AC1" w:rsidRDefault="004C2142" w:rsidP="00F85E94">
                          <w:pPr>
                            <w:jc w:val="right"/>
                            <w:rPr>
                              <w:sz w:val="24"/>
                              <w:szCs w:val="24"/>
                            </w:rPr>
                          </w:pPr>
                          <w:r w:rsidRPr="00374AC1">
                            <w:rPr>
                              <w:sz w:val="24"/>
                              <w:szCs w:val="24"/>
                            </w:rPr>
                            <w:t>6</w:t>
                          </w:r>
                        </w:p>
                        <w:p w:rsidR="004C2142" w:rsidRPr="00374AC1" w:rsidRDefault="004C2142" w:rsidP="00F85E94">
                          <w:pPr>
                            <w:jc w:val="right"/>
                            <w:rPr>
                              <w:sz w:val="24"/>
                              <w:szCs w:val="24"/>
                            </w:rPr>
                          </w:pPr>
                          <w:r w:rsidRPr="00374AC1">
                            <w:rPr>
                              <w:sz w:val="24"/>
                              <w:szCs w:val="24"/>
                            </w:rPr>
                            <w:t>7</w:t>
                          </w:r>
                        </w:p>
                        <w:p w:rsidR="004C2142" w:rsidRDefault="004C2142" w:rsidP="00F85E94">
                          <w:pPr>
                            <w:jc w:val="right"/>
                            <w:rPr>
                              <w:sz w:val="24"/>
                              <w:szCs w:val="24"/>
                            </w:rPr>
                          </w:pPr>
                          <w:r w:rsidRPr="00374AC1">
                            <w:rPr>
                              <w:sz w:val="24"/>
                              <w:szCs w:val="24"/>
                            </w:rPr>
                            <w:t>8</w:t>
                          </w:r>
                        </w:p>
                        <w:p w:rsidR="000D3341" w:rsidRPr="00374AC1" w:rsidRDefault="000D3341" w:rsidP="00F85E94">
                          <w:pPr>
                            <w:jc w:val="right"/>
                            <w:rPr>
                              <w:sz w:val="24"/>
                              <w:szCs w:val="24"/>
                            </w:rPr>
                          </w:pPr>
                          <w:r>
                            <w:rPr>
                              <w:sz w:val="24"/>
                              <w:szCs w:val="24"/>
                            </w:rPr>
                            <w:t>9</w:t>
                          </w:r>
                        </w:p>
                        <w:p w:rsidR="004C2142" w:rsidRPr="00374AC1" w:rsidRDefault="004C2142" w:rsidP="00F85E94">
                          <w:pPr>
                            <w:jc w:val="right"/>
                            <w:rPr>
                              <w:sz w:val="24"/>
                              <w:szCs w:val="24"/>
                            </w:rPr>
                          </w:pPr>
                          <w:r w:rsidRPr="00374AC1">
                            <w:rPr>
                              <w:sz w:val="24"/>
                              <w:szCs w:val="24"/>
                            </w:rPr>
                            <w:t>10</w:t>
                          </w:r>
                        </w:p>
                        <w:p w:rsidR="004C2142" w:rsidRPr="00374AC1" w:rsidRDefault="004C2142" w:rsidP="00F85E94">
                          <w:pPr>
                            <w:jc w:val="right"/>
                            <w:rPr>
                              <w:sz w:val="24"/>
                              <w:szCs w:val="24"/>
                            </w:rPr>
                          </w:pPr>
                          <w:r w:rsidRPr="00374AC1">
                            <w:rPr>
                              <w:sz w:val="24"/>
                              <w:szCs w:val="24"/>
                            </w:rPr>
                            <w:t>11</w:t>
                          </w:r>
                        </w:p>
                        <w:p w:rsidR="004C2142" w:rsidRPr="00374AC1" w:rsidRDefault="004C2142" w:rsidP="00F85E94">
                          <w:pPr>
                            <w:jc w:val="right"/>
                            <w:rPr>
                              <w:sz w:val="24"/>
                              <w:szCs w:val="24"/>
                            </w:rPr>
                          </w:pPr>
                          <w:r w:rsidRPr="00374AC1">
                            <w:rPr>
                              <w:sz w:val="24"/>
                              <w:szCs w:val="24"/>
                            </w:rPr>
                            <w:t>12</w:t>
                          </w:r>
                        </w:p>
                        <w:p w:rsidR="004C2142" w:rsidRPr="00374AC1" w:rsidRDefault="004C2142" w:rsidP="00F85E94">
                          <w:pPr>
                            <w:jc w:val="right"/>
                            <w:rPr>
                              <w:sz w:val="24"/>
                              <w:szCs w:val="24"/>
                            </w:rPr>
                          </w:pPr>
                          <w:r w:rsidRPr="00374AC1">
                            <w:rPr>
                              <w:sz w:val="24"/>
                              <w:szCs w:val="24"/>
                            </w:rPr>
                            <w:t>13</w:t>
                          </w:r>
                        </w:p>
                        <w:p w:rsidR="004C2142" w:rsidRPr="00374AC1" w:rsidRDefault="004C2142" w:rsidP="00F85E94">
                          <w:pPr>
                            <w:jc w:val="right"/>
                            <w:rPr>
                              <w:sz w:val="24"/>
                              <w:szCs w:val="24"/>
                            </w:rPr>
                          </w:pPr>
                          <w:r w:rsidRPr="00374AC1">
                            <w:rPr>
                              <w:sz w:val="24"/>
                              <w:szCs w:val="24"/>
                            </w:rPr>
                            <w:t>14</w:t>
                          </w:r>
                        </w:p>
                        <w:p w:rsidR="004C2142" w:rsidRPr="00374AC1" w:rsidRDefault="004C2142" w:rsidP="00F85E94">
                          <w:pPr>
                            <w:jc w:val="right"/>
                            <w:rPr>
                              <w:sz w:val="24"/>
                              <w:szCs w:val="24"/>
                            </w:rPr>
                          </w:pPr>
                          <w:r w:rsidRPr="00374AC1">
                            <w:rPr>
                              <w:sz w:val="24"/>
                              <w:szCs w:val="24"/>
                            </w:rPr>
                            <w:t>15</w:t>
                          </w:r>
                        </w:p>
                        <w:p w:rsidR="004C2142" w:rsidRPr="00374AC1" w:rsidRDefault="004C2142" w:rsidP="00F85E94">
                          <w:pPr>
                            <w:jc w:val="right"/>
                            <w:rPr>
                              <w:sz w:val="24"/>
                              <w:szCs w:val="24"/>
                            </w:rPr>
                          </w:pPr>
                          <w:r w:rsidRPr="00374AC1">
                            <w:rPr>
                              <w:sz w:val="24"/>
                              <w:szCs w:val="24"/>
                            </w:rPr>
                            <w:t>16</w:t>
                          </w:r>
                        </w:p>
                        <w:p w:rsidR="004C2142" w:rsidRPr="00374AC1" w:rsidRDefault="004C2142" w:rsidP="00F85E94">
                          <w:pPr>
                            <w:jc w:val="right"/>
                            <w:rPr>
                              <w:sz w:val="24"/>
                              <w:szCs w:val="24"/>
                            </w:rPr>
                          </w:pPr>
                          <w:r w:rsidRPr="00374AC1">
                            <w:rPr>
                              <w:sz w:val="24"/>
                              <w:szCs w:val="24"/>
                            </w:rPr>
                            <w:t>17</w:t>
                          </w:r>
                        </w:p>
                        <w:p w:rsidR="004C2142" w:rsidRPr="00374AC1" w:rsidRDefault="004C2142" w:rsidP="00F85E94">
                          <w:pPr>
                            <w:jc w:val="right"/>
                            <w:rPr>
                              <w:sz w:val="24"/>
                              <w:szCs w:val="24"/>
                            </w:rPr>
                          </w:pPr>
                          <w:r w:rsidRPr="00374AC1">
                            <w:rPr>
                              <w:sz w:val="24"/>
                              <w:szCs w:val="24"/>
                            </w:rPr>
                            <w:t>18</w:t>
                          </w:r>
                        </w:p>
                        <w:p w:rsidR="004C2142" w:rsidRPr="00374AC1" w:rsidRDefault="004C2142" w:rsidP="00F85E94">
                          <w:pPr>
                            <w:jc w:val="right"/>
                            <w:rPr>
                              <w:sz w:val="24"/>
                              <w:szCs w:val="24"/>
                            </w:rPr>
                          </w:pPr>
                          <w:r w:rsidRPr="00374AC1">
                            <w:rPr>
                              <w:sz w:val="24"/>
                              <w:szCs w:val="24"/>
                            </w:rPr>
                            <w:t>19</w:t>
                          </w:r>
                        </w:p>
                        <w:p w:rsidR="004C2142" w:rsidRPr="00374AC1" w:rsidRDefault="004C2142" w:rsidP="00F85E94">
                          <w:pPr>
                            <w:jc w:val="right"/>
                            <w:rPr>
                              <w:sz w:val="24"/>
                              <w:szCs w:val="24"/>
                            </w:rPr>
                          </w:pPr>
                          <w:r w:rsidRPr="00374AC1">
                            <w:rPr>
                              <w:sz w:val="24"/>
                              <w:szCs w:val="24"/>
                            </w:rPr>
                            <w:t>20</w:t>
                          </w:r>
                        </w:p>
                        <w:p w:rsidR="004C2142" w:rsidRPr="00374AC1" w:rsidRDefault="004C2142" w:rsidP="00F85E94">
                          <w:pPr>
                            <w:jc w:val="right"/>
                            <w:rPr>
                              <w:sz w:val="24"/>
                              <w:szCs w:val="24"/>
                            </w:rPr>
                          </w:pPr>
                          <w:r w:rsidRPr="00374AC1">
                            <w:rPr>
                              <w:sz w:val="24"/>
                              <w:szCs w:val="24"/>
                            </w:rPr>
                            <w:t>21</w:t>
                          </w:r>
                        </w:p>
                        <w:p w:rsidR="004C2142" w:rsidRPr="00374AC1" w:rsidRDefault="004C2142" w:rsidP="00F85E94">
                          <w:pPr>
                            <w:jc w:val="right"/>
                            <w:rPr>
                              <w:sz w:val="24"/>
                              <w:szCs w:val="24"/>
                            </w:rPr>
                          </w:pPr>
                          <w:r w:rsidRPr="00374AC1">
                            <w:rPr>
                              <w:sz w:val="24"/>
                              <w:szCs w:val="24"/>
                            </w:rPr>
                            <w:t>22</w:t>
                          </w:r>
                        </w:p>
                        <w:p w:rsidR="004C2142" w:rsidRPr="00374AC1" w:rsidRDefault="004C2142" w:rsidP="00F85E94">
                          <w:pPr>
                            <w:jc w:val="right"/>
                            <w:rPr>
                              <w:sz w:val="24"/>
                              <w:szCs w:val="24"/>
                            </w:rPr>
                          </w:pPr>
                          <w:r w:rsidRPr="00374AC1">
                            <w:rPr>
                              <w:sz w:val="24"/>
                              <w:szCs w:val="24"/>
                            </w:rPr>
                            <w:t>23</w:t>
                          </w:r>
                        </w:p>
                        <w:p w:rsidR="004C2142" w:rsidRPr="00374AC1" w:rsidRDefault="004C2142" w:rsidP="00F85E94">
                          <w:pPr>
                            <w:jc w:val="right"/>
                            <w:rPr>
                              <w:sz w:val="24"/>
                              <w:szCs w:val="24"/>
                            </w:rPr>
                          </w:pPr>
                          <w:r w:rsidRPr="00374AC1">
                            <w:rPr>
                              <w:sz w:val="24"/>
                              <w:szCs w:val="24"/>
                            </w:rPr>
                            <w:t>24</w:t>
                          </w:r>
                        </w:p>
                        <w:p w:rsidR="004C2142" w:rsidRPr="00374AC1" w:rsidRDefault="004C2142" w:rsidP="00F85E94">
                          <w:pPr>
                            <w:jc w:val="right"/>
                            <w:rPr>
                              <w:sz w:val="24"/>
                              <w:szCs w:val="24"/>
                            </w:rPr>
                          </w:pPr>
                          <w:r w:rsidRPr="00374AC1">
                            <w:rPr>
                              <w:sz w:val="24"/>
                              <w:szCs w:val="24"/>
                            </w:rPr>
                            <w:t>25</w:t>
                          </w:r>
                        </w:p>
                        <w:p w:rsidR="004C2142" w:rsidRPr="00374AC1" w:rsidRDefault="004C2142" w:rsidP="00F85E94">
                          <w:pPr>
                            <w:jc w:val="right"/>
                            <w:rPr>
                              <w:sz w:val="24"/>
                              <w:szCs w:val="24"/>
                            </w:rPr>
                          </w:pPr>
                          <w:r w:rsidRPr="00374AC1">
                            <w:rPr>
                              <w:sz w:val="24"/>
                              <w:szCs w:val="24"/>
                            </w:rPr>
                            <w:t>26</w:t>
                          </w:r>
                        </w:p>
                        <w:p w:rsidR="004C2142" w:rsidRDefault="004C2142" w:rsidP="00F85E94">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53E45E15" id="LineNumbers" o:spid="_x0000_s1027" type="#_x0000_t202" style="position:absolute;margin-left:-50.4pt;margin-top:0;width:36pt;height:624.2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VQLdgIAAPsEAAAOAAAAZHJzL2Uyb0RvYy54bWysVNtu1DAQfUfiHyy/b5Osss0maraiLYuQ&#10;SkEqfIBjOxsLX4Lt3aQg/p2xs9m2XCSEyIMztsfHM3PO+OJyVBIduHXC6BpnZylGXFPDhN7V+NPH&#10;7WKNkfNEMyKN5jV+4A5fbl6+uBj6ii9NZyTjFgGIdtXQ17jzvq+SxNGOK+LOTM81bLbGKuJhancJ&#10;s2QAdCWTZZqeJ4OxrLeGcudg9WbaxJuI37ac+vdt67hHssYQm4+jjWMTxmRzQaqdJX0n6DEM8g9R&#10;KCI0XHqCuiGeoL0Vv0ApQa1xpvVn1KjEtK2gPOYA2WTpT9ncd6TnMRcojutPZXL/D5beHT5YJFiN&#10;C4w0UUDRrdD8bq8aIDWUZ+hdBV73Pfj58cqMQHNM1fW3hn52SJvrjugdf2WtGTpOGISXhZPJk6MT&#10;jgsgzfDOMLiH7L2JQGNrVagdVAMBOtD0cKKGjx5RWMxXBdCNEYWtolwWZbGKV5BqPt1b599wo1Aw&#10;amyB+ohODrfOh2hINbuEy5yRgm2FlHFid821tOhAQCbb+B3Rn7lJHZy1CccmxGkFgoQ7wl4IN9L+&#10;rcyWeXq1LBfb83WxyLf5alEW6XqRZuVVeZ7mZX6z/R4CzPKqE4xxHeo+SzDL/47iYzNM4okiREON&#10;y9VyNVH0xyTT+P0uSSU8dKQUqsbrkxOpArGvNYO0SeWJkJOdPA8/VhlqMP9jVaIMAvOTBvzYjFFw&#10;USNBIo1hD6ALa4A2oBheEzA6Y79iNEBn1th92RPLMZJvNWgrtPFs2NloZoNoCkdr7DGazGsf231i&#10;7hVorhVRDo83H5UKHRbjPr4GoYWfzqPX45u1+QEAAP//AwBQSwMEFAAGAAgAAAAhACwoUSneAAAA&#10;CgEAAA8AAABkcnMvZG93bnJldi54bWxMj8FOwzAQRO9I/IO1SFxQajeCKgpxKmjhBoeWqudtbJKI&#10;eB3FTpP+PcuJHkczmnlTrGfXibMdQutJw3KhQFiqvGmp1nD4ek8yECEiGew8WQ0XG2Bd3t4UmBs/&#10;0c6e97EWXEIhRw1NjH0uZaga6zAsfG+JvW8/OIwsh1qaAScud51MlVpJhy3xQoO93TS2+tmPTsNq&#10;O4zTjjYP28PbB372dXp8vRy1vr+bX55BRDvH/zD84TM6lMx08iOZIDoNyVIpZo8a+BL7SZqxPHEw&#10;fcyeQJaFvL5Q/gIAAP//AwBQSwECLQAUAAYACAAAACEAtoM4kv4AAADhAQAAEwAAAAAAAAAAAAAA&#10;AAAAAAAAW0NvbnRlbnRfVHlwZXNdLnhtbFBLAQItABQABgAIAAAAIQA4/SH/1gAAAJQBAAALAAAA&#10;AAAAAAAAAAAAAC8BAABfcmVscy8ucmVsc1BLAQItABQABgAIAAAAIQBoyVQLdgIAAPsEAAAOAAAA&#10;AAAAAAAAAAAAAC4CAABkcnMvZTJvRG9jLnhtbFBLAQItABQABgAIAAAAIQAsKFEp3gAAAAoBAAAP&#10;AAAAAAAAAAAAAAAAANAEAABkcnMvZG93bnJldi54bWxQSwUGAAAAAAQABADzAAAA2wUAAAAA&#10;" stroked="f">
              <v:textbox inset="0,0,0,0">
                <w:txbxContent>
                  <w:p w:rsidR="004C2142" w:rsidRPr="00374AC1" w:rsidRDefault="004C2142" w:rsidP="00F85E94">
                    <w:pPr>
                      <w:jc w:val="right"/>
                      <w:rPr>
                        <w:sz w:val="24"/>
                        <w:szCs w:val="24"/>
                      </w:rPr>
                    </w:pPr>
                    <w:r w:rsidRPr="00374AC1">
                      <w:rPr>
                        <w:sz w:val="24"/>
                        <w:szCs w:val="24"/>
                      </w:rPr>
                      <w:t>1</w:t>
                    </w:r>
                  </w:p>
                  <w:p w:rsidR="004C2142" w:rsidRPr="00374AC1" w:rsidRDefault="004C2142" w:rsidP="00F85E94">
                    <w:pPr>
                      <w:jc w:val="right"/>
                      <w:rPr>
                        <w:sz w:val="24"/>
                        <w:szCs w:val="24"/>
                      </w:rPr>
                    </w:pPr>
                    <w:r w:rsidRPr="00374AC1">
                      <w:rPr>
                        <w:sz w:val="24"/>
                        <w:szCs w:val="24"/>
                      </w:rPr>
                      <w:t>2</w:t>
                    </w:r>
                  </w:p>
                  <w:p w:rsidR="004C2142" w:rsidRPr="00374AC1" w:rsidRDefault="004C2142" w:rsidP="00F85E94">
                    <w:pPr>
                      <w:jc w:val="right"/>
                      <w:rPr>
                        <w:sz w:val="24"/>
                        <w:szCs w:val="24"/>
                      </w:rPr>
                    </w:pPr>
                    <w:r w:rsidRPr="00374AC1">
                      <w:rPr>
                        <w:sz w:val="24"/>
                        <w:szCs w:val="24"/>
                      </w:rPr>
                      <w:t>3</w:t>
                    </w:r>
                  </w:p>
                  <w:p w:rsidR="004C2142" w:rsidRPr="00374AC1" w:rsidRDefault="004C2142" w:rsidP="00F85E94">
                    <w:pPr>
                      <w:jc w:val="right"/>
                      <w:rPr>
                        <w:sz w:val="24"/>
                        <w:szCs w:val="24"/>
                      </w:rPr>
                    </w:pPr>
                    <w:r w:rsidRPr="00374AC1">
                      <w:rPr>
                        <w:sz w:val="24"/>
                        <w:szCs w:val="24"/>
                      </w:rPr>
                      <w:t>4</w:t>
                    </w:r>
                  </w:p>
                  <w:p w:rsidR="004C2142" w:rsidRPr="00374AC1" w:rsidRDefault="004C2142" w:rsidP="00F85E94">
                    <w:pPr>
                      <w:jc w:val="right"/>
                      <w:rPr>
                        <w:sz w:val="24"/>
                        <w:szCs w:val="24"/>
                      </w:rPr>
                    </w:pPr>
                    <w:r w:rsidRPr="00374AC1">
                      <w:rPr>
                        <w:sz w:val="24"/>
                        <w:szCs w:val="24"/>
                      </w:rPr>
                      <w:t>5</w:t>
                    </w:r>
                  </w:p>
                  <w:p w:rsidR="004C2142" w:rsidRPr="00374AC1" w:rsidRDefault="004C2142" w:rsidP="00F85E94">
                    <w:pPr>
                      <w:jc w:val="right"/>
                      <w:rPr>
                        <w:sz w:val="24"/>
                        <w:szCs w:val="24"/>
                      </w:rPr>
                    </w:pPr>
                    <w:r w:rsidRPr="00374AC1">
                      <w:rPr>
                        <w:sz w:val="24"/>
                        <w:szCs w:val="24"/>
                      </w:rPr>
                      <w:t>6</w:t>
                    </w:r>
                  </w:p>
                  <w:p w:rsidR="004C2142" w:rsidRPr="00374AC1" w:rsidRDefault="004C2142" w:rsidP="00F85E94">
                    <w:pPr>
                      <w:jc w:val="right"/>
                      <w:rPr>
                        <w:sz w:val="24"/>
                        <w:szCs w:val="24"/>
                      </w:rPr>
                    </w:pPr>
                    <w:r w:rsidRPr="00374AC1">
                      <w:rPr>
                        <w:sz w:val="24"/>
                        <w:szCs w:val="24"/>
                      </w:rPr>
                      <w:t>7</w:t>
                    </w:r>
                  </w:p>
                  <w:p w:rsidR="004C2142" w:rsidRDefault="004C2142" w:rsidP="00F85E94">
                    <w:pPr>
                      <w:jc w:val="right"/>
                      <w:rPr>
                        <w:sz w:val="24"/>
                        <w:szCs w:val="24"/>
                      </w:rPr>
                    </w:pPr>
                    <w:r w:rsidRPr="00374AC1">
                      <w:rPr>
                        <w:sz w:val="24"/>
                        <w:szCs w:val="24"/>
                      </w:rPr>
                      <w:t>8</w:t>
                    </w:r>
                  </w:p>
                  <w:p w:rsidR="000D3341" w:rsidRPr="00374AC1" w:rsidRDefault="000D3341" w:rsidP="00F85E94">
                    <w:pPr>
                      <w:jc w:val="right"/>
                      <w:rPr>
                        <w:sz w:val="24"/>
                        <w:szCs w:val="24"/>
                      </w:rPr>
                    </w:pPr>
                    <w:r>
                      <w:rPr>
                        <w:sz w:val="24"/>
                        <w:szCs w:val="24"/>
                      </w:rPr>
                      <w:t>9</w:t>
                    </w:r>
                  </w:p>
                  <w:p w:rsidR="004C2142" w:rsidRPr="00374AC1" w:rsidRDefault="004C2142" w:rsidP="00F85E94">
                    <w:pPr>
                      <w:jc w:val="right"/>
                      <w:rPr>
                        <w:sz w:val="24"/>
                        <w:szCs w:val="24"/>
                      </w:rPr>
                    </w:pPr>
                    <w:r w:rsidRPr="00374AC1">
                      <w:rPr>
                        <w:sz w:val="24"/>
                        <w:szCs w:val="24"/>
                      </w:rPr>
                      <w:t>10</w:t>
                    </w:r>
                  </w:p>
                  <w:p w:rsidR="004C2142" w:rsidRPr="00374AC1" w:rsidRDefault="004C2142" w:rsidP="00F85E94">
                    <w:pPr>
                      <w:jc w:val="right"/>
                      <w:rPr>
                        <w:sz w:val="24"/>
                        <w:szCs w:val="24"/>
                      </w:rPr>
                    </w:pPr>
                    <w:r w:rsidRPr="00374AC1">
                      <w:rPr>
                        <w:sz w:val="24"/>
                        <w:szCs w:val="24"/>
                      </w:rPr>
                      <w:t>11</w:t>
                    </w:r>
                  </w:p>
                  <w:p w:rsidR="004C2142" w:rsidRPr="00374AC1" w:rsidRDefault="004C2142" w:rsidP="00F85E94">
                    <w:pPr>
                      <w:jc w:val="right"/>
                      <w:rPr>
                        <w:sz w:val="24"/>
                        <w:szCs w:val="24"/>
                      </w:rPr>
                    </w:pPr>
                    <w:r w:rsidRPr="00374AC1">
                      <w:rPr>
                        <w:sz w:val="24"/>
                        <w:szCs w:val="24"/>
                      </w:rPr>
                      <w:t>12</w:t>
                    </w:r>
                  </w:p>
                  <w:p w:rsidR="004C2142" w:rsidRPr="00374AC1" w:rsidRDefault="004C2142" w:rsidP="00F85E94">
                    <w:pPr>
                      <w:jc w:val="right"/>
                      <w:rPr>
                        <w:sz w:val="24"/>
                        <w:szCs w:val="24"/>
                      </w:rPr>
                    </w:pPr>
                    <w:r w:rsidRPr="00374AC1">
                      <w:rPr>
                        <w:sz w:val="24"/>
                        <w:szCs w:val="24"/>
                      </w:rPr>
                      <w:t>13</w:t>
                    </w:r>
                  </w:p>
                  <w:p w:rsidR="004C2142" w:rsidRPr="00374AC1" w:rsidRDefault="004C2142" w:rsidP="00F85E94">
                    <w:pPr>
                      <w:jc w:val="right"/>
                      <w:rPr>
                        <w:sz w:val="24"/>
                        <w:szCs w:val="24"/>
                      </w:rPr>
                    </w:pPr>
                    <w:r w:rsidRPr="00374AC1">
                      <w:rPr>
                        <w:sz w:val="24"/>
                        <w:szCs w:val="24"/>
                      </w:rPr>
                      <w:t>14</w:t>
                    </w:r>
                  </w:p>
                  <w:p w:rsidR="004C2142" w:rsidRPr="00374AC1" w:rsidRDefault="004C2142" w:rsidP="00F85E94">
                    <w:pPr>
                      <w:jc w:val="right"/>
                      <w:rPr>
                        <w:sz w:val="24"/>
                        <w:szCs w:val="24"/>
                      </w:rPr>
                    </w:pPr>
                    <w:r w:rsidRPr="00374AC1">
                      <w:rPr>
                        <w:sz w:val="24"/>
                        <w:szCs w:val="24"/>
                      </w:rPr>
                      <w:t>15</w:t>
                    </w:r>
                  </w:p>
                  <w:p w:rsidR="004C2142" w:rsidRPr="00374AC1" w:rsidRDefault="004C2142" w:rsidP="00F85E94">
                    <w:pPr>
                      <w:jc w:val="right"/>
                      <w:rPr>
                        <w:sz w:val="24"/>
                        <w:szCs w:val="24"/>
                      </w:rPr>
                    </w:pPr>
                    <w:r w:rsidRPr="00374AC1">
                      <w:rPr>
                        <w:sz w:val="24"/>
                        <w:szCs w:val="24"/>
                      </w:rPr>
                      <w:t>16</w:t>
                    </w:r>
                  </w:p>
                  <w:p w:rsidR="004C2142" w:rsidRPr="00374AC1" w:rsidRDefault="004C2142" w:rsidP="00F85E94">
                    <w:pPr>
                      <w:jc w:val="right"/>
                      <w:rPr>
                        <w:sz w:val="24"/>
                        <w:szCs w:val="24"/>
                      </w:rPr>
                    </w:pPr>
                    <w:r w:rsidRPr="00374AC1">
                      <w:rPr>
                        <w:sz w:val="24"/>
                        <w:szCs w:val="24"/>
                      </w:rPr>
                      <w:t>17</w:t>
                    </w:r>
                  </w:p>
                  <w:p w:rsidR="004C2142" w:rsidRPr="00374AC1" w:rsidRDefault="004C2142" w:rsidP="00F85E94">
                    <w:pPr>
                      <w:jc w:val="right"/>
                      <w:rPr>
                        <w:sz w:val="24"/>
                        <w:szCs w:val="24"/>
                      </w:rPr>
                    </w:pPr>
                    <w:r w:rsidRPr="00374AC1">
                      <w:rPr>
                        <w:sz w:val="24"/>
                        <w:szCs w:val="24"/>
                      </w:rPr>
                      <w:t>18</w:t>
                    </w:r>
                  </w:p>
                  <w:p w:rsidR="004C2142" w:rsidRPr="00374AC1" w:rsidRDefault="004C2142" w:rsidP="00F85E94">
                    <w:pPr>
                      <w:jc w:val="right"/>
                      <w:rPr>
                        <w:sz w:val="24"/>
                        <w:szCs w:val="24"/>
                      </w:rPr>
                    </w:pPr>
                    <w:r w:rsidRPr="00374AC1">
                      <w:rPr>
                        <w:sz w:val="24"/>
                        <w:szCs w:val="24"/>
                      </w:rPr>
                      <w:t>19</w:t>
                    </w:r>
                  </w:p>
                  <w:p w:rsidR="004C2142" w:rsidRPr="00374AC1" w:rsidRDefault="004C2142" w:rsidP="00F85E94">
                    <w:pPr>
                      <w:jc w:val="right"/>
                      <w:rPr>
                        <w:sz w:val="24"/>
                        <w:szCs w:val="24"/>
                      </w:rPr>
                    </w:pPr>
                    <w:r w:rsidRPr="00374AC1">
                      <w:rPr>
                        <w:sz w:val="24"/>
                        <w:szCs w:val="24"/>
                      </w:rPr>
                      <w:t>20</w:t>
                    </w:r>
                  </w:p>
                  <w:p w:rsidR="004C2142" w:rsidRPr="00374AC1" w:rsidRDefault="004C2142" w:rsidP="00F85E94">
                    <w:pPr>
                      <w:jc w:val="right"/>
                      <w:rPr>
                        <w:sz w:val="24"/>
                        <w:szCs w:val="24"/>
                      </w:rPr>
                    </w:pPr>
                    <w:r w:rsidRPr="00374AC1">
                      <w:rPr>
                        <w:sz w:val="24"/>
                        <w:szCs w:val="24"/>
                      </w:rPr>
                      <w:t>21</w:t>
                    </w:r>
                  </w:p>
                  <w:p w:rsidR="004C2142" w:rsidRPr="00374AC1" w:rsidRDefault="004C2142" w:rsidP="00F85E94">
                    <w:pPr>
                      <w:jc w:val="right"/>
                      <w:rPr>
                        <w:sz w:val="24"/>
                        <w:szCs w:val="24"/>
                      </w:rPr>
                    </w:pPr>
                    <w:r w:rsidRPr="00374AC1">
                      <w:rPr>
                        <w:sz w:val="24"/>
                        <w:szCs w:val="24"/>
                      </w:rPr>
                      <w:t>22</w:t>
                    </w:r>
                  </w:p>
                  <w:p w:rsidR="004C2142" w:rsidRPr="00374AC1" w:rsidRDefault="004C2142" w:rsidP="00F85E94">
                    <w:pPr>
                      <w:jc w:val="right"/>
                      <w:rPr>
                        <w:sz w:val="24"/>
                        <w:szCs w:val="24"/>
                      </w:rPr>
                    </w:pPr>
                    <w:r w:rsidRPr="00374AC1">
                      <w:rPr>
                        <w:sz w:val="24"/>
                        <w:szCs w:val="24"/>
                      </w:rPr>
                      <w:t>23</w:t>
                    </w:r>
                  </w:p>
                  <w:p w:rsidR="004C2142" w:rsidRPr="00374AC1" w:rsidRDefault="004C2142" w:rsidP="00F85E94">
                    <w:pPr>
                      <w:jc w:val="right"/>
                      <w:rPr>
                        <w:sz w:val="24"/>
                        <w:szCs w:val="24"/>
                      </w:rPr>
                    </w:pPr>
                    <w:r w:rsidRPr="00374AC1">
                      <w:rPr>
                        <w:sz w:val="24"/>
                        <w:szCs w:val="24"/>
                      </w:rPr>
                      <w:t>24</w:t>
                    </w:r>
                  </w:p>
                  <w:p w:rsidR="004C2142" w:rsidRPr="00374AC1" w:rsidRDefault="004C2142" w:rsidP="00F85E94">
                    <w:pPr>
                      <w:jc w:val="right"/>
                      <w:rPr>
                        <w:sz w:val="24"/>
                        <w:szCs w:val="24"/>
                      </w:rPr>
                    </w:pPr>
                    <w:r w:rsidRPr="00374AC1">
                      <w:rPr>
                        <w:sz w:val="24"/>
                        <w:szCs w:val="24"/>
                      </w:rPr>
                      <w:t>25</w:t>
                    </w:r>
                  </w:p>
                  <w:p w:rsidR="004C2142" w:rsidRPr="00374AC1" w:rsidRDefault="004C2142" w:rsidP="00F85E94">
                    <w:pPr>
                      <w:jc w:val="right"/>
                      <w:rPr>
                        <w:sz w:val="24"/>
                        <w:szCs w:val="24"/>
                      </w:rPr>
                    </w:pPr>
                    <w:r w:rsidRPr="00374AC1">
                      <w:rPr>
                        <w:sz w:val="24"/>
                        <w:szCs w:val="24"/>
                      </w:rPr>
                      <w:t>26</w:t>
                    </w:r>
                  </w:p>
                  <w:p w:rsidR="004C2142" w:rsidRDefault="004C2142" w:rsidP="00F85E94">
                    <w:pPr>
                      <w:jc w:val="right"/>
                    </w:pPr>
                  </w:p>
                </w:txbxContent>
              </v:textbox>
              <w10:wrap anchorx="margin" anchory="margin"/>
            </v:shape>
          </w:pict>
        </mc:Fallback>
      </mc:AlternateContent>
    </w:r>
    <w:r w:rsidR="004C2142">
      <w:rPr>
        <w:noProof/>
      </w:rPr>
      <mc:AlternateContent>
        <mc:Choice Requires="wps">
          <w:drawing>
            <wp:anchor distT="0" distB="0" distL="114300" distR="114300" simplePos="0" relativeHeight="251663872" behindDoc="0" locked="0" layoutInCell="1" allowOverlap="1" wp14:anchorId="6BC983C0" wp14:editId="2CD05BC1">
              <wp:simplePos x="0" y="0"/>
              <wp:positionH relativeFrom="margin">
                <wp:posOffset>5943600</wp:posOffset>
              </wp:positionH>
              <wp:positionV relativeFrom="page">
                <wp:posOffset>0</wp:posOffset>
              </wp:positionV>
              <wp:extent cx="0" cy="10058400"/>
              <wp:effectExtent l="9525" t="9525" r="9525" b="9525"/>
              <wp:wrapNone/>
              <wp:docPr id="8"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96867" id="RightBorder" o:spid="_x0000_s1026" style="position:absolute;z-index:25166387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zYr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QajFOnA&#10;oi+iaf17kJVbjFrBGA/OBqV64wpIWKudDbXSk3oyj5p+c0jpdUtUwyPj57MBmJiR3KWEhTNw377/&#10;qBnEkIPXUbZTbbsACYKgU3TnfHOHnzyiwyaF3SxNp/M8jdYlpLhmGuv8B647FCYllkIF5UhBjo/O&#10;A3cIvYaEbaW3QsrovlSoL/FiOpnGBKelYOEwhDnb7NfSoiMJ/RO/IASA3YVZfVAsgrWcsM1l7omQ&#10;wxzipQp4UAvQucyGBvm+SBeb+Waej/LJbDPK06oavduu89Fsm72dVm+q9brKfgRqWV4MdgR212bN&#10;8r9rhsuzGdrs1q43GZJ79FgikL3+I+loZvBv6IS9ZuedDWoEX6E/Y/DlLYUH8Os6Rv188asX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kr82Kx4CAAA5BAAADgAAAAAAAAAAAAAAAAAuAgAAZHJzL2Uyb0RvYy54bWxQSwEC&#10;LQAUAAYACAAAACEAdm5VWt0AAAAJAQAADwAAAAAAAAAAAAAAAAB4BAAAZHJzL2Rvd25yZXYueG1s&#10;UEsFBgAAAAAEAAQA8wAAAIIFAAAAAA==&#10;">
              <w10:wrap anchorx="margin" anchory="page"/>
            </v:line>
          </w:pict>
        </mc:Fallback>
      </mc:AlternateContent>
    </w:r>
    <w:r w:rsidR="004C2142">
      <w:rPr>
        <w:noProof/>
      </w:rPr>
      <mc:AlternateContent>
        <mc:Choice Requires="wps">
          <w:drawing>
            <wp:anchor distT="0" distB="0" distL="114300" distR="114300" simplePos="0" relativeHeight="251662848" behindDoc="0" locked="0" layoutInCell="1" allowOverlap="1" wp14:anchorId="505CD075" wp14:editId="13B5EE13">
              <wp:simplePos x="0" y="0"/>
              <wp:positionH relativeFrom="margin">
                <wp:posOffset>-91440</wp:posOffset>
              </wp:positionH>
              <wp:positionV relativeFrom="page">
                <wp:posOffset>0</wp:posOffset>
              </wp:positionV>
              <wp:extent cx="0" cy="10058400"/>
              <wp:effectExtent l="13335" t="9525" r="5715" b="9525"/>
              <wp:wrapNone/>
              <wp:docPr id="9"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76E0D" id="LeftBorder2" o:spid="_x0000_s1026" style="position:absolute;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biFwIAAC4EAAAOAAAAZHJzL2Uyb0RvYy54bWysU8GO2jAQvVfqP1i+QxIaKESEVZtAL7RF&#10;2u0HGNshVh3bsg0BVf33jh1AbHupqubgjMczz2/ejJdP506iE7dOaFXibJxixBXVTKhDib+9bEZz&#10;jJwnihGpFS/xhTv8tHr7Ztmbgk90qyXjFgGIckVvStx6b4okcbTlHXFjbbiCw0bbjnjY2kPCLOkB&#10;vZPJJE1nSa8tM1ZT7hx46+EQryJ+03DqvzaN4x7JEgM3H1cb131Yk9WSFAdLTCvolQb5BxYdEQou&#10;vUPVxBN0tOIPqE5Qq51u/JjqLtFNIyiPNUA1WfpbNc8tMTzWAuI4c5fJ/T9Y+uW0s0iwEi8wUqSD&#10;Fm154z+CqtxOgjy9cQVEVWpnQ4H0rJ7NVtPvDildtUQdeKT5cjGQm4WM5FVK2DgDl+z7z5pBDDl6&#10;HbU6N7YLkKACOseWXO4t4WeP6OCk4M3SdDrP09ivhBS3TGOd/8R1h4JRYilUkIsU5LR1PjAhxS0k&#10;uJXeCCljy6VCPdQ8nUxjgtNSsHAYwpw97Ctp0YmEoYlfLAtOHsOsPioWwVpO2PpqeyLkYMPlUgU8&#10;qAXoXK1hKn4s0sV6vp7no3wyW4/ytK5HHzZVPpptsvfT+l1dVXX2M1DL8qIVjHEV2N0mNMv/bgKu&#10;b2WYrfuM3mVIXqNHvYDs7R9Jx2aG/g2TsNfssrO3JsNQxuDrAwpT/7gH+/GZr34BAAD//wMAUEsD&#10;BBQABgAIAAAAIQCswk8k3AAAAAkBAAAPAAAAZHJzL2Rvd25yZXYueG1sTI/BTsMwEETvSPyDtUhc&#10;qtZpCVUV4lQIyI0LBdTrNl6SiHidxm4b+HoW9QDH0Yxm3uTr0XXqSENoPRuYzxJQxJW3LdcG3l7L&#10;6QpUiMgWO89k4IsCrIvLixwz60/8QsdNrJWUcMjQQBNjn2kdqoYchpnvicX78IPDKHKotR3wJOWu&#10;04skWWqHLctCgz09NFR9bg7OQCjfaV9+T6pJsr2pPS32j89PaMz11Xh/ByrSGP/C8Isv6FAI084f&#10;2AbVGZjO01SiBuSR2Ge5k9ztKk1AF7n+/6D4AQAA//8DAFBLAQItABQABgAIAAAAIQC2gziS/gAA&#10;AOEBAAATAAAAAAAAAAAAAAAAAAAAAABbQ29udGVudF9UeXBlc10ueG1sUEsBAi0AFAAGAAgAAAAh&#10;ADj9If/WAAAAlAEAAAsAAAAAAAAAAAAAAAAALwEAAF9yZWxzLy5yZWxzUEsBAi0AFAAGAAgAAAAh&#10;ANWxluIXAgAALgQAAA4AAAAAAAAAAAAAAAAALgIAAGRycy9lMm9Eb2MueG1sUEsBAi0AFAAGAAgA&#10;AAAhAKzCTyTcAAAACQEAAA8AAAAAAAAAAAAAAAAAcQQAAGRycy9kb3ducmV2LnhtbFBLBQYAAAAA&#10;BAAEAPMAAAB6BQAAAAA=&#10;">
              <w10:wrap anchorx="margin" anchory="page"/>
            </v:line>
          </w:pict>
        </mc:Fallback>
      </mc:AlternateContent>
    </w:r>
    <w:r w:rsidR="004C2142">
      <w:rPr>
        <w:noProof/>
      </w:rPr>
      <mc:AlternateContent>
        <mc:Choice Requires="wps">
          <w:drawing>
            <wp:anchor distT="0" distB="0" distL="114300" distR="114300" simplePos="0" relativeHeight="251661824" behindDoc="0" locked="0" layoutInCell="1" allowOverlap="1" wp14:anchorId="457B1303" wp14:editId="1D953834">
              <wp:simplePos x="0" y="0"/>
              <wp:positionH relativeFrom="margin">
                <wp:posOffset>-45720</wp:posOffset>
              </wp:positionH>
              <wp:positionV relativeFrom="page">
                <wp:posOffset>0</wp:posOffset>
              </wp:positionV>
              <wp:extent cx="0" cy="10058400"/>
              <wp:effectExtent l="11430" t="9525" r="7620" b="9525"/>
              <wp:wrapNone/>
              <wp:docPr id="10"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F83FD" id="LeftBorder1" o:spid="_x0000_s1026" style="position:absolute;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eAYGAIAAC8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7kUaSD&#10;Hm1549+DrNxmQZ/euALCKrWzoUJ6Vs9mq+lXh5SuWqIOPPJ8uRjIjRnJQ0pYOAO37PuPmkEMOXod&#10;xTo3tguQIAM6x55c7j3hZ4/osElhN0vT6TxPY8MSUtwyjXX+A9cdCpMSS6GCXqQgp63zwB1CbyFh&#10;W+mNkDL2XCrUl3gxnUxjgtNSsHAYwpw97Ctp0YkE18QvCAFgD2FWHxWLYC0nbH2deyLkMId4qQIe&#10;1AJ0rrPBFt8W6WI9X8/zUT6ZrUd5Wtejd5sqH8022dtp/aauqjr7HqhledEKxrgK7G4WzfK/s8D1&#10;sQzmupv0LkPyiB5LBLK3fyQdmxn6Nzhhr9llZ4Maoa/gyhh8fUHB9r+uY9TPd776AQ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QHgGBgCAAAvBAAADgAAAAAAAAAAAAAAAAAuAgAAZHJzL2Uyb0RvYy54bWxQSwECLQAUAAYACAAA&#10;ACEAzQ/mHtoAAAAHAQAADwAAAAAAAAAAAAAAAAByBAAAZHJzL2Rvd25yZXYueG1sUEsFBgAAAAAE&#10;AAQA8wAAAHkFAAAAAA==&#10;">
              <w10:wrap anchorx="margin" anchory="page"/>
            </v:line>
          </w:pict>
        </mc:Fallback>
      </mc:AlternateContent>
    </w:r>
    <w:r w:rsidR="004C2142">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C12E7"/>
    <w:multiLevelType w:val="hybridMultilevel"/>
    <w:tmpl w:val="B60ED5B8"/>
    <w:lvl w:ilvl="0" w:tplc="D86091AC">
      <w:start w:val="3"/>
      <w:numFmt w:val="upp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12BFF"/>
    <w:multiLevelType w:val="hybridMultilevel"/>
    <w:tmpl w:val="C0843F44"/>
    <w:lvl w:ilvl="0" w:tplc="C946158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AD7B5D"/>
    <w:multiLevelType w:val="hybridMultilevel"/>
    <w:tmpl w:val="D0BEB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BD75BB"/>
    <w:multiLevelType w:val="hybridMultilevel"/>
    <w:tmpl w:val="68309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C4B85"/>
    <w:multiLevelType w:val="hybridMultilevel"/>
    <w:tmpl w:val="7C649C6C"/>
    <w:lvl w:ilvl="0" w:tplc="43441C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E1014"/>
    <w:multiLevelType w:val="hybridMultilevel"/>
    <w:tmpl w:val="7F9AD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B6001"/>
    <w:multiLevelType w:val="hybridMultilevel"/>
    <w:tmpl w:val="029A24FA"/>
    <w:lvl w:ilvl="0" w:tplc="D12C3F0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1C4E33"/>
    <w:multiLevelType w:val="hybridMultilevel"/>
    <w:tmpl w:val="5A7CD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A6B75"/>
    <w:multiLevelType w:val="hybridMultilevel"/>
    <w:tmpl w:val="A5285F2C"/>
    <w:lvl w:ilvl="0" w:tplc="4D3C6FF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4FA40BD"/>
    <w:multiLevelType w:val="hybridMultilevel"/>
    <w:tmpl w:val="76D8BC9C"/>
    <w:lvl w:ilvl="0" w:tplc="E60884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9B5A0E"/>
    <w:multiLevelType w:val="hybridMultilevel"/>
    <w:tmpl w:val="1AA8E350"/>
    <w:lvl w:ilvl="0" w:tplc="D5A009B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5B7710"/>
    <w:multiLevelType w:val="hybridMultilevel"/>
    <w:tmpl w:val="F32A3D8E"/>
    <w:lvl w:ilvl="0" w:tplc="9A52C0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1A75BD"/>
    <w:multiLevelType w:val="hybridMultilevel"/>
    <w:tmpl w:val="49022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CB371C"/>
    <w:multiLevelType w:val="hybridMultilevel"/>
    <w:tmpl w:val="A62A1C82"/>
    <w:lvl w:ilvl="0" w:tplc="A0F66E3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992939"/>
    <w:multiLevelType w:val="hybridMultilevel"/>
    <w:tmpl w:val="A36018F6"/>
    <w:lvl w:ilvl="0" w:tplc="9EF23B0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B59132E"/>
    <w:multiLevelType w:val="hybridMultilevel"/>
    <w:tmpl w:val="9F18F30C"/>
    <w:lvl w:ilvl="0" w:tplc="C84EEF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E9656D"/>
    <w:multiLevelType w:val="hybridMultilevel"/>
    <w:tmpl w:val="AAE0E112"/>
    <w:lvl w:ilvl="0" w:tplc="BA8C2A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29383E"/>
    <w:multiLevelType w:val="hybridMultilevel"/>
    <w:tmpl w:val="88A4A2D0"/>
    <w:lvl w:ilvl="0" w:tplc="D7D490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3751A5"/>
    <w:multiLevelType w:val="hybridMultilevel"/>
    <w:tmpl w:val="D20A67C6"/>
    <w:lvl w:ilvl="0" w:tplc="CE3C731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486461"/>
    <w:multiLevelType w:val="hybridMultilevel"/>
    <w:tmpl w:val="C200FC44"/>
    <w:lvl w:ilvl="0" w:tplc="2BD4B1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A47698"/>
    <w:multiLevelType w:val="hybridMultilevel"/>
    <w:tmpl w:val="DD06BFA0"/>
    <w:lvl w:ilvl="0" w:tplc="F57060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C139F7"/>
    <w:multiLevelType w:val="hybridMultilevel"/>
    <w:tmpl w:val="27381AEC"/>
    <w:lvl w:ilvl="0" w:tplc="7E84EB0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AC4BE2"/>
    <w:multiLevelType w:val="hybridMultilevel"/>
    <w:tmpl w:val="AD54DAD0"/>
    <w:lvl w:ilvl="0" w:tplc="36CE023A">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7D515815"/>
    <w:multiLevelType w:val="hybridMultilevel"/>
    <w:tmpl w:val="AD0ADDE4"/>
    <w:lvl w:ilvl="0" w:tplc="16CCDD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8"/>
  </w:num>
  <w:num w:numId="3">
    <w:abstractNumId w:val="14"/>
  </w:num>
  <w:num w:numId="4">
    <w:abstractNumId w:val="3"/>
  </w:num>
  <w:num w:numId="5">
    <w:abstractNumId w:val="2"/>
  </w:num>
  <w:num w:numId="6">
    <w:abstractNumId w:val="7"/>
  </w:num>
  <w:num w:numId="7">
    <w:abstractNumId w:val="12"/>
  </w:num>
  <w:num w:numId="8">
    <w:abstractNumId w:val="23"/>
  </w:num>
  <w:num w:numId="9">
    <w:abstractNumId w:val="19"/>
  </w:num>
  <w:num w:numId="10">
    <w:abstractNumId w:val="17"/>
  </w:num>
  <w:num w:numId="11">
    <w:abstractNumId w:val="20"/>
  </w:num>
  <w:num w:numId="12">
    <w:abstractNumId w:val="13"/>
  </w:num>
  <w:num w:numId="13">
    <w:abstractNumId w:val="6"/>
  </w:num>
  <w:num w:numId="14">
    <w:abstractNumId w:val="4"/>
  </w:num>
  <w:num w:numId="15">
    <w:abstractNumId w:val="18"/>
  </w:num>
  <w:num w:numId="16">
    <w:abstractNumId w:val="15"/>
  </w:num>
  <w:num w:numId="17">
    <w:abstractNumId w:val="5"/>
  </w:num>
  <w:num w:numId="18">
    <w:abstractNumId w:val="16"/>
  </w:num>
  <w:num w:numId="19">
    <w:abstractNumId w:val="21"/>
  </w:num>
  <w:num w:numId="20">
    <w:abstractNumId w:val="10"/>
  </w:num>
  <w:num w:numId="21">
    <w:abstractNumId w:val="11"/>
  </w:num>
  <w:num w:numId="22">
    <w:abstractNumId w:val="9"/>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90"/>
  <w:drawingGridVerticalSpacing w:val="187"/>
  <w:displayHorizontalDrawingGridEvery w:val="2"/>
  <w:noPunctuationKerning/>
  <w:characterSpacingControl w:val="doNotCompress"/>
  <w:hdrShapeDefaults>
    <o:shapedefaults v:ext="edit" spidmax="157697"/>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ttorneyName" w:val="-1"/>
    <w:docVar w:name="CaptionBoxStyle" w:val="2"/>
    <w:docVar w:name="CourtAlignment" w:val="1"/>
    <w:docVar w:name="CourtName" w:val="IN THE SUPERIOR COURT OF THE STATE OF ARIZONA_x000d__x000a_IN AND FOR THE COUNTY OF PIMA"/>
    <w:docVar w:name="FirmInFtr" w:val="0"/>
    <w:docVar w:name="FirmInSigBlkStyle" w:val="0"/>
    <w:docVar w:name="FirstLineNum" w:val="1"/>
    <w:docVar w:name="FirstPleadingLine" w:val="1"/>
    <w:docVar w:name="Font" w:val="Times New Roman"/>
    <w:docVar w:name="FSigBlkYes" w:val="0"/>
    <w:docVar w:name="FSignWith" w:val=" "/>
    <w:docVar w:name="FSummaryInFtr" w:val="0"/>
    <w:docVar w:name="IncludeDate" w:val="-1"/>
    <w:docVar w:name="IncludeLineNumbers" w:val="-1"/>
    <w:docVar w:name="JudgeName" w:val="0"/>
    <w:docVar w:name="LeftBorderStyle" w:val="2"/>
    <w:docVar w:name="LineNumIncByOne" w:val="-1"/>
    <w:docVar w:name="LineSpacing" w:val="2"/>
    <w:docVar w:name="LinesPerPage" w:val="26"/>
    <w:docVar w:name="PageNumsInFtr" w:val="-1"/>
    <w:docVar w:name="RightBorderStyle" w:val="0"/>
  </w:docVars>
  <w:rsids>
    <w:rsidRoot w:val="00345389"/>
    <w:rsid w:val="00007489"/>
    <w:rsid w:val="00011786"/>
    <w:rsid w:val="000170CA"/>
    <w:rsid w:val="000179EF"/>
    <w:rsid w:val="00021026"/>
    <w:rsid w:val="00022A34"/>
    <w:rsid w:val="00022F79"/>
    <w:rsid w:val="00023735"/>
    <w:rsid w:val="000243AE"/>
    <w:rsid w:val="000335F7"/>
    <w:rsid w:val="000366AE"/>
    <w:rsid w:val="00046BB7"/>
    <w:rsid w:val="000574D4"/>
    <w:rsid w:val="000614DC"/>
    <w:rsid w:val="00066DAD"/>
    <w:rsid w:val="000735D9"/>
    <w:rsid w:val="0007383A"/>
    <w:rsid w:val="00076EDA"/>
    <w:rsid w:val="000918BE"/>
    <w:rsid w:val="0009472A"/>
    <w:rsid w:val="00094ABB"/>
    <w:rsid w:val="000A0399"/>
    <w:rsid w:val="000A4BAD"/>
    <w:rsid w:val="000A78E5"/>
    <w:rsid w:val="000A7F2A"/>
    <w:rsid w:val="000C79EB"/>
    <w:rsid w:val="000D1C77"/>
    <w:rsid w:val="000D3341"/>
    <w:rsid w:val="000D7507"/>
    <w:rsid w:val="000E441F"/>
    <w:rsid w:val="000E5CBD"/>
    <w:rsid w:val="000F7E23"/>
    <w:rsid w:val="0010238C"/>
    <w:rsid w:val="00103ABF"/>
    <w:rsid w:val="00106455"/>
    <w:rsid w:val="001113D9"/>
    <w:rsid w:val="001120B0"/>
    <w:rsid w:val="00115179"/>
    <w:rsid w:val="00115C05"/>
    <w:rsid w:val="00125D8C"/>
    <w:rsid w:val="00130991"/>
    <w:rsid w:val="00134969"/>
    <w:rsid w:val="0013704F"/>
    <w:rsid w:val="00141156"/>
    <w:rsid w:val="001435EF"/>
    <w:rsid w:val="001463FB"/>
    <w:rsid w:val="00157A81"/>
    <w:rsid w:val="00163B32"/>
    <w:rsid w:val="00176584"/>
    <w:rsid w:val="00183ECA"/>
    <w:rsid w:val="00193261"/>
    <w:rsid w:val="00195FC9"/>
    <w:rsid w:val="001A0505"/>
    <w:rsid w:val="001A3A85"/>
    <w:rsid w:val="001A40CB"/>
    <w:rsid w:val="001A5EFA"/>
    <w:rsid w:val="001A62E1"/>
    <w:rsid w:val="001B1980"/>
    <w:rsid w:val="001B2263"/>
    <w:rsid w:val="001B2FC5"/>
    <w:rsid w:val="001B5516"/>
    <w:rsid w:val="001B6EDF"/>
    <w:rsid w:val="001C1CF4"/>
    <w:rsid w:val="001C20FD"/>
    <w:rsid w:val="001C5321"/>
    <w:rsid w:val="001C5A4C"/>
    <w:rsid w:val="001C77DB"/>
    <w:rsid w:val="001C7C0D"/>
    <w:rsid w:val="001D1B1C"/>
    <w:rsid w:val="001E1528"/>
    <w:rsid w:val="001E27BA"/>
    <w:rsid w:val="001E5475"/>
    <w:rsid w:val="001F2146"/>
    <w:rsid w:val="001F3EF0"/>
    <w:rsid w:val="00215770"/>
    <w:rsid w:val="00216A64"/>
    <w:rsid w:val="00222A5D"/>
    <w:rsid w:val="00230F0F"/>
    <w:rsid w:val="00234EB0"/>
    <w:rsid w:val="002364F6"/>
    <w:rsid w:val="00236899"/>
    <w:rsid w:val="00242845"/>
    <w:rsid w:val="00245BBD"/>
    <w:rsid w:val="00247B4D"/>
    <w:rsid w:val="002504D2"/>
    <w:rsid w:val="002505C0"/>
    <w:rsid w:val="00255FD1"/>
    <w:rsid w:val="002602FE"/>
    <w:rsid w:val="00260A23"/>
    <w:rsid w:val="00272BD5"/>
    <w:rsid w:val="00280B9F"/>
    <w:rsid w:val="002829DB"/>
    <w:rsid w:val="00290DD5"/>
    <w:rsid w:val="002953CA"/>
    <w:rsid w:val="002A1F55"/>
    <w:rsid w:val="002B3716"/>
    <w:rsid w:val="002B6337"/>
    <w:rsid w:val="002C5194"/>
    <w:rsid w:val="002D1EFA"/>
    <w:rsid w:val="002E3F99"/>
    <w:rsid w:val="002F7123"/>
    <w:rsid w:val="0031571F"/>
    <w:rsid w:val="00321173"/>
    <w:rsid w:val="00322B10"/>
    <w:rsid w:val="00322FB4"/>
    <w:rsid w:val="00332552"/>
    <w:rsid w:val="00333217"/>
    <w:rsid w:val="00345389"/>
    <w:rsid w:val="003504D2"/>
    <w:rsid w:val="003519D6"/>
    <w:rsid w:val="00362971"/>
    <w:rsid w:val="00365FBA"/>
    <w:rsid w:val="00374AC1"/>
    <w:rsid w:val="00381546"/>
    <w:rsid w:val="00387C5D"/>
    <w:rsid w:val="00390353"/>
    <w:rsid w:val="0039061B"/>
    <w:rsid w:val="003925D8"/>
    <w:rsid w:val="003938D0"/>
    <w:rsid w:val="003A0D74"/>
    <w:rsid w:val="003A538C"/>
    <w:rsid w:val="003B07E8"/>
    <w:rsid w:val="003B17E1"/>
    <w:rsid w:val="003B32D5"/>
    <w:rsid w:val="003C3551"/>
    <w:rsid w:val="003C4800"/>
    <w:rsid w:val="003D13AB"/>
    <w:rsid w:val="003D4288"/>
    <w:rsid w:val="003D4939"/>
    <w:rsid w:val="003E027F"/>
    <w:rsid w:val="003E25EE"/>
    <w:rsid w:val="003E73CE"/>
    <w:rsid w:val="003F0C2A"/>
    <w:rsid w:val="003F1DF7"/>
    <w:rsid w:val="00406E81"/>
    <w:rsid w:val="00412270"/>
    <w:rsid w:val="0041554B"/>
    <w:rsid w:val="00424B1D"/>
    <w:rsid w:val="00434148"/>
    <w:rsid w:val="00434A84"/>
    <w:rsid w:val="00442860"/>
    <w:rsid w:val="004453DE"/>
    <w:rsid w:val="004459A2"/>
    <w:rsid w:val="0044610D"/>
    <w:rsid w:val="00452E75"/>
    <w:rsid w:val="004574BB"/>
    <w:rsid w:val="00471FA6"/>
    <w:rsid w:val="004812D2"/>
    <w:rsid w:val="00481DA1"/>
    <w:rsid w:val="0049624E"/>
    <w:rsid w:val="004A1385"/>
    <w:rsid w:val="004A3FA4"/>
    <w:rsid w:val="004A5B83"/>
    <w:rsid w:val="004A5F07"/>
    <w:rsid w:val="004A6503"/>
    <w:rsid w:val="004B44DB"/>
    <w:rsid w:val="004C2142"/>
    <w:rsid w:val="004C332A"/>
    <w:rsid w:val="004C633C"/>
    <w:rsid w:val="004C6BC2"/>
    <w:rsid w:val="004E07B1"/>
    <w:rsid w:val="004E585A"/>
    <w:rsid w:val="004E6C80"/>
    <w:rsid w:val="004F293B"/>
    <w:rsid w:val="004F399D"/>
    <w:rsid w:val="0050086F"/>
    <w:rsid w:val="005108E1"/>
    <w:rsid w:val="005114FC"/>
    <w:rsid w:val="005137D6"/>
    <w:rsid w:val="005152EC"/>
    <w:rsid w:val="005153E5"/>
    <w:rsid w:val="00515C65"/>
    <w:rsid w:val="00524EBB"/>
    <w:rsid w:val="005263EE"/>
    <w:rsid w:val="005355A6"/>
    <w:rsid w:val="00540D1F"/>
    <w:rsid w:val="00541E1D"/>
    <w:rsid w:val="00541FD7"/>
    <w:rsid w:val="0054366D"/>
    <w:rsid w:val="00543E0B"/>
    <w:rsid w:val="00545ACB"/>
    <w:rsid w:val="005505BB"/>
    <w:rsid w:val="00554CC7"/>
    <w:rsid w:val="00563B50"/>
    <w:rsid w:val="00586581"/>
    <w:rsid w:val="00592430"/>
    <w:rsid w:val="005A4075"/>
    <w:rsid w:val="005A57F0"/>
    <w:rsid w:val="005C07DD"/>
    <w:rsid w:val="005C4E11"/>
    <w:rsid w:val="005E1399"/>
    <w:rsid w:val="005E62EE"/>
    <w:rsid w:val="005E6415"/>
    <w:rsid w:val="005F0BE8"/>
    <w:rsid w:val="00604FF3"/>
    <w:rsid w:val="00607F35"/>
    <w:rsid w:val="006123C1"/>
    <w:rsid w:val="00631C89"/>
    <w:rsid w:val="00637476"/>
    <w:rsid w:val="00641961"/>
    <w:rsid w:val="006419AB"/>
    <w:rsid w:val="00650FA0"/>
    <w:rsid w:val="00651741"/>
    <w:rsid w:val="0065428D"/>
    <w:rsid w:val="00654391"/>
    <w:rsid w:val="006575C7"/>
    <w:rsid w:val="00662B7F"/>
    <w:rsid w:val="00663CBB"/>
    <w:rsid w:val="00664E21"/>
    <w:rsid w:val="00665EC0"/>
    <w:rsid w:val="006739F3"/>
    <w:rsid w:val="00675290"/>
    <w:rsid w:val="00682966"/>
    <w:rsid w:val="006869DC"/>
    <w:rsid w:val="006A015E"/>
    <w:rsid w:val="006A55B4"/>
    <w:rsid w:val="006B077D"/>
    <w:rsid w:val="006B0F5B"/>
    <w:rsid w:val="006B3E72"/>
    <w:rsid w:val="006B5D52"/>
    <w:rsid w:val="006B6C6C"/>
    <w:rsid w:val="006C2845"/>
    <w:rsid w:val="006C5F12"/>
    <w:rsid w:val="006D299D"/>
    <w:rsid w:val="006D559F"/>
    <w:rsid w:val="006E4AAF"/>
    <w:rsid w:val="00701B81"/>
    <w:rsid w:val="0070298A"/>
    <w:rsid w:val="007066DD"/>
    <w:rsid w:val="00710477"/>
    <w:rsid w:val="00721FE4"/>
    <w:rsid w:val="00724B6E"/>
    <w:rsid w:val="00724EAE"/>
    <w:rsid w:val="007424B8"/>
    <w:rsid w:val="00742EA8"/>
    <w:rsid w:val="00743B40"/>
    <w:rsid w:val="0074507E"/>
    <w:rsid w:val="00750C65"/>
    <w:rsid w:val="00751DB7"/>
    <w:rsid w:val="007554B1"/>
    <w:rsid w:val="007730CC"/>
    <w:rsid w:val="0077745B"/>
    <w:rsid w:val="00783876"/>
    <w:rsid w:val="00783EAE"/>
    <w:rsid w:val="00786CCE"/>
    <w:rsid w:val="00787081"/>
    <w:rsid w:val="007919E3"/>
    <w:rsid w:val="007A18E2"/>
    <w:rsid w:val="007A54A8"/>
    <w:rsid w:val="007B0302"/>
    <w:rsid w:val="007B5715"/>
    <w:rsid w:val="007B7603"/>
    <w:rsid w:val="007C1D50"/>
    <w:rsid w:val="007C4651"/>
    <w:rsid w:val="007C7BC5"/>
    <w:rsid w:val="007E3AF7"/>
    <w:rsid w:val="007E6280"/>
    <w:rsid w:val="007F5D22"/>
    <w:rsid w:val="00805699"/>
    <w:rsid w:val="00805F50"/>
    <w:rsid w:val="0081141A"/>
    <w:rsid w:val="00816ACA"/>
    <w:rsid w:val="00820B0C"/>
    <w:rsid w:val="0082756E"/>
    <w:rsid w:val="00832F1F"/>
    <w:rsid w:val="00833D58"/>
    <w:rsid w:val="008402F9"/>
    <w:rsid w:val="008478EB"/>
    <w:rsid w:val="00851B2C"/>
    <w:rsid w:val="008558BD"/>
    <w:rsid w:val="00855FCE"/>
    <w:rsid w:val="008763BB"/>
    <w:rsid w:val="00883FEA"/>
    <w:rsid w:val="00887DE4"/>
    <w:rsid w:val="00892462"/>
    <w:rsid w:val="00893369"/>
    <w:rsid w:val="008A0D4A"/>
    <w:rsid w:val="008A3442"/>
    <w:rsid w:val="008A421A"/>
    <w:rsid w:val="008B4739"/>
    <w:rsid w:val="008B7824"/>
    <w:rsid w:val="008C3C0C"/>
    <w:rsid w:val="008C414B"/>
    <w:rsid w:val="008C5E8B"/>
    <w:rsid w:val="008D20F1"/>
    <w:rsid w:val="008D612B"/>
    <w:rsid w:val="008E1E64"/>
    <w:rsid w:val="008E45D5"/>
    <w:rsid w:val="008E4ED1"/>
    <w:rsid w:val="008E59B6"/>
    <w:rsid w:val="009018B1"/>
    <w:rsid w:val="00902572"/>
    <w:rsid w:val="00907F7B"/>
    <w:rsid w:val="00914D20"/>
    <w:rsid w:val="009251AE"/>
    <w:rsid w:val="00935DC9"/>
    <w:rsid w:val="00940E97"/>
    <w:rsid w:val="00947A56"/>
    <w:rsid w:val="00950D11"/>
    <w:rsid w:val="00954AEA"/>
    <w:rsid w:val="00965C61"/>
    <w:rsid w:val="00970FF2"/>
    <w:rsid w:val="00973F78"/>
    <w:rsid w:val="00975B3E"/>
    <w:rsid w:val="00977335"/>
    <w:rsid w:val="0098439A"/>
    <w:rsid w:val="009867D3"/>
    <w:rsid w:val="00990D79"/>
    <w:rsid w:val="009A6AFA"/>
    <w:rsid w:val="009B598E"/>
    <w:rsid w:val="009C4235"/>
    <w:rsid w:val="009C465B"/>
    <w:rsid w:val="009C5286"/>
    <w:rsid w:val="009C5E58"/>
    <w:rsid w:val="009D6453"/>
    <w:rsid w:val="009D6CAB"/>
    <w:rsid w:val="009E2DA0"/>
    <w:rsid w:val="009F0F92"/>
    <w:rsid w:val="00A07E67"/>
    <w:rsid w:val="00A12A5F"/>
    <w:rsid w:val="00A13068"/>
    <w:rsid w:val="00A20800"/>
    <w:rsid w:val="00A22EBC"/>
    <w:rsid w:val="00A237A2"/>
    <w:rsid w:val="00A25232"/>
    <w:rsid w:val="00A259B4"/>
    <w:rsid w:val="00A25CCC"/>
    <w:rsid w:val="00A30528"/>
    <w:rsid w:val="00A3128D"/>
    <w:rsid w:val="00A41A64"/>
    <w:rsid w:val="00A51997"/>
    <w:rsid w:val="00A529B6"/>
    <w:rsid w:val="00A5354F"/>
    <w:rsid w:val="00A537C3"/>
    <w:rsid w:val="00A712E8"/>
    <w:rsid w:val="00A71EA4"/>
    <w:rsid w:val="00A81F6A"/>
    <w:rsid w:val="00A84534"/>
    <w:rsid w:val="00A86674"/>
    <w:rsid w:val="00A9091F"/>
    <w:rsid w:val="00A924BD"/>
    <w:rsid w:val="00A94E97"/>
    <w:rsid w:val="00AA03B8"/>
    <w:rsid w:val="00AA4CBC"/>
    <w:rsid w:val="00AA7E5B"/>
    <w:rsid w:val="00AB7B9D"/>
    <w:rsid w:val="00AC2E14"/>
    <w:rsid w:val="00AD2ED6"/>
    <w:rsid w:val="00AD68B7"/>
    <w:rsid w:val="00AD6B9D"/>
    <w:rsid w:val="00AE3198"/>
    <w:rsid w:val="00AF3311"/>
    <w:rsid w:val="00B0035C"/>
    <w:rsid w:val="00B00879"/>
    <w:rsid w:val="00B03D5E"/>
    <w:rsid w:val="00B1569B"/>
    <w:rsid w:val="00B23E09"/>
    <w:rsid w:val="00B268CD"/>
    <w:rsid w:val="00B30BF9"/>
    <w:rsid w:val="00B32629"/>
    <w:rsid w:val="00B335FA"/>
    <w:rsid w:val="00B36F28"/>
    <w:rsid w:val="00B42480"/>
    <w:rsid w:val="00B52B62"/>
    <w:rsid w:val="00B6074F"/>
    <w:rsid w:val="00B667DC"/>
    <w:rsid w:val="00B70DFB"/>
    <w:rsid w:val="00B73BA9"/>
    <w:rsid w:val="00B741C5"/>
    <w:rsid w:val="00B80971"/>
    <w:rsid w:val="00B82B29"/>
    <w:rsid w:val="00B83C44"/>
    <w:rsid w:val="00B9444E"/>
    <w:rsid w:val="00B947EB"/>
    <w:rsid w:val="00B94E02"/>
    <w:rsid w:val="00BA0D21"/>
    <w:rsid w:val="00BA3DCB"/>
    <w:rsid w:val="00BD3159"/>
    <w:rsid w:val="00BD5C56"/>
    <w:rsid w:val="00BD68F0"/>
    <w:rsid w:val="00BE36B4"/>
    <w:rsid w:val="00BE4228"/>
    <w:rsid w:val="00BE6F0F"/>
    <w:rsid w:val="00BF17B7"/>
    <w:rsid w:val="00BF26D0"/>
    <w:rsid w:val="00BF3F21"/>
    <w:rsid w:val="00BF4BD5"/>
    <w:rsid w:val="00C01C11"/>
    <w:rsid w:val="00C07A37"/>
    <w:rsid w:val="00C111C6"/>
    <w:rsid w:val="00C11361"/>
    <w:rsid w:val="00C2614C"/>
    <w:rsid w:val="00C34187"/>
    <w:rsid w:val="00C35473"/>
    <w:rsid w:val="00C4066F"/>
    <w:rsid w:val="00C44844"/>
    <w:rsid w:val="00C46F30"/>
    <w:rsid w:val="00C51401"/>
    <w:rsid w:val="00C5527F"/>
    <w:rsid w:val="00C57B14"/>
    <w:rsid w:val="00C64377"/>
    <w:rsid w:val="00C653E0"/>
    <w:rsid w:val="00C67079"/>
    <w:rsid w:val="00C678EB"/>
    <w:rsid w:val="00C70AA2"/>
    <w:rsid w:val="00C80E17"/>
    <w:rsid w:val="00C82432"/>
    <w:rsid w:val="00C82FC2"/>
    <w:rsid w:val="00C87089"/>
    <w:rsid w:val="00C9234D"/>
    <w:rsid w:val="00CB0183"/>
    <w:rsid w:val="00CB56D3"/>
    <w:rsid w:val="00CB64C3"/>
    <w:rsid w:val="00CC058E"/>
    <w:rsid w:val="00CC4FDB"/>
    <w:rsid w:val="00CC7C95"/>
    <w:rsid w:val="00CE11CA"/>
    <w:rsid w:val="00CF32E8"/>
    <w:rsid w:val="00CF398A"/>
    <w:rsid w:val="00CF723B"/>
    <w:rsid w:val="00D12E4B"/>
    <w:rsid w:val="00D142B3"/>
    <w:rsid w:val="00D25C19"/>
    <w:rsid w:val="00D27FBE"/>
    <w:rsid w:val="00D31B48"/>
    <w:rsid w:val="00D32F46"/>
    <w:rsid w:val="00D42DF2"/>
    <w:rsid w:val="00D433EB"/>
    <w:rsid w:val="00D472C6"/>
    <w:rsid w:val="00D47723"/>
    <w:rsid w:val="00D57093"/>
    <w:rsid w:val="00D66C4A"/>
    <w:rsid w:val="00D72AEE"/>
    <w:rsid w:val="00D73BAF"/>
    <w:rsid w:val="00D7643A"/>
    <w:rsid w:val="00D82C94"/>
    <w:rsid w:val="00D8368D"/>
    <w:rsid w:val="00D925D3"/>
    <w:rsid w:val="00D9352B"/>
    <w:rsid w:val="00D97C57"/>
    <w:rsid w:val="00DA0E34"/>
    <w:rsid w:val="00DA4BDE"/>
    <w:rsid w:val="00DA615F"/>
    <w:rsid w:val="00DA67AB"/>
    <w:rsid w:val="00DC29C1"/>
    <w:rsid w:val="00DC70BA"/>
    <w:rsid w:val="00DD428E"/>
    <w:rsid w:val="00DF37AA"/>
    <w:rsid w:val="00DF55EA"/>
    <w:rsid w:val="00E245D2"/>
    <w:rsid w:val="00E27D14"/>
    <w:rsid w:val="00E34C90"/>
    <w:rsid w:val="00E42C55"/>
    <w:rsid w:val="00E476D1"/>
    <w:rsid w:val="00E619F9"/>
    <w:rsid w:val="00E657C3"/>
    <w:rsid w:val="00E73A5E"/>
    <w:rsid w:val="00E81AF6"/>
    <w:rsid w:val="00E81F16"/>
    <w:rsid w:val="00E8651E"/>
    <w:rsid w:val="00EA0449"/>
    <w:rsid w:val="00EA19CA"/>
    <w:rsid w:val="00EA298D"/>
    <w:rsid w:val="00EA3006"/>
    <w:rsid w:val="00EA324B"/>
    <w:rsid w:val="00EA51AB"/>
    <w:rsid w:val="00EA5376"/>
    <w:rsid w:val="00EA593F"/>
    <w:rsid w:val="00EA607C"/>
    <w:rsid w:val="00EA6961"/>
    <w:rsid w:val="00EB02E3"/>
    <w:rsid w:val="00EB71A3"/>
    <w:rsid w:val="00EB7FE9"/>
    <w:rsid w:val="00EC177C"/>
    <w:rsid w:val="00EC6C93"/>
    <w:rsid w:val="00ED0F6B"/>
    <w:rsid w:val="00ED4274"/>
    <w:rsid w:val="00EE3F8B"/>
    <w:rsid w:val="00EF6322"/>
    <w:rsid w:val="00F0217F"/>
    <w:rsid w:val="00F20BC6"/>
    <w:rsid w:val="00F21C51"/>
    <w:rsid w:val="00F25182"/>
    <w:rsid w:val="00F27006"/>
    <w:rsid w:val="00F35BF9"/>
    <w:rsid w:val="00F4403A"/>
    <w:rsid w:val="00F4742D"/>
    <w:rsid w:val="00F5584F"/>
    <w:rsid w:val="00F57633"/>
    <w:rsid w:val="00F611A1"/>
    <w:rsid w:val="00F70326"/>
    <w:rsid w:val="00F720C6"/>
    <w:rsid w:val="00F85E94"/>
    <w:rsid w:val="00F87367"/>
    <w:rsid w:val="00F939B6"/>
    <w:rsid w:val="00F950CB"/>
    <w:rsid w:val="00F97B88"/>
    <w:rsid w:val="00FA3B65"/>
    <w:rsid w:val="00FB20F8"/>
    <w:rsid w:val="00FB2712"/>
    <w:rsid w:val="00FB4F7B"/>
    <w:rsid w:val="00FB5414"/>
    <w:rsid w:val="00FB6A2F"/>
    <w:rsid w:val="00FC0C49"/>
    <w:rsid w:val="00FC2B7E"/>
    <w:rsid w:val="00FC3649"/>
    <w:rsid w:val="00FD2A80"/>
    <w:rsid w:val="00FD33F1"/>
    <w:rsid w:val="00FD3F49"/>
    <w:rsid w:val="00FD5D21"/>
    <w:rsid w:val="00FD78E9"/>
    <w:rsid w:val="00FF4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o:shapelayout v:ext="edit">
      <o:idmap v:ext="edit" data="1"/>
    </o:shapelayout>
  </w:shapeDefaults>
  <w:decimalSymbol w:val="."/>
  <w:listSeparator w:val=","/>
  <w15:docId w15:val="{1D352F14-7B76-43A8-9618-0691563D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EFA"/>
    <w:pPr>
      <w:spacing w:line="471" w:lineRule="exact"/>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2D1EFA"/>
    <w:pPr>
      <w:spacing w:line="236" w:lineRule="exact"/>
    </w:pPr>
  </w:style>
  <w:style w:type="paragraph" w:customStyle="1" w:styleId="15Spacing">
    <w:name w:val="1.5 Spacing"/>
    <w:basedOn w:val="Normal"/>
    <w:rsid w:val="002D1EFA"/>
    <w:pPr>
      <w:spacing w:line="353" w:lineRule="exact"/>
    </w:pPr>
  </w:style>
  <w:style w:type="paragraph" w:customStyle="1" w:styleId="DoubleSpacing">
    <w:name w:val="Double Spacing"/>
    <w:basedOn w:val="Normal"/>
    <w:rsid w:val="002D1EFA"/>
  </w:style>
  <w:style w:type="paragraph" w:customStyle="1" w:styleId="AttorneyName">
    <w:name w:val="Attorney Name"/>
    <w:basedOn w:val="SingleSpacing"/>
    <w:rsid w:val="002D1EFA"/>
  </w:style>
  <w:style w:type="paragraph" w:customStyle="1" w:styleId="FirmName">
    <w:name w:val="Firm Name"/>
    <w:basedOn w:val="SingleSpacing"/>
    <w:rsid w:val="002D1EFA"/>
    <w:pPr>
      <w:jc w:val="center"/>
    </w:pPr>
  </w:style>
  <w:style w:type="paragraph" w:customStyle="1" w:styleId="SignatureBlock">
    <w:name w:val="Signature Block"/>
    <w:basedOn w:val="SingleSpacing"/>
    <w:rsid w:val="002D1EFA"/>
    <w:pPr>
      <w:ind w:left="5760"/>
    </w:pPr>
  </w:style>
  <w:style w:type="paragraph" w:styleId="Header">
    <w:name w:val="header"/>
    <w:basedOn w:val="Normal"/>
    <w:rsid w:val="002D1EFA"/>
    <w:pPr>
      <w:tabs>
        <w:tab w:val="center" w:pos="4320"/>
        <w:tab w:val="right" w:pos="8640"/>
      </w:tabs>
    </w:pPr>
  </w:style>
  <w:style w:type="paragraph" w:styleId="Footer">
    <w:name w:val="footer"/>
    <w:basedOn w:val="Normal"/>
    <w:link w:val="FooterChar"/>
    <w:uiPriority w:val="99"/>
    <w:rsid w:val="002D1EFA"/>
    <w:pPr>
      <w:tabs>
        <w:tab w:val="center" w:pos="4320"/>
        <w:tab w:val="right" w:pos="8640"/>
      </w:tabs>
    </w:pPr>
  </w:style>
  <w:style w:type="paragraph" w:styleId="BalloonText">
    <w:name w:val="Balloon Text"/>
    <w:basedOn w:val="Normal"/>
    <w:semiHidden/>
    <w:rsid w:val="009C5E58"/>
    <w:rPr>
      <w:rFonts w:ascii="Tahoma" w:hAnsi="Tahoma" w:cs="Tahoma"/>
      <w:sz w:val="16"/>
      <w:szCs w:val="16"/>
    </w:rPr>
  </w:style>
  <w:style w:type="paragraph" w:styleId="ListParagraph">
    <w:name w:val="List Paragraph"/>
    <w:basedOn w:val="Normal"/>
    <w:uiPriority w:val="34"/>
    <w:qFormat/>
    <w:rsid w:val="00A529B6"/>
    <w:pPr>
      <w:ind w:left="720"/>
      <w:contextualSpacing/>
    </w:pPr>
  </w:style>
  <w:style w:type="character" w:customStyle="1" w:styleId="FooterChar">
    <w:name w:val="Footer Char"/>
    <w:basedOn w:val="DefaultParagraphFont"/>
    <w:link w:val="Footer"/>
    <w:uiPriority w:val="99"/>
    <w:rsid w:val="001E5475"/>
    <w:rPr>
      <w:sz w:val="18"/>
    </w:rPr>
  </w:style>
  <w:style w:type="character" w:styleId="Hyperlink">
    <w:name w:val="Hyperlink"/>
    <w:basedOn w:val="DefaultParagraphFont"/>
    <w:uiPriority w:val="99"/>
    <w:rsid w:val="00247B4D"/>
    <w:rPr>
      <w:color w:val="0000FF" w:themeColor="hyperlink"/>
      <w:u w:val="single"/>
    </w:rPr>
  </w:style>
  <w:style w:type="character" w:styleId="PlaceholderText">
    <w:name w:val="Placeholder Text"/>
    <w:basedOn w:val="DefaultParagraphFont"/>
    <w:uiPriority w:val="99"/>
    <w:semiHidden/>
    <w:rsid w:val="00C87089"/>
    <w:rPr>
      <w:color w:val="808080"/>
    </w:rPr>
  </w:style>
  <w:style w:type="character" w:customStyle="1" w:styleId="Style2">
    <w:name w:val="Style2"/>
    <w:basedOn w:val="DefaultParagraphFont"/>
    <w:uiPriority w:val="1"/>
    <w:rsid w:val="007B7603"/>
    <w:rPr>
      <w:rFonts w:ascii="Times New Roman" w:hAnsi="Times New Roman"/>
      <w:i/>
      <w:sz w:val="24"/>
    </w:rPr>
  </w:style>
  <w:style w:type="character" w:customStyle="1" w:styleId="Style1">
    <w:name w:val="Style1"/>
    <w:basedOn w:val="DefaultParagraphFont"/>
    <w:uiPriority w:val="1"/>
    <w:rsid w:val="00BE6F0F"/>
    <w:rPr>
      <w:rFonts w:ascii="Times New Roman" w:hAnsi="Times New Roman"/>
      <w:sz w:val="26"/>
    </w:rPr>
  </w:style>
  <w:style w:type="character" w:customStyle="1" w:styleId="Style3">
    <w:name w:val="Style3"/>
    <w:basedOn w:val="DefaultParagraphFont"/>
    <w:uiPriority w:val="1"/>
    <w:rsid w:val="00701B81"/>
    <w:rPr>
      <w:i/>
    </w:rPr>
  </w:style>
  <w:style w:type="character" w:customStyle="1" w:styleId="Style4">
    <w:name w:val="Style4"/>
    <w:basedOn w:val="DefaultParagraphFont"/>
    <w:uiPriority w:val="1"/>
    <w:rsid w:val="00452E75"/>
    <w:rPr>
      <w:rFonts w:ascii="Times New Roman" w:hAnsi="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846989">
      <w:bodyDiv w:val="1"/>
      <w:marLeft w:val="0"/>
      <w:marRight w:val="0"/>
      <w:marTop w:val="0"/>
      <w:marBottom w:val="0"/>
      <w:divBdr>
        <w:top w:val="none" w:sz="0" w:space="0" w:color="auto"/>
        <w:left w:val="none" w:sz="0" w:space="0" w:color="auto"/>
        <w:bottom w:val="none" w:sz="0" w:space="0" w:color="auto"/>
        <w:right w:val="none" w:sz="0" w:space="0" w:color="auto"/>
      </w:divBdr>
      <w:divsChild>
        <w:div w:id="8921541">
          <w:marLeft w:val="0"/>
          <w:marRight w:val="0"/>
          <w:marTop w:val="0"/>
          <w:marBottom w:val="0"/>
          <w:divBdr>
            <w:top w:val="none" w:sz="0" w:space="0" w:color="auto"/>
            <w:left w:val="single" w:sz="6" w:space="0" w:color="BBBBBB"/>
            <w:bottom w:val="single" w:sz="6" w:space="0" w:color="BBBBBB"/>
            <w:right w:val="single" w:sz="6" w:space="0" w:color="BBBBBB"/>
          </w:divBdr>
          <w:divsChild>
            <w:div w:id="1117601756">
              <w:marLeft w:val="0"/>
              <w:marRight w:val="0"/>
              <w:marTop w:val="0"/>
              <w:marBottom w:val="0"/>
              <w:divBdr>
                <w:top w:val="none" w:sz="0" w:space="0" w:color="auto"/>
                <w:left w:val="none" w:sz="0" w:space="0" w:color="auto"/>
                <w:bottom w:val="none" w:sz="0" w:space="0" w:color="auto"/>
                <w:right w:val="none" w:sz="0" w:space="0" w:color="auto"/>
              </w:divBdr>
              <w:divsChild>
                <w:div w:id="328489141">
                  <w:marLeft w:val="0"/>
                  <w:marRight w:val="0"/>
                  <w:marTop w:val="0"/>
                  <w:marBottom w:val="0"/>
                  <w:divBdr>
                    <w:top w:val="none" w:sz="0" w:space="0" w:color="auto"/>
                    <w:left w:val="none" w:sz="0" w:space="0" w:color="auto"/>
                    <w:bottom w:val="none" w:sz="0" w:space="0" w:color="auto"/>
                    <w:right w:val="none" w:sz="0" w:space="0" w:color="auto"/>
                  </w:divBdr>
                  <w:divsChild>
                    <w:div w:id="910694372">
                      <w:marLeft w:val="0"/>
                      <w:marRight w:val="0"/>
                      <w:marTop w:val="0"/>
                      <w:marBottom w:val="0"/>
                      <w:divBdr>
                        <w:top w:val="none" w:sz="0" w:space="0" w:color="auto"/>
                        <w:left w:val="none" w:sz="0" w:space="0" w:color="auto"/>
                        <w:bottom w:val="none" w:sz="0" w:space="0" w:color="auto"/>
                        <w:right w:val="none" w:sz="0" w:space="0" w:color="auto"/>
                      </w:divBdr>
                      <w:divsChild>
                        <w:div w:id="1467119088">
                          <w:marLeft w:val="0"/>
                          <w:marRight w:val="0"/>
                          <w:marTop w:val="0"/>
                          <w:marBottom w:val="0"/>
                          <w:divBdr>
                            <w:top w:val="none" w:sz="0" w:space="0" w:color="auto"/>
                            <w:left w:val="none" w:sz="0" w:space="0" w:color="auto"/>
                            <w:bottom w:val="none" w:sz="0" w:space="0" w:color="auto"/>
                            <w:right w:val="none" w:sz="0" w:space="0" w:color="auto"/>
                          </w:divBdr>
                          <w:divsChild>
                            <w:div w:id="516778224">
                              <w:marLeft w:val="0"/>
                              <w:marRight w:val="0"/>
                              <w:marTop w:val="0"/>
                              <w:marBottom w:val="0"/>
                              <w:divBdr>
                                <w:top w:val="none" w:sz="0" w:space="0" w:color="auto"/>
                                <w:left w:val="none" w:sz="0" w:space="0" w:color="auto"/>
                                <w:bottom w:val="none" w:sz="0" w:space="0" w:color="auto"/>
                                <w:right w:val="none" w:sz="0" w:space="0" w:color="auto"/>
                              </w:divBdr>
                              <w:divsChild>
                                <w:div w:id="99565677">
                                  <w:marLeft w:val="0"/>
                                  <w:marRight w:val="0"/>
                                  <w:marTop w:val="0"/>
                                  <w:marBottom w:val="0"/>
                                  <w:divBdr>
                                    <w:top w:val="none" w:sz="0" w:space="0" w:color="auto"/>
                                    <w:left w:val="none" w:sz="0" w:space="0" w:color="auto"/>
                                    <w:bottom w:val="none" w:sz="0" w:space="0" w:color="auto"/>
                                    <w:right w:val="none" w:sz="0" w:space="0" w:color="auto"/>
                                  </w:divBdr>
                                  <w:divsChild>
                                    <w:div w:id="880285084">
                                      <w:marLeft w:val="0"/>
                                      <w:marRight w:val="0"/>
                                      <w:marTop w:val="0"/>
                                      <w:marBottom w:val="0"/>
                                      <w:divBdr>
                                        <w:top w:val="none" w:sz="0" w:space="0" w:color="auto"/>
                                        <w:left w:val="none" w:sz="0" w:space="0" w:color="auto"/>
                                        <w:bottom w:val="none" w:sz="0" w:space="0" w:color="auto"/>
                                        <w:right w:val="none" w:sz="0" w:space="0" w:color="auto"/>
                                      </w:divBdr>
                                      <w:divsChild>
                                        <w:div w:id="901527100">
                                          <w:marLeft w:val="1200"/>
                                          <w:marRight w:val="1200"/>
                                          <w:marTop w:val="0"/>
                                          <w:marBottom w:val="0"/>
                                          <w:divBdr>
                                            <w:top w:val="none" w:sz="0" w:space="0" w:color="auto"/>
                                            <w:left w:val="none" w:sz="0" w:space="0" w:color="auto"/>
                                            <w:bottom w:val="none" w:sz="0" w:space="0" w:color="auto"/>
                                            <w:right w:val="none" w:sz="0" w:space="0" w:color="auto"/>
                                          </w:divBdr>
                                          <w:divsChild>
                                            <w:div w:id="631133111">
                                              <w:marLeft w:val="0"/>
                                              <w:marRight w:val="0"/>
                                              <w:marTop w:val="0"/>
                                              <w:marBottom w:val="0"/>
                                              <w:divBdr>
                                                <w:top w:val="none" w:sz="0" w:space="0" w:color="auto"/>
                                                <w:left w:val="none" w:sz="0" w:space="0" w:color="auto"/>
                                                <w:bottom w:val="none" w:sz="0" w:space="0" w:color="auto"/>
                                                <w:right w:val="none" w:sz="0" w:space="0" w:color="auto"/>
                                              </w:divBdr>
                                              <w:divsChild>
                                                <w:div w:id="1699812334">
                                                  <w:marLeft w:val="0"/>
                                                  <w:marRight w:val="0"/>
                                                  <w:marTop w:val="0"/>
                                                  <w:marBottom w:val="0"/>
                                                  <w:divBdr>
                                                    <w:top w:val="none" w:sz="0" w:space="0" w:color="auto"/>
                                                    <w:left w:val="none" w:sz="0" w:space="0" w:color="auto"/>
                                                    <w:bottom w:val="none" w:sz="0" w:space="0" w:color="auto"/>
                                                    <w:right w:val="none" w:sz="0" w:space="0" w:color="auto"/>
                                                  </w:divBdr>
                                                  <w:divsChild>
                                                    <w:div w:id="1907062715">
                                                      <w:marLeft w:val="0"/>
                                                      <w:marRight w:val="0"/>
                                                      <w:marTop w:val="0"/>
                                                      <w:marBottom w:val="0"/>
                                                      <w:divBdr>
                                                        <w:top w:val="none" w:sz="0" w:space="0" w:color="auto"/>
                                                        <w:left w:val="none" w:sz="0" w:space="0" w:color="auto"/>
                                                        <w:bottom w:val="none" w:sz="0" w:space="0" w:color="auto"/>
                                                        <w:right w:val="none" w:sz="0" w:space="0" w:color="auto"/>
                                                      </w:divBdr>
                                                      <w:divsChild>
                                                        <w:div w:id="205022215">
                                                          <w:marLeft w:val="0"/>
                                                          <w:marRight w:val="0"/>
                                                          <w:marTop w:val="0"/>
                                                          <w:marBottom w:val="0"/>
                                                          <w:divBdr>
                                                            <w:top w:val="none" w:sz="0" w:space="0" w:color="auto"/>
                                                            <w:left w:val="none" w:sz="0" w:space="0" w:color="auto"/>
                                                            <w:bottom w:val="none" w:sz="0" w:space="0" w:color="auto"/>
                                                            <w:right w:val="none" w:sz="0" w:space="0" w:color="auto"/>
                                                          </w:divBdr>
                                                          <w:divsChild>
                                                            <w:div w:id="1764107680">
                                                              <w:marLeft w:val="0"/>
                                                              <w:marRight w:val="0"/>
                                                              <w:marTop w:val="0"/>
                                                              <w:marBottom w:val="0"/>
                                                              <w:divBdr>
                                                                <w:top w:val="none" w:sz="0" w:space="0" w:color="auto"/>
                                                                <w:left w:val="none" w:sz="0" w:space="0" w:color="auto"/>
                                                                <w:bottom w:val="none" w:sz="0" w:space="0" w:color="auto"/>
                                                                <w:right w:val="none" w:sz="0" w:space="0" w:color="auto"/>
                                                              </w:divBdr>
                                                            </w:div>
                                                          </w:divsChild>
                                                        </w:div>
                                                        <w:div w:id="1829635160">
                                                          <w:marLeft w:val="0"/>
                                                          <w:marRight w:val="0"/>
                                                          <w:marTop w:val="0"/>
                                                          <w:marBottom w:val="0"/>
                                                          <w:divBdr>
                                                            <w:top w:val="none" w:sz="0" w:space="0" w:color="auto"/>
                                                            <w:left w:val="none" w:sz="0" w:space="0" w:color="auto"/>
                                                            <w:bottom w:val="none" w:sz="0" w:space="0" w:color="auto"/>
                                                            <w:right w:val="none" w:sz="0" w:space="0" w:color="auto"/>
                                                          </w:divBdr>
                                                          <w:divsChild>
                                                            <w:div w:id="77102322">
                                                              <w:marLeft w:val="0"/>
                                                              <w:marRight w:val="0"/>
                                                              <w:marTop w:val="0"/>
                                                              <w:marBottom w:val="0"/>
                                                              <w:divBdr>
                                                                <w:top w:val="none" w:sz="0" w:space="0" w:color="auto"/>
                                                                <w:left w:val="none" w:sz="0" w:space="0" w:color="auto"/>
                                                                <w:bottom w:val="none" w:sz="0" w:space="0" w:color="auto"/>
                                                                <w:right w:val="none" w:sz="0" w:space="0" w:color="auto"/>
                                                              </w:divBdr>
                                                            </w:div>
                                                          </w:divsChild>
                                                        </w:div>
                                                        <w:div w:id="96802867">
                                                          <w:marLeft w:val="0"/>
                                                          <w:marRight w:val="0"/>
                                                          <w:marTop w:val="0"/>
                                                          <w:marBottom w:val="0"/>
                                                          <w:divBdr>
                                                            <w:top w:val="none" w:sz="0" w:space="0" w:color="auto"/>
                                                            <w:left w:val="none" w:sz="0" w:space="0" w:color="auto"/>
                                                            <w:bottom w:val="none" w:sz="0" w:space="0" w:color="auto"/>
                                                            <w:right w:val="none" w:sz="0" w:space="0" w:color="auto"/>
                                                          </w:divBdr>
                                                          <w:divsChild>
                                                            <w:div w:id="636764932">
                                                              <w:marLeft w:val="0"/>
                                                              <w:marRight w:val="0"/>
                                                              <w:marTop w:val="0"/>
                                                              <w:marBottom w:val="0"/>
                                                              <w:divBdr>
                                                                <w:top w:val="none" w:sz="0" w:space="0" w:color="auto"/>
                                                                <w:left w:val="none" w:sz="0" w:space="0" w:color="auto"/>
                                                                <w:bottom w:val="none" w:sz="0" w:space="0" w:color="auto"/>
                                                                <w:right w:val="none" w:sz="0" w:space="0" w:color="auto"/>
                                                              </w:divBdr>
                                                            </w:div>
                                                          </w:divsChild>
                                                        </w:div>
                                                        <w:div w:id="2080209765">
                                                          <w:marLeft w:val="0"/>
                                                          <w:marRight w:val="0"/>
                                                          <w:marTop w:val="0"/>
                                                          <w:marBottom w:val="0"/>
                                                          <w:divBdr>
                                                            <w:top w:val="none" w:sz="0" w:space="0" w:color="auto"/>
                                                            <w:left w:val="none" w:sz="0" w:space="0" w:color="auto"/>
                                                            <w:bottom w:val="none" w:sz="0" w:space="0" w:color="auto"/>
                                                            <w:right w:val="none" w:sz="0" w:space="0" w:color="auto"/>
                                                          </w:divBdr>
                                                          <w:divsChild>
                                                            <w:div w:id="17732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8814388">
      <w:bodyDiv w:val="1"/>
      <w:marLeft w:val="0"/>
      <w:marRight w:val="0"/>
      <w:marTop w:val="0"/>
      <w:marBottom w:val="0"/>
      <w:divBdr>
        <w:top w:val="none" w:sz="0" w:space="0" w:color="auto"/>
        <w:left w:val="none" w:sz="0" w:space="0" w:color="auto"/>
        <w:bottom w:val="none" w:sz="0" w:space="0" w:color="auto"/>
        <w:right w:val="none" w:sz="0" w:space="0" w:color="auto"/>
      </w:divBdr>
    </w:div>
    <w:div w:id="819924678">
      <w:bodyDiv w:val="1"/>
      <w:marLeft w:val="0"/>
      <w:marRight w:val="0"/>
      <w:marTop w:val="0"/>
      <w:marBottom w:val="0"/>
      <w:divBdr>
        <w:top w:val="none" w:sz="0" w:space="0" w:color="auto"/>
        <w:left w:val="none" w:sz="0" w:space="0" w:color="auto"/>
        <w:bottom w:val="none" w:sz="0" w:space="0" w:color="auto"/>
        <w:right w:val="none" w:sz="0" w:space="0" w:color="auto"/>
      </w:divBdr>
    </w:div>
    <w:div w:id="909467176">
      <w:bodyDiv w:val="1"/>
      <w:marLeft w:val="0"/>
      <w:marRight w:val="0"/>
      <w:marTop w:val="0"/>
      <w:marBottom w:val="0"/>
      <w:divBdr>
        <w:top w:val="none" w:sz="0" w:space="0" w:color="auto"/>
        <w:left w:val="none" w:sz="0" w:space="0" w:color="auto"/>
        <w:bottom w:val="none" w:sz="0" w:space="0" w:color="auto"/>
        <w:right w:val="none" w:sz="0" w:space="0" w:color="auto"/>
      </w:divBdr>
    </w:div>
    <w:div w:id="114362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nfaras\application%20data\microsoft\templates\Legal%20Pleadings\Caption.SuperiorCou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2FF00-4E02-4689-95AF-CAD6E35D9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Caption.SuperiorCourt.dot</Template>
  <TotalTime>145</TotalTime>
  <Pages>1</Pages>
  <Words>1371</Words>
  <Characters>6857</Characters>
  <Application>Microsoft Office Word</Application>
  <DocSecurity>0</DocSecurity>
  <PresentationFormat>14|.DOCX</PresentationFormat>
  <Lines>143</Lines>
  <Paragraphs>37</Paragraphs>
  <ScaleCrop>false</ScaleCrop>
  <HeadingPairs>
    <vt:vector size="2" baseType="variant">
      <vt:variant>
        <vt:lpstr>Title</vt:lpstr>
      </vt:variant>
      <vt:variant>
        <vt:i4>1</vt:i4>
      </vt:variant>
    </vt:vector>
  </HeadingPairs>
  <TitlesOfParts>
    <vt:vector size="1" baseType="lpstr">
      <vt:lpstr>PCBA Comment Formatted (draft)  (00672385.DOCX;2)</vt:lpstr>
    </vt:vector>
  </TitlesOfParts>
  <Company>PCAO</Company>
  <LinksUpToDate>false</LinksUpToDate>
  <CharactersWithSpaces>8233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PCBA Comment Formatted (draft)  (00672385.DOCX;3)</dc:title>
  <dc:subject>wdNOSTAMP</dc:subject>
  <dc:creator>Norma L. Faras</dc:creator>
  <dc:description>DO NOT STAMP </dc:description>
  <cp:lastModifiedBy>James Rappaport</cp:lastModifiedBy>
  <cp:revision>38</cp:revision>
  <cp:lastPrinted>2019-04-18T18:19:00Z</cp:lastPrinted>
  <dcterms:created xsi:type="dcterms:W3CDTF">2019-04-15T18:15:00Z</dcterms:created>
  <dcterms:modified xsi:type="dcterms:W3CDTF">2019-04-18T20:22:00Z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2001011800</vt:i4>
  </property>
  <property fmtid="{D5CDD505-2E9C-101B-9397-08002B2CF9AE}" pid="4" name="LCID">
    <vt:i4>1033</vt:i4>
  </property>
</Properties>
</file>