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57BB" w14:textId="415615D2" w:rsidR="00BF4ED1" w:rsidRPr="0095461F" w:rsidRDefault="003B385F" w:rsidP="00BF4ED1">
      <w:pPr>
        <w:jc w:val="both"/>
        <w:rPr>
          <w:sz w:val="28"/>
          <w:szCs w:val="28"/>
        </w:rPr>
      </w:pPr>
      <w:r w:rsidRPr="0095461F">
        <w:rPr>
          <w:sz w:val="28"/>
          <w:szCs w:val="28"/>
        </w:rPr>
        <w:t>Hon. Joseph Welty,</w:t>
      </w:r>
      <w:r w:rsidR="00F81C85">
        <w:rPr>
          <w:sz w:val="28"/>
          <w:szCs w:val="28"/>
        </w:rPr>
        <w:t xml:space="preserve"> Chair</w:t>
      </w:r>
      <w:bookmarkStart w:id="0" w:name="_GoBack"/>
      <w:bookmarkEnd w:id="0"/>
    </w:p>
    <w:p w14:paraId="0F8F821E" w14:textId="77777777" w:rsidR="00BF4ED1" w:rsidRPr="0095461F" w:rsidRDefault="00BF4ED1" w:rsidP="00BF4ED1">
      <w:pPr>
        <w:jc w:val="both"/>
        <w:rPr>
          <w:sz w:val="28"/>
          <w:szCs w:val="28"/>
        </w:rPr>
      </w:pPr>
      <w:r w:rsidRPr="0095461F">
        <w:rPr>
          <w:sz w:val="28"/>
          <w:szCs w:val="28"/>
        </w:rPr>
        <w:t xml:space="preserve">Task Force on </w:t>
      </w:r>
      <w:r w:rsidR="003B385F" w:rsidRPr="0095461F">
        <w:rPr>
          <w:sz w:val="28"/>
          <w:szCs w:val="28"/>
        </w:rPr>
        <w:t>Rule 32, Ariz. R. Crim. P.</w:t>
      </w:r>
      <w:r w:rsidRPr="0095461F">
        <w:rPr>
          <w:sz w:val="28"/>
          <w:szCs w:val="28"/>
        </w:rPr>
        <w:t>, Petitioner</w:t>
      </w:r>
    </w:p>
    <w:p w14:paraId="0F7F82EE" w14:textId="77777777" w:rsidR="00BF4ED1" w:rsidRPr="0095461F" w:rsidRDefault="00BF4ED1" w:rsidP="00BF4ED1">
      <w:pPr>
        <w:jc w:val="both"/>
        <w:rPr>
          <w:sz w:val="28"/>
          <w:szCs w:val="28"/>
        </w:rPr>
      </w:pPr>
      <w:r w:rsidRPr="0095461F">
        <w:rPr>
          <w:sz w:val="28"/>
          <w:szCs w:val="28"/>
        </w:rPr>
        <w:t>1501 W. Washington St.</w:t>
      </w:r>
    </w:p>
    <w:p w14:paraId="29CEA99F" w14:textId="77777777" w:rsidR="00BF4ED1" w:rsidRPr="0095461F" w:rsidRDefault="00BF4ED1" w:rsidP="00BF4ED1">
      <w:pPr>
        <w:jc w:val="both"/>
        <w:rPr>
          <w:sz w:val="28"/>
          <w:szCs w:val="28"/>
        </w:rPr>
      </w:pPr>
      <w:r w:rsidRPr="0095461F">
        <w:rPr>
          <w:sz w:val="28"/>
          <w:szCs w:val="28"/>
        </w:rPr>
        <w:t>Phoenix, AZ 85007</w:t>
      </w:r>
    </w:p>
    <w:p w14:paraId="784E0556" w14:textId="77777777" w:rsidR="00BF4ED1" w:rsidRPr="0095461F" w:rsidRDefault="00BF4ED1" w:rsidP="00BF4ED1">
      <w:pPr>
        <w:jc w:val="both"/>
        <w:rPr>
          <w:sz w:val="28"/>
          <w:szCs w:val="28"/>
        </w:rPr>
      </w:pPr>
    </w:p>
    <w:p w14:paraId="642FA682" w14:textId="77777777" w:rsidR="00BF4ED1" w:rsidRPr="0095461F" w:rsidRDefault="00BF4ED1" w:rsidP="00BF4ED1">
      <w:pPr>
        <w:spacing w:line="480" w:lineRule="auto"/>
        <w:jc w:val="both"/>
        <w:rPr>
          <w:sz w:val="28"/>
          <w:szCs w:val="28"/>
        </w:rPr>
      </w:pPr>
    </w:p>
    <w:p w14:paraId="1313A338" w14:textId="77777777" w:rsidR="00BF4ED1" w:rsidRPr="0095461F" w:rsidRDefault="00BF4ED1" w:rsidP="00BF4ED1">
      <w:pPr>
        <w:spacing w:line="480" w:lineRule="auto"/>
        <w:jc w:val="both"/>
        <w:rPr>
          <w:sz w:val="28"/>
          <w:szCs w:val="28"/>
          <w:u w:val="single"/>
        </w:rPr>
      </w:pPr>
    </w:p>
    <w:p w14:paraId="73695496" w14:textId="77777777" w:rsidR="00BF4ED1" w:rsidRPr="0095461F" w:rsidRDefault="00BF4ED1" w:rsidP="00BF4ED1">
      <w:pPr>
        <w:ind w:left="2160" w:firstLine="720"/>
        <w:jc w:val="both"/>
        <w:rPr>
          <w:sz w:val="28"/>
          <w:szCs w:val="28"/>
        </w:rPr>
      </w:pPr>
      <w:r w:rsidRPr="0095461F">
        <w:rPr>
          <w:sz w:val="28"/>
          <w:szCs w:val="28"/>
        </w:rPr>
        <w:t>SUPREME COURT OF ARIZONA</w:t>
      </w:r>
    </w:p>
    <w:p w14:paraId="2ADEF601" w14:textId="77777777" w:rsidR="00BF4ED1" w:rsidRPr="0095461F" w:rsidRDefault="00BF4ED1" w:rsidP="00BF4ED1">
      <w:pPr>
        <w:jc w:val="both"/>
        <w:rPr>
          <w:sz w:val="28"/>
          <w:szCs w:val="28"/>
        </w:rPr>
      </w:pPr>
    </w:p>
    <w:p w14:paraId="4690536A" w14:textId="77777777" w:rsidR="00BF4ED1" w:rsidRPr="0095461F" w:rsidRDefault="00BF4ED1" w:rsidP="00BF4ED1">
      <w:pPr>
        <w:jc w:val="both"/>
        <w:rPr>
          <w:sz w:val="28"/>
          <w:szCs w:val="28"/>
        </w:rPr>
      </w:pPr>
    </w:p>
    <w:p w14:paraId="29DCD530" w14:textId="1B6021E7" w:rsidR="00BF4ED1" w:rsidRPr="0095461F" w:rsidRDefault="00BF4ED1" w:rsidP="00BF4ED1">
      <w:pPr>
        <w:jc w:val="both"/>
        <w:rPr>
          <w:sz w:val="28"/>
          <w:szCs w:val="28"/>
        </w:rPr>
      </w:pPr>
      <w:r w:rsidRPr="0095461F">
        <w:rPr>
          <w:sz w:val="28"/>
          <w:szCs w:val="28"/>
        </w:rPr>
        <w:t xml:space="preserve">PETITION TO </w:t>
      </w:r>
      <w:r w:rsidR="003B385F" w:rsidRPr="0095461F">
        <w:rPr>
          <w:sz w:val="28"/>
          <w:szCs w:val="28"/>
        </w:rPr>
        <w:t>AMEND RULE 32</w:t>
      </w:r>
      <w:r w:rsidR="000D78D4" w:rsidRPr="0095461F">
        <w:rPr>
          <w:sz w:val="28"/>
          <w:szCs w:val="28"/>
        </w:rPr>
        <w:t xml:space="preserve">; </w:t>
      </w:r>
      <w:r w:rsidR="00E16B85" w:rsidRPr="0095461F">
        <w:rPr>
          <w:sz w:val="28"/>
          <w:szCs w:val="28"/>
        </w:rPr>
        <w:tab/>
        <w:t>) Supreme</w:t>
      </w:r>
      <w:r w:rsidRPr="0095461F">
        <w:rPr>
          <w:sz w:val="28"/>
          <w:szCs w:val="28"/>
        </w:rPr>
        <w:t xml:space="preserve"> Court No. R-</w:t>
      </w:r>
      <w:r w:rsidR="003B385F" w:rsidRPr="0095461F">
        <w:rPr>
          <w:sz w:val="28"/>
          <w:szCs w:val="28"/>
        </w:rPr>
        <w:t>19-</w:t>
      </w:r>
      <w:r w:rsidR="006C299A">
        <w:rPr>
          <w:sz w:val="28"/>
          <w:szCs w:val="28"/>
        </w:rPr>
        <w:t>0012</w:t>
      </w:r>
    </w:p>
    <w:p w14:paraId="17EB5773" w14:textId="77777777" w:rsidR="0071490F" w:rsidRPr="0095461F" w:rsidRDefault="00A87ABD" w:rsidP="00BF4ED1">
      <w:pPr>
        <w:jc w:val="both"/>
        <w:rPr>
          <w:sz w:val="28"/>
          <w:szCs w:val="28"/>
        </w:rPr>
      </w:pPr>
      <w:r w:rsidRPr="0095461F">
        <w:rPr>
          <w:sz w:val="28"/>
          <w:szCs w:val="28"/>
        </w:rPr>
        <w:t xml:space="preserve">TO ADOPT </w:t>
      </w:r>
      <w:r w:rsidR="0071490F" w:rsidRPr="0095461F">
        <w:rPr>
          <w:sz w:val="28"/>
          <w:szCs w:val="28"/>
        </w:rPr>
        <w:t xml:space="preserve">A NEW </w:t>
      </w:r>
      <w:r w:rsidRPr="0095461F">
        <w:rPr>
          <w:sz w:val="28"/>
          <w:szCs w:val="28"/>
        </w:rPr>
        <w:t>RULE 33</w:t>
      </w:r>
      <w:r w:rsidR="000D78D4" w:rsidRPr="0095461F">
        <w:rPr>
          <w:sz w:val="28"/>
          <w:szCs w:val="28"/>
        </w:rPr>
        <w:t>;</w:t>
      </w:r>
      <w:r w:rsidR="0071490F" w:rsidRPr="0095461F">
        <w:rPr>
          <w:sz w:val="28"/>
          <w:szCs w:val="28"/>
        </w:rPr>
        <w:t xml:space="preserve"> </w:t>
      </w:r>
      <w:r w:rsidR="0071490F" w:rsidRPr="0095461F">
        <w:rPr>
          <w:sz w:val="28"/>
          <w:szCs w:val="28"/>
        </w:rPr>
        <w:tab/>
        <w:t>)</w:t>
      </w:r>
    </w:p>
    <w:p w14:paraId="3A86956B" w14:textId="2BC9C4F7" w:rsidR="00A87ABD" w:rsidRPr="0095461F" w:rsidRDefault="0071490F" w:rsidP="00BF4ED1">
      <w:pPr>
        <w:jc w:val="both"/>
        <w:rPr>
          <w:sz w:val="28"/>
          <w:szCs w:val="28"/>
        </w:rPr>
      </w:pPr>
      <w:r w:rsidRPr="0095461F">
        <w:rPr>
          <w:sz w:val="28"/>
          <w:szCs w:val="28"/>
        </w:rPr>
        <w:t xml:space="preserve">TO </w:t>
      </w:r>
      <w:r w:rsidR="0091188E" w:rsidRPr="0095461F">
        <w:rPr>
          <w:sz w:val="28"/>
          <w:szCs w:val="28"/>
        </w:rPr>
        <w:t xml:space="preserve">AMEND </w:t>
      </w:r>
      <w:r w:rsidR="00E809F3" w:rsidRPr="0095461F">
        <w:rPr>
          <w:sz w:val="28"/>
          <w:szCs w:val="28"/>
        </w:rPr>
        <w:t xml:space="preserve">VARIOUS </w:t>
      </w:r>
      <w:r w:rsidR="0091188E" w:rsidRPr="0095461F">
        <w:rPr>
          <w:sz w:val="28"/>
          <w:szCs w:val="28"/>
        </w:rPr>
        <w:t>RULE 41</w:t>
      </w:r>
      <w:r w:rsidR="00E16B85" w:rsidRPr="0095461F">
        <w:rPr>
          <w:sz w:val="28"/>
          <w:szCs w:val="28"/>
        </w:rPr>
        <w:tab/>
        <w:t>)</w:t>
      </w:r>
      <w:r w:rsidR="006C299A">
        <w:rPr>
          <w:sz w:val="28"/>
          <w:szCs w:val="28"/>
        </w:rPr>
        <w:t xml:space="preserve"> Amended Petition</w:t>
      </w:r>
    </w:p>
    <w:p w14:paraId="581EFE04" w14:textId="29E51E6B" w:rsidR="00961C78" w:rsidRPr="0095461F" w:rsidRDefault="0091188E" w:rsidP="006A713A">
      <w:pPr>
        <w:ind w:left="720" w:hanging="720"/>
        <w:jc w:val="both"/>
        <w:rPr>
          <w:sz w:val="28"/>
          <w:szCs w:val="28"/>
        </w:rPr>
      </w:pPr>
      <w:r w:rsidRPr="0095461F">
        <w:rPr>
          <w:sz w:val="28"/>
          <w:szCs w:val="28"/>
        </w:rPr>
        <w:t xml:space="preserve">FORMS AND </w:t>
      </w:r>
      <w:r w:rsidR="003F00FD">
        <w:rPr>
          <w:sz w:val="28"/>
          <w:szCs w:val="28"/>
        </w:rPr>
        <w:t xml:space="preserve">TO </w:t>
      </w:r>
      <w:r w:rsidR="00E809F3" w:rsidRPr="0095461F">
        <w:rPr>
          <w:sz w:val="28"/>
          <w:szCs w:val="28"/>
        </w:rPr>
        <w:t>ADOPT NEW</w:t>
      </w:r>
      <w:r w:rsidR="00961C78" w:rsidRPr="0095461F">
        <w:rPr>
          <w:sz w:val="28"/>
          <w:szCs w:val="28"/>
        </w:rPr>
        <w:tab/>
        <w:t>)</w:t>
      </w:r>
    </w:p>
    <w:p w14:paraId="3803B89E" w14:textId="77777777" w:rsidR="0091188E" w:rsidRPr="0095461F" w:rsidRDefault="00E809F3" w:rsidP="00BF4ED1">
      <w:pPr>
        <w:jc w:val="both"/>
        <w:rPr>
          <w:sz w:val="28"/>
          <w:szCs w:val="28"/>
        </w:rPr>
      </w:pPr>
      <w:r w:rsidRPr="0095461F">
        <w:rPr>
          <w:sz w:val="28"/>
          <w:szCs w:val="28"/>
        </w:rPr>
        <w:t>FORMS</w:t>
      </w:r>
      <w:r w:rsidR="003F00FD">
        <w:rPr>
          <w:sz w:val="28"/>
          <w:szCs w:val="28"/>
        </w:rPr>
        <w:t>;</w:t>
      </w:r>
      <w:r w:rsidRPr="0095461F">
        <w:rPr>
          <w:sz w:val="28"/>
          <w:szCs w:val="28"/>
        </w:rPr>
        <w:t xml:space="preserve"> TO RENUMBER</w:t>
      </w:r>
      <w:r w:rsidR="000D78D4" w:rsidRPr="0095461F">
        <w:rPr>
          <w:sz w:val="28"/>
          <w:szCs w:val="28"/>
        </w:rPr>
        <w:tab/>
      </w:r>
      <w:r w:rsidR="00547A49">
        <w:rPr>
          <w:sz w:val="28"/>
          <w:szCs w:val="28"/>
        </w:rPr>
        <w:tab/>
      </w:r>
      <w:r w:rsidR="0091188E" w:rsidRPr="0095461F">
        <w:rPr>
          <w:sz w:val="28"/>
          <w:szCs w:val="28"/>
        </w:rPr>
        <w:t>)</w:t>
      </w:r>
    </w:p>
    <w:p w14:paraId="01CE6516" w14:textId="77777777" w:rsidR="00AA02E4" w:rsidRPr="0095461F" w:rsidRDefault="00961C78" w:rsidP="006A713A">
      <w:pPr>
        <w:jc w:val="both"/>
        <w:rPr>
          <w:sz w:val="28"/>
          <w:szCs w:val="28"/>
        </w:rPr>
      </w:pPr>
      <w:r w:rsidRPr="0095461F">
        <w:rPr>
          <w:sz w:val="28"/>
          <w:szCs w:val="28"/>
        </w:rPr>
        <w:t xml:space="preserve">RULE 33, </w:t>
      </w:r>
      <w:r w:rsidR="0091188E" w:rsidRPr="0095461F">
        <w:rPr>
          <w:sz w:val="28"/>
          <w:szCs w:val="28"/>
        </w:rPr>
        <w:t xml:space="preserve">ARIZONA RULES OF </w:t>
      </w:r>
      <w:r w:rsidR="00AA02E4" w:rsidRPr="0095461F">
        <w:rPr>
          <w:sz w:val="28"/>
          <w:szCs w:val="28"/>
        </w:rPr>
        <w:tab/>
        <w:t>)</w:t>
      </w:r>
    </w:p>
    <w:p w14:paraId="6608AEBE" w14:textId="77777777" w:rsidR="00547A49" w:rsidRDefault="0091188E" w:rsidP="00BF4ED1">
      <w:pPr>
        <w:ind w:left="4320" w:hanging="4320"/>
        <w:jc w:val="both"/>
        <w:rPr>
          <w:sz w:val="28"/>
          <w:szCs w:val="28"/>
        </w:rPr>
      </w:pPr>
      <w:r w:rsidRPr="0095461F">
        <w:rPr>
          <w:sz w:val="28"/>
          <w:szCs w:val="28"/>
        </w:rPr>
        <w:t>CRIMINAL PROCEDURE</w:t>
      </w:r>
      <w:r w:rsidR="003F00FD">
        <w:rPr>
          <w:sz w:val="28"/>
          <w:szCs w:val="28"/>
        </w:rPr>
        <w:t>;</w:t>
      </w:r>
      <w:r w:rsidR="00547A49">
        <w:rPr>
          <w:sz w:val="28"/>
          <w:szCs w:val="28"/>
        </w:rPr>
        <w:t xml:space="preserve"> AND </w:t>
      </w:r>
      <w:r w:rsidR="00547A49">
        <w:rPr>
          <w:sz w:val="28"/>
          <w:szCs w:val="28"/>
        </w:rPr>
        <w:tab/>
        <w:t>)</w:t>
      </w:r>
    </w:p>
    <w:p w14:paraId="7624A03D" w14:textId="77777777" w:rsidR="00547A49" w:rsidRDefault="00547A49" w:rsidP="00BF4ED1">
      <w:pPr>
        <w:ind w:left="4320" w:hanging="4320"/>
        <w:jc w:val="both"/>
        <w:rPr>
          <w:sz w:val="28"/>
          <w:szCs w:val="28"/>
        </w:rPr>
      </w:pPr>
      <w:r>
        <w:rPr>
          <w:sz w:val="28"/>
          <w:szCs w:val="28"/>
        </w:rPr>
        <w:t xml:space="preserve">TO ADOPT A CONFORMING </w:t>
      </w:r>
      <w:r>
        <w:rPr>
          <w:sz w:val="28"/>
          <w:szCs w:val="28"/>
        </w:rPr>
        <w:tab/>
        <w:t>)</w:t>
      </w:r>
    </w:p>
    <w:p w14:paraId="7624469B" w14:textId="77777777" w:rsidR="00773295" w:rsidRDefault="00547A49" w:rsidP="00BF4ED1">
      <w:pPr>
        <w:ind w:left="4320" w:hanging="4320"/>
        <w:jc w:val="both"/>
        <w:rPr>
          <w:sz w:val="28"/>
          <w:szCs w:val="28"/>
        </w:rPr>
      </w:pPr>
      <w:r>
        <w:rPr>
          <w:sz w:val="28"/>
          <w:szCs w:val="28"/>
        </w:rPr>
        <w:t>CHANGE TO RULE 17.1(e)</w:t>
      </w:r>
      <w:r w:rsidR="00773295">
        <w:rPr>
          <w:sz w:val="28"/>
          <w:szCs w:val="28"/>
        </w:rPr>
        <w:t>,</w:t>
      </w:r>
      <w:r w:rsidR="00773295">
        <w:rPr>
          <w:sz w:val="28"/>
          <w:szCs w:val="28"/>
        </w:rPr>
        <w:tab/>
        <w:t>)</w:t>
      </w:r>
    </w:p>
    <w:p w14:paraId="68B5B1A6" w14:textId="77777777" w:rsidR="00773295" w:rsidRDefault="00773295" w:rsidP="00BF4ED1">
      <w:pPr>
        <w:ind w:left="4320" w:hanging="4320"/>
        <w:jc w:val="both"/>
        <w:rPr>
          <w:sz w:val="28"/>
          <w:szCs w:val="28"/>
        </w:rPr>
      </w:pPr>
      <w:r>
        <w:rPr>
          <w:sz w:val="28"/>
          <w:szCs w:val="28"/>
        </w:rPr>
        <w:t>ARIZONA RULES OF CRIMINAL</w:t>
      </w:r>
      <w:r>
        <w:rPr>
          <w:sz w:val="28"/>
          <w:szCs w:val="28"/>
        </w:rPr>
        <w:tab/>
        <w:t>)</w:t>
      </w:r>
    </w:p>
    <w:p w14:paraId="1D6D2B90" w14:textId="46D58E62" w:rsidR="00BF4ED1" w:rsidRPr="0095461F" w:rsidRDefault="00773295" w:rsidP="00BF4ED1">
      <w:pPr>
        <w:ind w:left="4320" w:hanging="4320"/>
        <w:jc w:val="both"/>
        <w:rPr>
          <w:sz w:val="28"/>
          <w:szCs w:val="28"/>
        </w:rPr>
      </w:pPr>
      <w:r>
        <w:rPr>
          <w:sz w:val="28"/>
          <w:szCs w:val="28"/>
        </w:rPr>
        <w:t>PROCEDURE</w:t>
      </w:r>
      <w:r w:rsidR="00AA02E4" w:rsidRPr="0095461F">
        <w:rPr>
          <w:sz w:val="28"/>
          <w:szCs w:val="28"/>
        </w:rPr>
        <w:tab/>
      </w:r>
      <w:r w:rsidR="002B2E28">
        <w:rPr>
          <w:sz w:val="28"/>
          <w:szCs w:val="28"/>
        </w:rPr>
        <w:t>)</w:t>
      </w:r>
    </w:p>
    <w:p w14:paraId="002CE944" w14:textId="77777777" w:rsidR="00773295" w:rsidRDefault="00BF4ED1" w:rsidP="00BF4ED1">
      <w:pPr>
        <w:jc w:val="both"/>
        <w:rPr>
          <w:sz w:val="28"/>
          <w:szCs w:val="28"/>
        </w:rPr>
      </w:pPr>
      <w:r w:rsidRPr="0095461F">
        <w:rPr>
          <w:sz w:val="28"/>
          <w:szCs w:val="28"/>
        </w:rPr>
        <w:t>________________________</w:t>
      </w:r>
      <w:r w:rsidR="00773295">
        <w:rPr>
          <w:sz w:val="28"/>
          <w:szCs w:val="28"/>
        </w:rPr>
        <w:t>_____</w:t>
      </w:r>
      <w:r w:rsidR="00773295">
        <w:rPr>
          <w:sz w:val="28"/>
          <w:szCs w:val="28"/>
        </w:rPr>
        <w:tab/>
        <w:t>)</w:t>
      </w:r>
    </w:p>
    <w:p w14:paraId="55FD80C9" w14:textId="56AAFB0C" w:rsidR="00BF4ED1" w:rsidRPr="0095461F" w:rsidRDefault="00BF4ED1" w:rsidP="00BF4ED1">
      <w:pPr>
        <w:jc w:val="both"/>
        <w:rPr>
          <w:sz w:val="28"/>
          <w:szCs w:val="28"/>
        </w:rPr>
      </w:pPr>
    </w:p>
    <w:p w14:paraId="794289DE" w14:textId="77777777" w:rsidR="00532AD5" w:rsidRPr="006A713A" w:rsidRDefault="00532AD5" w:rsidP="00BF4ED1">
      <w:pPr>
        <w:rPr>
          <w:sz w:val="28"/>
          <w:szCs w:val="28"/>
        </w:rPr>
      </w:pPr>
    </w:p>
    <w:p w14:paraId="7A9E96D6" w14:textId="0D700F9C" w:rsidR="00775C52" w:rsidRDefault="00750AAC">
      <w:pPr>
        <w:spacing w:line="480" w:lineRule="auto"/>
        <w:jc w:val="both"/>
        <w:rPr>
          <w:sz w:val="28"/>
          <w:szCs w:val="28"/>
        </w:rPr>
      </w:pPr>
      <w:r w:rsidRPr="0095461F">
        <w:rPr>
          <w:sz w:val="28"/>
          <w:szCs w:val="28"/>
        </w:rPr>
        <w:tab/>
        <w:t>Petitioner</w:t>
      </w:r>
      <w:r w:rsidR="006C299A">
        <w:rPr>
          <w:sz w:val="28"/>
          <w:szCs w:val="28"/>
        </w:rPr>
        <w:t>,</w:t>
      </w:r>
      <w:r w:rsidRPr="0095461F">
        <w:rPr>
          <w:sz w:val="28"/>
          <w:szCs w:val="28"/>
        </w:rPr>
        <w:t xml:space="preserve"> the Task Force on Rule 32 of the Arizona Rules of Criminal Procedure</w:t>
      </w:r>
      <w:r w:rsidR="00EB15C6">
        <w:rPr>
          <w:sz w:val="28"/>
          <w:szCs w:val="28"/>
        </w:rPr>
        <w:t xml:space="preserve"> (“Task Force”)</w:t>
      </w:r>
      <w:r w:rsidRPr="0095461F">
        <w:rPr>
          <w:sz w:val="28"/>
          <w:szCs w:val="28"/>
        </w:rPr>
        <w:t xml:space="preserve">, is submitting this </w:t>
      </w:r>
      <w:r w:rsidR="006C299A">
        <w:rPr>
          <w:sz w:val="28"/>
          <w:szCs w:val="28"/>
        </w:rPr>
        <w:t xml:space="preserve">amended </w:t>
      </w:r>
      <w:r w:rsidRPr="0095461F">
        <w:rPr>
          <w:sz w:val="28"/>
          <w:szCs w:val="28"/>
        </w:rPr>
        <w:t xml:space="preserve">petition </w:t>
      </w:r>
      <w:r w:rsidR="006C299A">
        <w:rPr>
          <w:sz w:val="28"/>
          <w:szCs w:val="28"/>
        </w:rPr>
        <w:t>as provided by th</w:t>
      </w:r>
      <w:r w:rsidR="003922AE">
        <w:rPr>
          <w:sz w:val="28"/>
          <w:szCs w:val="28"/>
        </w:rPr>
        <w:t xml:space="preserve">e </w:t>
      </w:r>
      <w:r w:rsidR="006C299A">
        <w:rPr>
          <w:sz w:val="28"/>
          <w:szCs w:val="28"/>
        </w:rPr>
        <w:t xml:space="preserve">Court’s </w:t>
      </w:r>
      <w:r w:rsidR="00A37884">
        <w:rPr>
          <w:sz w:val="28"/>
          <w:szCs w:val="28"/>
        </w:rPr>
        <w:t xml:space="preserve">January 15, 2019 </w:t>
      </w:r>
      <w:r w:rsidR="006C299A">
        <w:rPr>
          <w:sz w:val="28"/>
          <w:szCs w:val="28"/>
        </w:rPr>
        <w:t>Order authorizing a modified comment period</w:t>
      </w:r>
      <w:r w:rsidRPr="0095461F">
        <w:rPr>
          <w:sz w:val="28"/>
          <w:szCs w:val="28"/>
        </w:rPr>
        <w:t xml:space="preserve">.  </w:t>
      </w:r>
      <w:r w:rsidR="00775C52">
        <w:rPr>
          <w:sz w:val="28"/>
          <w:szCs w:val="28"/>
        </w:rPr>
        <w:t>The amended p</w:t>
      </w:r>
      <w:r w:rsidR="00754454">
        <w:rPr>
          <w:sz w:val="28"/>
          <w:szCs w:val="28"/>
        </w:rPr>
        <w:t xml:space="preserve">etition includes four appendices, each of which </w:t>
      </w:r>
      <w:r w:rsidR="009E519C">
        <w:rPr>
          <w:sz w:val="28"/>
          <w:szCs w:val="28"/>
        </w:rPr>
        <w:t>is</w:t>
      </w:r>
      <w:r w:rsidR="00754454">
        <w:rPr>
          <w:sz w:val="28"/>
          <w:szCs w:val="28"/>
        </w:rPr>
        <w:t xml:space="preserve"> designated with a number followed by “AP” (“amended petition”).</w:t>
      </w:r>
    </w:p>
    <w:p w14:paraId="3C3B4836" w14:textId="0110F951" w:rsidR="00775C52" w:rsidRDefault="00775C52">
      <w:pPr>
        <w:spacing w:line="480" w:lineRule="auto"/>
        <w:jc w:val="both"/>
        <w:rPr>
          <w:sz w:val="28"/>
          <w:szCs w:val="28"/>
        </w:rPr>
      </w:pPr>
      <w:r>
        <w:rPr>
          <w:sz w:val="28"/>
          <w:szCs w:val="28"/>
        </w:rPr>
        <w:tab/>
      </w:r>
      <w:r w:rsidR="006C299A">
        <w:rPr>
          <w:sz w:val="28"/>
          <w:szCs w:val="28"/>
        </w:rPr>
        <w:t>Appendix 1-AP shows</w:t>
      </w:r>
      <w:r w:rsidR="00547A49">
        <w:rPr>
          <w:sz w:val="28"/>
          <w:szCs w:val="28"/>
        </w:rPr>
        <w:t xml:space="preserve"> a conforming change to </w:t>
      </w:r>
      <w:r w:rsidR="003922AE">
        <w:rPr>
          <w:sz w:val="28"/>
          <w:szCs w:val="28"/>
        </w:rPr>
        <w:t xml:space="preserve">Criminal </w:t>
      </w:r>
      <w:r w:rsidR="00547A49">
        <w:rPr>
          <w:sz w:val="28"/>
          <w:szCs w:val="28"/>
        </w:rPr>
        <w:t>Rule 17.1(e)</w:t>
      </w:r>
      <w:r w:rsidR="006C299A">
        <w:rPr>
          <w:sz w:val="28"/>
          <w:szCs w:val="28"/>
        </w:rPr>
        <w:t>, which was described in Part 6 of the January</w:t>
      </w:r>
      <w:r w:rsidR="009E519C">
        <w:rPr>
          <w:sz w:val="28"/>
          <w:szCs w:val="28"/>
        </w:rPr>
        <w:t xml:space="preserve"> 2019</w:t>
      </w:r>
      <w:r w:rsidR="006C299A">
        <w:rPr>
          <w:sz w:val="28"/>
          <w:szCs w:val="28"/>
        </w:rPr>
        <w:t xml:space="preserve"> petition but </w:t>
      </w:r>
      <w:r w:rsidR="003922AE">
        <w:rPr>
          <w:sz w:val="28"/>
          <w:szCs w:val="28"/>
        </w:rPr>
        <w:t xml:space="preserve">was </w:t>
      </w:r>
      <w:r w:rsidR="006C299A">
        <w:rPr>
          <w:sz w:val="28"/>
          <w:szCs w:val="28"/>
        </w:rPr>
        <w:t xml:space="preserve">not reproduced in an </w:t>
      </w:r>
      <w:r w:rsidR="006C299A">
        <w:rPr>
          <w:sz w:val="28"/>
          <w:szCs w:val="28"/>
        </w:rPr>
        <w:lastRenderedPageBreak/>
        <w:t>appendix</w:t>
      </w:r>
      <w:r w:rsidR="00547A49">
        <w:rPr>
          <w:sz w:val="28"/>
          <w:szCs w:val="28"/>
        </w:rPr>
        <w:t>.</w:t>
      </w:r>
      <w:r w:rsidR="006C299A">
        <w:rPr>
          <w:sz w:val="28"/>
          <w:szCs w:val="28"/>
        </w:rPr>
        <w:t xml:space="preserve"> </w:t>
      </w:r>
      <w:r>
        <w:rPr>
          <w:sz w:val="28"/>
          <w:szCs w:val="28"/>
        </w:rPr>
        <w:t xml:space="preserve"> However, rather than merely showing the technical change to this rule noted in the January petition (</w:t>
      </w:r>
      <w:r w:rsidR="00441B2C">
        <w:rPr>
          <w:sz w:val="28"/>
          <w:szCs w:val="28"/>
        </w:rPr>
        <w:t xml:space="preserve">i.e., </w:t>
      </w:r>
      <w:r>
        <w:rPr>
          <w:sz w:val="28"/>
          <w:szCs w:val="28"/>
        </w:rPr>
        <w:t xml:space="preserve">changing Rule 32 to Rule 33), Appendix 1-AP is a restyled, superseding version of </w:t>
      </w:r>
      <w:r w:rsidR="00441B2C">
        <w:rPr>
          <w:sz w:val="28"/>
          <w:szCs w:val="28"/>
        </w:rPr>
        <w:t>Rule 17.1(e)</w:t>
      </w:r>
      <w:r w:rsidR="00177E91">
        <w:rPr>
          <w:sz w:val="28"/>
          <w:szCs w:val="28"/>
        </w:rPr>
        <w:t>.</w:t>
      </w:r>
    </w:p>
    <w:p w14:paraId="520E67E0" w14:textId="7210CF0B" w:rsidR="00775C52" w:rsidRDefault="00775C52" w:rsidP="00775C52">
      <w:pPr>
        <w:spacing w:line="480" w:lineRule="auto"/>
        <w:ind w:firstLine="720"/>
        <w:jc w:val="both"/>
        <w:rPr>
          <w:sz w:val="28"/>
          <w:szCs w:val="28"/>
        </w:rPr>
      </w:pPr>
      <w:r>
        <w:rPr>
          <w:sz w:val="28"/>
          <w:szCs w:val="28"/>
        </w:rPr>
        <w:t>Appendix</w:t>
      </w:r>
      <w:r w:rsidR="006C299A">
        <w:rPr>
          <w:sz w:val="28"/>
          <w:szCs w:val="28"/>
        </w:rPr>
        <w:t xml:space="preserve"> 2-AP shows redline changes to the version of Rule 32 that Petitioner filed with the January rule petition, and Appendix 3-AP does the same for Rule 33.  </w:t>
      </w:r>
      <w:r w:rsidR="008E083C">
        <w:rPr>
          <w:sz w:val="28"/>
          <w:szCs w:val="28"/>
        </w:rPr>
        <w:t xml:space="preserve">The changes in Appendices </w:t>
      </w:r>
      <w:r w:rsidR="00C80859">
        <w:rPr>
          <w:sz w:val="28"/>
          <w:szCs w:val="28"/>
        </w:rPr>
        <w:t xml:space="preserve">1-AP, </w:t>
      </w:r>
      <w:r w:rsidR="008E083C">
        <w:rPr>
          <w:sz w:val="28"/>
          <w:szCs w:val="28"/>
        </w:rPr>
        <w:t>2-AP</w:t>
      </w:r>
      <w:r w:rsidR="00C80859">
        <w:rPr>
          <w:sz w:val="28"/>
          <w:szCs w:val="28"/>
        </w:rPr>
        <w:t>,</w:t>
      </w:r>
      <w:r w:rsidR="008E083C">
        <w:rPr>
          <w:sz w:val="28"/>
          <w:szCs w:val="28"/>
        </w:rPr>
        <w:t xml:space="preserve"> and 3-AP have been highlighted in yellow</w:t>
      </w:r>
      <w:r w:rsidR="00177E91">
        <w:rPr>
          <w:sz w:val="28"/>
          <w:szCs w:val="28"/>
        </w:rPr>
        <w:t xml:space="preserve"> to make them easier to locate.</w:t>
      </w:r>
    </w:p>
    <w:p w14:paraId="08AFF2A0" w14:textId="13958732" w:rsidR="00961C78" w:rsidRDefault="006C299A" w:rsidP="00775C52">
      <w:pPr>
        <w:spacing w:line="480" w:lineRule="auto"/>
        <w:ind w:firstLine="720"/>
        <w:jc w:val="both"/>
        <w:rPr>
          <w:sz w:val="28"/>
          <w:szCs w:val="28"/>
        </w:rPr>
      </w:pPr>
      <w:r>
        <w:rPr>
          <w:sz w:val="28"/>
          <w:szCs w:val="28"/>
        </w:rPr>
        <w:t xml:space="preserve">Appendix 4-AP contains </w:t>
      </w:r>
      <w:r w:rsidR="00775C52">
        <w:rPr>
          <w:sz w:val="28"/>
          <w:szCs w:val="28"/>
        </w:rPr>
        <w:t xml:space="preserve">six </w:t>
      </w:r>
      <w:r w:rsidR="00A37884">
        <w:rPr>
          <w:sz w:val="28"/>
          <w:szCs w:val="28"/>
        </w:rPr>
        <w:t>proposed</w:t>
      </w:r>
      <w:r>
        <w:rPr>
          <w:sz w:val="28"/>
          <w:szCs w:val="28"/>
        </w:rPr>
        <w:t xml:space="preserve"> forms</w:t>
      </w:r>
      <w:r w:rsidR="00A37884">
        <w:rPr>
          <w:sz w:val="28"/>
          <w:szCs w:val="28"/>
        </w:rPr>
        <w:t xml:space="preserve"> regarding post-conviction relief</w:t>
      </w:r>
      <w:r>
        <w:rPr>
          <w:sz w:val="28"/>
          <w:szCs w:val="28"/>
        </w:rPr>
        <w:t>.</w:t>
      </w:r>
    </w:p>
    <w:p w14:paraId="4070F7B0" w14:textId="278228F3" w:rsidR="006C299A" w:rsidRDefault="00EB15C6" w:rsidP="006339FD">
      <w:pPr>
        <w:spacing w:line="480" w:lineRule="auto"/>
        <w:ind w:firstLine="720"/>
        <w:jc w:val="both"/>
        <w:rPr>
          <w:sz w:val="28"/>
          <w:szCs w:val="28"/>
        </w:rPr>
      </w:pPr>
      <w:r>
        <w:rPr>
          <w:sz w:val="28"/>
          <w:szCs w:val="28"/>
        </w:rPr>
        <w:t>The Task Force met on March 22, 2019.  The meeting included a discussion of comments received during the first comment period, and that discussion is summarized in Part 1 of this amended petition.  Part</w:t>
      </w:r>
      <w:r w:rsidR="00775C52">
        <w:rPr>
          <w:sz w:val="28"/>
          <w:szCs w:val="28"/>
        </w:rPr>
        <w:t>s</w:t>
      </w:r>
      <w:r>
        <w:rPr>
          <w:sz w:val="28"/>
          <w:szCs w:val="28"/>
        </w:rPr>
        <w:t xml:space="preserve"> 2 </w:t>
      </w:r>
      <w:r w:rsidR="00775C52">
        <w:rPr>
          <w:sz w:val="28"/>
          <w:szCs w:val="28"/>
        </w:rPr>
        <w:t xml:space="preserve">and 3 </w:t>
      </w:r>
      <w:r>
        <w:rPr>
          <w:sz w:val="28"/>
          <w:szCs w:val="28"/>
        </w:rPr>
        <w:t>of</w:t>
      </w:r>
      <w:r w:rsidR="00441B2C">
        <w:rPr>
          <w:sz w:val="28"/>
          <w:szCs w:val="28"/>
        </w:rPr>
        <w:t xml:space="preserve"> this amended petition discuss</w:t>
      </w:r>
      <w:r>
        <w:rPr>
          <w:sz w:val="28"/>
          <w:szCs w:val="28"/>
        </w:rPr>
        <w:t xml:space="preserve"> changes to </w:t>
      </w:r>
      <w:r w:rsidR="003922AE">
        <w:rPr>
          <w:sz w:val="28"/>
          <w:szCs w:val="28"/>
        </w:rPr>
        <w:t xml:space="preserve">Rules 32 and 33 </w:t>
      </w:r>
      <w:r>
        <w:rPr>
          <w:sz w:val="28"/>
          <w:szCs w:val="28"/>
        </w:rPr>
        <w:t>proposed on the Task Force’s initiative</w:t>
      </w:r>
      <w:r w:rsidR="003922AE" w:rsidRPr="003922AE">
        <w:rPr>
          <w:sz w:val="28"/>
          <w:szCs w:val="28"/>
        </w:rPr>
        <w:t xml:space="preserve"> </w:t>
      </w:r>
      <w:r w:rsidR="003922AE">
        <w:rPr>
          <w:sz w:val="28"/>
          <w:szCs w:val="28"/>
        </w:rPr>
        <w:t>and not prompted by stakeholder comments</w:t>
      </w:r>
      <w:r w:rsidR="003C469B">
        <w:rPr>
          <w:sz w:val="28"/>
          <w:szCs w:val="28"/>
        </w:rPr>
        <w:t xml:space="preserve">.  </w:t>
      </w:r>
      <w:r>
        <w:rPr>
          <w:sz w:val="28"/>
          <w:szCs w:val="28"/>
        </w:rPr>
        <w:t xml:space="preserve">Part </w:t>
      </w:r>
      <w:r w:rsidR="00775C52">
        <w:rPr>
          <w:sz w:val="28"/>
          <w:szCs w:val="28"/>
        </w:rPr>
        <w:t>4</w:t>
      </w:r>
      <w:r>
        <w:rPr>
          <w:sz w:val="28"/>
          <w:szCs w:val="28"/>
        </w:rPr>
        <w:t xml:space="preserve"> includes a discussion of new and revised forms concerning post-conviction relief.</w:t>
      </w:r>
    </w:p>
    <w:p w14:paraId="61746E34" w14:textId="2CB5BE68" w:rsidR="006C299A" w:rsidRPr="00192EC5" w:rsidRDefault="006C299A" w:rsidP="00192EC5">
      <w:pPr>
        <w:pStyle w:val="ListParagraph"/>
        <w:numPr>
          <w:ilvl w:val="0"/>
          <w:numId w:val="2"/>
        </w:numPr>
        <w:spacing w:line="480" w:lineRule="auto"/>
        <w:ind w:left="0" w:firstLine="720"/>
        <w:rPr>
          <w:rFonts w:ascii="Times New Roman" w:hAnsi="Times New Roman" w:cs="Times New Roman"/>
          <w:b/>
          <w:sz w:val="28"/>
          <w:szCs w:val="28"/>
          <w:u w:val="single"/>
        </w:rPr>
      </w:pPr>
      <w:r w:rsidRPr="00192EC5">
        <w:rPr>
          <w:rFonts w:ascii="Times New Roman" w:hAnsi="Times New Roman" w:cs="Times New Roman"/>
          <w:b/>
          <w:sz w:val="28"/>
          <w:szCs w:val="28"/>
          <w:u w:val="single"/>
        </w:rPr>
        <w:t>Rules Forum Comments.</w:t>
      </w:r>
      <w:r w:rsidR="00192EC5" w:rsidRPr="006339FD">
        <w:rPr>
          <w:rFonts w:ascii="Times New Roman" w:hAnsi="Times New Roman" w:cs="Times New Roman"/>
          <w:sz w:val="28"/>
          <w:szCs w:val="28"/>
        </w:rPr>
        <w:t xml:space="preserve">  </w:t>
      </w:r>
      <w:r w:rsidR="00192EC5" w:rsidRPr="00192EC5">
        <w:rPr>
          <w:rFonts w:ascii="Times New Roman" w:hAnsi="Times New Roman" w:cs="Times New Roman"/>
          <w:sz w:val="28"/>
          <w:szCs w:val="28"/>
        </w:rPr>
        <w:t>In addition to the distribution of the petition provided in Supreme Court Rule 28(d), staff provided a link to the rule petition and invited comment</w:t>
      </w:r>
      <w:r w:rsidR="003922AE">
        <w:rPr>
          <w:rFonts w:ascii="Times New Roman" w:hAnsi="Times New Roman" w:cs="Times New Roman"/>
          <w:sz w:val="28"/>
          <w:szCs w:val="28"/>
        </w:rPr>
        <w:t>s</w:t>
      </w:r>
      <w:r w:rsidR="00192EC5" w:rsidRPr="00192EC5">
        <w:rPr>
          <w:rFonts w:ascii="Times New Roman" w:hAnsi="Times New Roman" w:cs="Times New Roman"/>
          <w:sz w:val="28"/>
          <w:szCs w:val="28"/>
        </w:rPr>
        <w:t xml:space="preserve"> from the State Bar committee and section on criminal law, several prosecution and defender agencies, and a private criminal defense attorney, but none of the</w:t>
      </w:r>
      <w:r w:rsidR="003922AE">
        <w:rPr>
          <w:rFonts w:ascii="Times New Roman" w:hAnsi="Times New Roman" w:cs="Times New Roman"/>
          <w:sz w:val="28"/>
          <w:szCs w:val="28"/>
        </w:rPr>
        <w:t>se groups or individuals</w:t>
      </w:r>
      <w:r w:rsidR="00192EC5" w:rsidRPr="00192EC5">
        <w:rPr>
          <w:rFonts w:ascii="Times New Roman" w:hAnsi="Times New Roman" w:cs="Times New Roman"/>
          <w:sz w:val="28"/>
          <w:szCs w:val="28"/>
        </w:rPr>
        <w:t xml:space="preserve"> filed comments during the first comment period. </w:t>
      </w:r>
      <w:r w:rsidR="003922AE">
        <w:rPr>
          <w:rFonts w:ascii="Times New Roman" w:hAnsi="Times New Roman" w:cs="Times New Roman"/>
          <w:sz w:val="28"/>
          <w:szCs w:val="28"/>
        </w:rPr>
        <w:t xml:space="preserve"> </w:t>
      </w:r>
      <w:r w:rsidR="00192EC5" w:rsidRPr="00192EC5">
        <w:rPr>
          <w:rFonts w:ascii="Times New Roman" w:hAnsi="Times New Roman" w:cs="Times New Roman"/>
          <w:sz w:val="28"/>
          <w:szCs w:val="28"/>
        </w:rPr>
        <w:t xml:space="preserve">In February, the </w:t>
      </w:r>
      <w:r w:rsidR="003922AE">
        <w:rPr>
          <w:rFonts w:ascii="Times New Roman" w:hAnsi="Times New Roman" w:cs="Times New Roman"/>
          <w:sz w:val="28"/>
          <w:szCs w:val="28"/>
        </w:rPr>
        <w:t xml:space="preserve">Task Force </w:t>
      </w:r>
      <w:r w:rsidR="00192EC5" w:rsidRPr="00192EC5">
        <w:rPr>
          <w:rFonts w:ascii="Times New Roman" w:hAnsi="Times New Roman" w:cs="Times New Roman"/>
          <w:sz w:val="28"/>
          <w:szCs w:val="28"/>
        </w:rPr>
        <w:t xml:space="preserve">Chair presented the rule petition to two Supreme Court </w:t>
      </w:r>
      <w:r w:rsidR="00192EC5" w:rsidRPr="00192EC5">
        <w:rPr>
          <w:rFonts w:ascii="Times New Roman" w:hAnsi="Times New Roman" w:cs="Times New Roman"/>
          <w:sz w:val="28"/>
          <w:szCs w:val="28"/>
        </w:rPr>
        <w:lastRenderedPageBreak/>
        <w:t>standing committees</w:t>
      </w:r>
      <w:r w:rsidR="003922AE">
        <w:rPr>
          <w:rFonts w:ascii="Times New Roman" w:hAnsi="Times New Roman" w:cs="Times New Roman"/>
          <w:sz w:val="28"/>
          <w:szCs w:val="28"/>
        </w:rPr>
        <w:t>,</w:t>
      </w:r>
      <w:r w:rsidR="00192EC5" w:rsidRPr="00192EC5">
        <w:rPr>
          <w:rFonts w:ascii="Times New Roman" w:hAnsi="Times New Roman" w:cs="Times New Roman"/>
          <w:sz w:val="28"/>
          <w:szCs w:val="28"/>
        </w:rPr>
        <w:t xml:space="preserve"> the Committee on Superior Court and the Committee on Limited Jurisdiction Courts.  Each of these committees thereafter filed a comment on the Rules Forum supporting the rule petition.  Three substantive comments were filed </w:t>
      </w:r>
      <w:r w:rsidR="00192EC5">
        <w:rPr>
          <w:rFonts w:ascii="Times New Roman" w:hAnsi="Times New Roman" w:cs="Times New Roman"/>
          <w:sz w:val="28"/>
          <w:szCs w:val="28"/>
        </w:rPr>
        <w:t xml:space="preserve">by attorneys </w:t>
      </w:r>
      <w:r w:rsidR="00192EC5" w:rsidRPr="00192EC5">
        <w:rPr>
          <w:rFonts w:ascii="Times New Roman" w:hAnsi="Times New Roman" w:cs="Times New Roman"/>
          <w:sz w:val="28"/>
          <w:szCs w:val="28"/>
        </w:rPr>
        <w:t xml:space="preserve">on the Court Rules Forum, and </w:t>
      </w:r>
      <w:r w:rsidR="003922AE">
        <w:rPr>
          <w:rFonts w:ascii="Times New Roman" w:hAnsi="Times New Roman" w:cs="Times New Roman"/>
          <w:sz w:val="28"/>
          <w:szCs w:val="28"/>
        </w:rPr>
        <w:t xml:space="preserve">Task Force </w:t>
      </w:r>
      <w:r w:rsidR="00192EC5" w:rsidRPr="00192EC5">
        <w:rPr>
          <w:rFonts w:ascii="Times New Roman" w:hAnsi="Times New Roman" w:cs="Times New Roman"/>
          <w:sz w:val="28"/>
          <w:szCs w:val="28"/>
        </w:rPr>
        <w:t>members discussed each comment</w:t>
      </w:r>
      <w:r w:rsidR="00192EC5">
        <w:rPr>
          <w:rFonts w:ascii="Times New Roman" w:hAnsi="Times New Roman" w:cs="Times New Roman"/>
          <w:sz w:val="28"/>
          <w:szCs w:val="28"/>
        </w:rPr>
        <w:t xml:space="preserve"> at the</w:t>
      </w:r>
      <w:r w:rsidR="003922AE">
        <w:rPr>
          <w:rFonts w:ascii="Times New Roman" w:hAnsi="Times New Roman" w:cs="Times New Roman"/>
          <w:sz w:val="28"/>
          <w:szCs w:val="28"/>
        </w:rPr>
        <w:t>ir</w:t>
      </w:r>
      <w:r w:rsidR="00192EC5">
        <w:rPr>
          <w:rFonts w:ascii="Times New Roman" w:hAnsi="Times New Roman" w:cs="Times New Roman"/>
          <w:sz w:val="28"/>
          <w:szCs w:val="28"/>
        </w:rPr>
        <w:t xml:space="preserve"> March 22 meeting</w:t>
      </w:r>
      <w:r w:rsidR="00192EC5" w:rsidRPr="00192EC5">
        <w:rPr>
          <w:rFonts w:ascii="Times New Roman" w:hAnsi="Times New Roman" w:cs="Times New Roman"/>
          <w:sz w:val="28"/>
          <w:szCs w:val="28"/>
        </w:rPr>
        <w:t>.</w:t>
      </w:r>
    </w:p>
    <w:p w14:paraId="759DD66C" w14:textId="390DC0B6" w:rsidR="00C44B44" w:rsidRDefault="00192EC5" w:rsidP="00192EC5">
      <w:pPr>
        <w:pStyle w:val="ListParagraph"/>
        <w:spacing w:line="480" w:lineRule="auto"/>
        <w:ind w:left="0" w:firstLine="720"/>
        <w:rPr>
          <w:rFonts w:ascii="Times New Roman" w:hAnsi="Times New Roman" w:cs="Times New Roman"/>
          <w:sz w:val="28"/>
          <w:szCs w:val="28"/>
        </w:rPr>
      </w:pPr>
      <w:r w:rsidRPr="00192EC5">
        <w:rPr>
          <w:rFonts w:ascii="Times New Roman" w:hAnsi="Times New Roman" w:cs="Times New Roman"/>
          <w:sz w:val="28"/>
          <w:szCs w:val="28"/>
        </w:rPr>
        <w:t xml:space="preserve">After reviewing the comment by Katia Mehu, members considered whether to add to the </w:t>
      </w:r>
      <w:r w:rsidR="003922AE">
        <w:rPr>
          <w:rFonts w:ascii="Times New Roman" w:hAnsi="Times New Roman" w:cs="Times New Roman"/>
          <w:sz w:val="28"/>
          <w:szCs w:val="28"/>
        </w:rPr>
        <w:t xml:space="preserve">proposed </w:t>
      </w:r>
      <w:r w:rsidRPr="00192EC5">
        <w:rPr>
          <w:rFonts w:ascii="Times New Roman" w:hAnsi="Times New Roman" w:cs="Times New Roman"/>
          <w:sz w:val="28"/>
          <w:szCs w:val="28"/>
        </w:rPr>
        <w:t>rules a list of constitutional right that might be the subject of relief.  Members concluded that there was nothing to add to the rules, or to remove, in response to this comment.</w:t>
      </w:r>
    </w:p>
    <w:p w14:paraId="1779A34D" w14:textId="1E5AFDA8" w:rsidR="00192EC5" w:rsidRDefault="00192EC5" w:rsidP="00192EC5">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Members discussed </w:t>
      </w:r>
      <w:r w:rsidR="003922AE">
        <w:rPr>
          <w:rFonts w:ascii="Times New Roman" w:hAnsi="Times New Roman" w:cs="Times New Roman"/>
          <w:sz w:val="28"/>
          <w:szCs w:val="28"/>
        </w:rPr>
        <w:t>a</w:t>
      </w:r>
      <w:r>
        <w:rPr>
          <w:rFonts w:ascii="Times New Roman" w:hAnsi="Times New Roman" w:cs="Times New Roman"/>
          <w:sz w:val="28"/>
          <w:szCs w:val="28"/>
        </w:rPr>
        <w:t xml:space="preserve"> series of comments filed </w:t>
      </w:r>
      <w:r w:rsidR="00C44B44">
        <w:rPr>
          <w:rFonts w:ascii="Times New Roman" w:hAnsi="Times New Roman" w:cs="Times New Roman"/>
          <w:sz w:val="28"/>
          <w:szCs w:val="28"/>
        </w:rPr>
        <w:t>by attorney</w:t>
      </w:r>
      <w:r>
        <w:rPr>
          <w:rFonts w:ascii="Times New Roman" w:hAnsi="Times New Roman" w:cs="Times New Roman"/>
          <w:sz w:val="28"/>
          <w:szCs w:val="28"/>
        </w:rPr>
        <w:t xml:space="preserve"> Linda Moroko on behalf of Aderant</w:t>
      </w:r>
      <w:r w:rsidR="00C44B44">
        <w:rPr>
          <w:rFonts w:ascii="Times New Roman" w:hAnsi="Times New Roman" w:cs="Times New Roman"/>
          <w:sz w:val="28"/>
          <w:szCs w:val="28"/>
        </w:rPr>
        <w:t xml:space="preserve"> (Aderant is a California-based </w:t>
      </w:r>
      <w:r w:rsidR="003922AE">
        <w:rPr>
          <w:rFonts w:ascii="Times New Roman" w:hAnsi="Times New Roman" w:cs="Times New Roman"/>
          <w:sz w:val="28"/>
          <w:szCs w:val="28"/>
        </w:rPr>
        <w:t>company that provides</w:t>
      </w:r>
      <w:r w:rsidR="00C44B44">
        <w:rPr>
          <w:rFonts w:ascii="Times New Roman" w:hAnsi="Times New Roman" w:cs="Times New Roman"/>
          <w:sz w:val="28"/>
          <w:szCs w:val="28"/>
        </w:rPr>
        <w:t xml:space="preserve"> legal services support</w:t>
      </w:r>
      <w:r w:rsidR="003922AE">
        <w:rPr>
          <w:rFonts w:ascii="Times New Roman" w:hAnsi="Times New Roman" w:cs="Times New Roman"/>
          <w:sz w:val="28"/>
          <w:szCs w:val="28"/>
        </w:rPr>
        <w:t xml:space="preserve"> and management solutions</w:t>
      </w:r>
      <w:r w:rsidR="00C44B44">
        <w:rPr>
          <w:rFonts w:ascii="Times New Roman" w:hAnsi="Times New Roman" w:cs="Times New Roman"/>
          <w:sz w:val="28"/>
          <w:szCs w:val="28"/>
        </w:rPr>
        <w:t xml:space="preserve">.)  </w:t>
      </w:r>
      <w:r w:rsidR="00C44B44" w:rsidRPr="00C44B44">
        <w:rPr>
          <w:rFonts w:ascii="Times New Roman" w:hAnsi="Times New Roman" w:cs="Times New Roman"/>
          <w:sz w:val="28"/>
          <w:szCs w:val="28"/>
        </w:rPr>
        <w:t xml:space="preserve">In response to the first portion of the comment regarding Rules 32.6(d) and 33.6(d), </w:t>
      </w:r>
      <w:r w:rsidR="00C44B44">
        <w:rPr>
          <w:rFonts w:ascii="Times New Roman" w:hAnsi="Times New Roman" w:cs="Times New Roman"/>
          <w:sz w:val="28"/>
          <w:szCs w:val="28"/>
        </w:rPr>
        <w:t>members considered</w:t>
      </w:r>
      <w:r w:rsidR="00C44B44" w:rsidRPr="00C44B44">
        <w:rPr>
          <w:rFonts w:ascii="Times New Roman" w:hAnsi="Times New Roman" w:cs="Times New Roman"/>
          <w:sz w:val="28"/>
          <w:szCs w:val="28"/>
        </w:rPr>
        <w:t xml:space="preserve"> changing “may” to “must” [</w:t>
      </w:r>
      <w:r w:rsidR="00C44B44">
        <w:rPr>
          <w:rFonts w:ascii="Times New Roman" w:hAnsi="Times New Roman" w:cs="Times New Roman"/>
          <w:sz w:val="28"/>
          <w:szCs w:val="28"/>
        </w:rPr>
        <w:t>the January version says, “</w:t>
      </w:r>
      <w:r w:rsidR="00C44B44" w:rsidRPr="00C44B44">
        <w:rPr>
          <w:rFonts w:ascii="Times New Roman" w:hAnsi="Times New Roman" w:cs="Times New Roman"/>
          <w:sz w:val="28"/>
          <w:szCs w:val="28"/>
        </w:rPr>
        <w:t>…the court may allow the defendant to file a pe</w:t>
      </w:r>
      <w:r w:rsidR="00C44B44">
        <w:rPr>
          <w:rFonts w:ascii="Times New Roman" w:hAnsi="Times New Roman" w:cs="Times New Roman"/>
          <w:sz w:val="28"/>
          <w:szCs w:val="28"/>
        </w:rPr>
        <w:t>tition on his or her own behalf</w:t>
      </w:r>
      <w:r w:rsidR="00C44B44" w:rsidRPr="00C44B44">
        <w:rPr>
          <w:rFonts w:ascii="Times New Roman" w:hAnsi="Times New Roman" w:cs="Times New Roman"/>
          <w:sz w:val="28"/>
          <w:szCs w:val="28"/>
        </w:rPr>
        <w:t>”]</w:t>
      </w:r>
      <w:r w:rsidR="00C44B44">
        <w:rPr>
          <w:rFonts w:ascii="Times New Roman" w:hAnsi="Times New Roman" w:cs="Times New Roman"/>
          <w:sz w:val="28"/>
          <w:szCs w:val="28"/>
        </w:rPr>
        <w:t xml:space="preserve"> but </w:t>
      </w:r>
      <w:r w:rsidR="003922AE">
        <w:rPr>
          <w:rFonts w:ascii="Times New Roman" w:hAnsi="Times New Roman" w:cs="Times New Roman"/>
          <w:sz w:val="28"/>
          <w:szCs w:val="28"/>
        </w:rPr>
        <w:t xml:space="preserve">thereafter </w:t>
      </w:r>
      <w:r w:rsidR="00C44B44" w:rsidRPr="00C44B44">
        <w:rPr>
          <w:rFonts w:ascii="Times New Roman" w:hAnsi="Times New Roman" w:cs="Times New Roman"/>
          <w:sz w:val="28"/>
          <w:szCs w:val="28"/>
        </w:rPr>
        <w:t xml:space="preserve">made no change.  Regarding Rule 32.7(f) and 33.7(f) and notwithstanding the comment’s suggestion, members retained the phrase “return the petition,” and noted that Rule 1.7(b)(4) has a specific provision for the effective date of documents filed by an </w:t>
      </w:r>
      <w:r w:rsidR="003C469B">
        <w:rPr>
          <w:rFonts w:ascii="Times New Roman" w:hAnsi="Times New Roman" w:cs="Times New Roman"/>
          <w:sz w:val="28"/>
          <w:szCs w:val="28"/>
        </w:rPr>
        <w:t xml:space="preserve">incarcerated defendant.  </w:t>
      </w:r>
      <w:r w:rsidR="00C44B44" w:rsidRPr="00C44B44">
        <w:rPr>
          <w:rFonts w:ascii="Times New Roman" w:hAnsi="Times New Roman" w:cs="Times New Roman"/>
          <w:sz w:val="28"/>
          <w:szCs w:val="28"/>
        </w:rPr>
        <w:t xml:space="preserve">Members disagreed with the observation in this comment that the terms “notice” and “petition” lacked specificity and thought the comment might have originated by </w:t>
      </w:r>
      <w:r w:rsidR="00C44B44" w:rsidRPr="00C44B44">
        <w:rPr>
          <w:rFonts w:ascii="Times New Roman" w:hAnsi="Times New Roman" w:cs="Times New Roman"/>
          <w:sz w:val="28"/>
          <w:szCs w:val="28"/>
        </w:rPr>
        <w:lastRenderedPageBreak/>
        <w:t>comparing these rules with jurisdictions that do not utilize a notice of post-conviction relief.  The Chair directed staff to correct the scrivener’s errors noted in the last section of this comment.</w:t>
      </w:r>
    </w:p>
    <w:p w14:paraId="6D723784" w14:textId="5B1AA1B3" w:rsidR="00A14E00" w:rsidRPr="00A14E00" w:rsidRDefault="00C44B44" w:rsidP="00192EC5">
      <w:pPr>
        <w:pStyle w:val="ListParagraph"/>
        <w:spacing w:line="480" w:lineRule="auto"/>
        <w:ind w:left="0" w:firstLine="720"/>
        <w:rPr>
          <w:rFonts w:ascii="Times New Roman" w:hAnsi="Times New Roman" w:cs="Times New Roman"/>
          <w:sz w:val="28"/>
          <w:szCs w:val="28"/>
        </w:rPr>
      </w:pPr>
      <w:r w:rsidRPr="00A14E00">
        <w:rPr>
          <w:rFonts w:ascii="Times New Roman" w:hAnsi="Times New Roman" w:cs="Times New Roman"/>
          <w:sz w:val="28"/>
          <w:szCs w:val="28"/>
        </w:rPr>
        <w:t>Finally, members considered the comment filed by Kent P. Volkmer, the Pinal County Attorney.  A member of that office was present</w:t>
      </w:r>
      <w:r w:rsidR="003922AE">
        <w:rPr>
          <w:rFonts w:ascii="Times New Roman" w:hAnsi="Times New Roman" w:cs="Times New Roman"/>
          <w:sz w:val="28"/>
          <w:szCs w:val="28"/>
        </w:rPr>
        <w:t xml:space="preserve"> </w:t>
      </w:r>
      <w:r w:rsidRPr="00A14E00">
        <w:rPr>
          <w:rFonts w:ascii="Times New Roman" w:hAnsi="Times New Roman" w:cs="Times New Roman"/>
          <w:sz w:val="28"/>
          <w:szCs w:val="28"/>
        </w:rPr>
        <w:t xml:space="preserve">during the </w:t>
      </w:r>
      <w:r w:rsidR="003922AE">
        <w:rPr>
          <w:rFonts w:ascii="Times New Roman" w:hAnsi="Times New Roman" w:cs="Times New Roman"/>
          <w:sz w:val="28"/>
          <w:szCs w:val="28"/>
        </w:rPr>
        <w:t xml:space="preserve">March 22 Task Force </w:t>
      </w:r>
      <w:r w:rsidRPr="00A14E00">
        <w:rPr>
          <w:rFonts w:ascii="Times New Roman" w:hAnsi="Times New Roman" w:cs="Times New Roman"/>
          <w:sz w:val="28"/>
          <w:szCs w:val="28"/>
        </w:rPr>
        <w:t>meeting and provided additional input concerning that comment.  The first section of the comment, concerning Rules 32.1(c) and 33.1(c), was addressed by modifications members made to those rules earlier in the meeting.</w:t>
      </w:r>
      <w:r w:rsidR="007D16EB">
        <w:rPr>
          <w:rFonts w:ascii="Times New Roman" w:hAnsi="Times New Roman" w:cs="Times New Roman"/>
          <w:sz w:val="28"/>
          <w:szCs w:val="28"/>
        </w:rPr>
        <w:t xml:space="preserve"> </w:t>
      </w:r>
      <w:r w:rsidRPr="00A14E00">
        <w:rPr>
          <w:rFonts w:ascii="Times New Roman" w:hAnsi="Times New Roman" w:cs="Times New Roman"/>
          <w:sz w:val="28"/>
          <w:szCs w:val="28"/>
        </w:rPr>
        <w:t xml:space="preserve"> </w:t>
      </w:r>
      <w:r w:rsidR="003922AE">
        <w:rPr>
          <w:rFonts w:ascii="Times New Roman" w:hAnsi="Times New Roman" w:cs="Times New Roman"/>
          <w:sz w:val="28"/>
          <w:szCs w:val="28"/>
        </w:rPr>
        <w:t xml:space="preserve">See the discussion at pages 5-6, </w:t>
      </w:r>
      <w:r w:rsidR="003922AE" w:rsidRPr="003922AE">
        <w:rPr>
          <w:rFonts w:ascii="Times New Roman" w:hAnsi="Times New Roman" w:cs="Times New Roman"/>
          <w:i/>
          <w:sz w:val="28"/>
          <w:szCs w:val="28"/>
        </w:rPr>
        <w:t>infra</w:t>
      </w:r>
      <w:r w:rsidR="003922AE">
        <w:rPr>
          <w:rFonts w:ascii="Times New Roman" w:hAnsi="Times New Roman" w:cs="Times New Roman"/>
          <w:sz w:val="28"/>
          <w:szCs w:val="28"/>
        </w:rPr>
        <w:t xml:space="preserve">.  </w:t>
      </w:r>
      <w:r w:rsidRPr="00A14E00">
        <w:rPr>
          <w:rFonts w:ascii="Times New Roman" w:hAnsi="Times New Roman" w:cs="Times New Roman"/>
          <w:sz w:val="28"/>
          <w:szCs w:val="28"/>
        </w:rPr>
        <w:t xml:space="preserve">The deputy Pinal County Attorney who was present </w:t>
      </w:r>
      <w:r w:rsidR="009D0C73">
        <w:rPr>
          <w:rFonts w:ascii="Times New Roman" w:hAnsi="Times New Roman" w:cs="Times New Roman"/>
          <w:sz w:val="28"/>
          <w:szCs w:val="28"/>
        </w:rPr>
        <w:t xml:space="preserve">at the meeting </w:t>
      </w:r>
      <w:r w:rsidRPr="00A14E00">
        <w:rPr>
          <w:rFonts w:ascii="Times New Roman" w:hAnsi="Times New Roman" w:cs="Times New Roman"/>
          <w:sz w:val="28"/>
          <w:szCs w:val="28"/>
        </w:rPr>
        <w:t>opposed Rules 32.4(b)(3)(D) and 33.4(b)(3)(D)</w:t>
      </w:r>
      <w:r w:rsidR="0030211A">
        <w:rPr>
          <w:rFonts w:ascii="Times New Roman" w:hAnsi="Times New Roman" w:cs="Times New Roman"/>
          <w:sz w:val="28"/>
          <w:szCs w:val="28"/>
        </w:rPr>
        <w:t xml:space="preserve">, which </w:t>
      </w:r>
      <w:r w:rsidRPr="00A14E00">
        <w:rPr>
          <w:rFonts w:ascii="Times New Roman" w:hAnsi="Times New Roman" w:cs="Times New Roman"/>
          <w:sz w:val="28"/>
          <w:szCs w:val="28"/>
        </w:rPr>
        <w:t>require the court to excuse an untimely notice if the defendant provides an adequate explanation; the Pinal County Attorney believes this should be discretionary.  The Pinal County Attorney also opposed Rule</w:t>
      </w:r>
      <w:r w:rsidR="0030211A">
        <w:rPr>
          <w:rFonts w:ascii="Times New Roman" w:hAnsi="Times New Roman" w:cs="Times New Roman"/>
          <w:sz w:val="28"/>
          <w:szCs w:val="28"/>
        </w:rPr>
        <w:t>s</w:t>
      </w:r>
      <w:r w:rsidRPr="00A14E00">
        <w:rPr>
          <w:rFonts w:ascii="Times New Roman" w:hAnsi="Times New Roman" w:cs="Times New Roman"/>
          <w:sz w:val="28"/>
          <w:szCs w:val="28"/>
        </w:rPr>
        <w:t xml:space="preserve"> 32.5(a) and 33.5(a) regarding the appointment of investigators and mitigation specialists </w:t>
      </w:r>
      <w:r w:rsidR="0030211A">
        <w:rPr>
          <w:rFonts w:ascii="Times New Roman" w:hAnsi="Times New Roman" w:cs="Times New Roman"/>
          <w:sz w:val="28"/>
          <w:szCs w:val="28"/>
        </w:rPr>
        <w:t>and contended</w:t>
      </w:r>
      <w:r w:rsidRPr="00A14E00">
        <w:rPr>
          <w:rFonts w:ascii="Times New Roman" w:hAnsi="Times New Roman" w:cs="Times New Roman"/>
          <w:sz w:val="28"/>
          <w:szCs w:val="28"/>
        </w:rPr>
        <w:t xml:space="preserve"> that the current rule does not require this expansion.  Members declined to reconsider their previous discussions and decisions concerning these </w:t>
      </w:r>
      <w:r w:rsidR="00A14E00" w:rsidRPr="00A14E00">
        <w:rPr>
          <w:rFonts w:ascii="Times New Roman" w:hAnsi="Times New Roman" w:cs="Times New Roman"/>
          <w:sz w:val="28"/>
          <w:szCs w:val="28"/>
        </w:rPr>
        <w:t>provisions</w:t>
      </w:r>
      <w:r w:rsidR="003C469B">
        <w:rPr>
          <w:rFonts w:ascii="Times New Roman" w:hAnsi="Times New Roman" w:cs="Times New Roman"/>
          <w:sz w:val="28"/>
          <w:szCs w:val="28"/>
        </w:rPr>
        <w:t xml:space="preserve">.  </w:t>
      </w:r>
      <w:r w:rsidRPr="00A14E00">
        <w:rPr>
          <w:rFonts w:ascii="Times New Roman" w:hAnsi="Times New Roman" w:cs="Times New Roman"/>
          <w:sz w:val="28"/>
          <w:szCs w:val="28"/>
        </w:rPr>
        <w:t xml:space="preserve">Similarly, </w:t>
      </w:r>
      <w:r w:rsidR="00A14E00" w:rsidRPr="00A14E00">
        <w:rPr>
          <w:rFonts w:ascii="Times New Roman" w:hAnsi="Times New Roman" w:cs="Times New Roman"/>
          <w:sz w:val="28"/>
          <w:szCs w:val="28"/>
        </w:rPr>
        <w:t>regarding</w:t>
      </w:r>
      <w:r w:rsidRPr="00A14E00">
        <w:rPr>
          <w:rFonts w:ascii="Times New Roman" w:hAnsi="Times New Roman" w:cs="Times New Roman"/>
          <w:sz w:val="28"/>
          <w:szCs w:val="28"/>
        </w:rPr>
        <w:t xml:space="preserve"> the portion of this comment concerning the discovery rules (Rules 32.6(b) and 33.6(b)), </w:t>
      </w:r>
      <w:r w:rsidR="00A14E00" w:rsidRPr="00A14E00">
        <w:rPr>
          <w:rFonts w:ascii="Times New Roman" w:hAnsi="Times New Roman" w:cs="Times New Roman"/>
          <w:sz w:val="28"/>
          <w:szCs w:val="28"/>
        </w:rPr>
        <w:t>Task Force members agreed that</w:t>
      </w:r>
      <w:r w:rsidRPr="00A14E00">
        <w:rPr>
          <w:rFonts w:ascii="Times New Roman" w:hAnsi="Times New Roman" w:cs="Times New Roman"/>
          <w:sz w:val="28"/>
          <w:szCs w:val="28"/>
        </w:rPr>
        <w:t xml:space="preserve"> </w:t>
      </w:r>
      <w:r w:rsidR="0030211A">
        <w:rPr>
          <w:rFonts w:ascii="Times New Roman" w:hAnsi="Times New Roman" w:cs="Times New Roman"/>
          <w:sz w:val="28"/>
          <w:szCs w:val="28"/>
        </w:rPr>
        <w:t>post-conviction discovery</w:t>
      </w:r>
      <w:r w:rsidRPr="00A14E00">
        <w:rPr>
          <w:rFonts w:ascii="Times New Roman" w:hAnsi="Times New Roman" w:cs="Times New Roman"/>
          <w:sz w:val="28"/>
          <w:szCs w:val="28"/>
        </w:rPr>
        <w:t xml:space="preserve"> had been extensively discussed at prior meetings, and Mr. Volkmer’s comment did not persuade </w:t>
      </w:r>
      <w:r w:rsidR="00A14E00" w:rsidRPr="00A14E00">
        <w:rPr>
          <w:rFonts w:ascii="Times New Roman" w:hAnsi="Times New Roman" w:cs="Times New Roman"/>
          <w:sz w:val="28"/>
          <w:szCs w:val="28"/>
        </w:rPr>
        <w:t xml:space="preserve">them </w:t>
      </w:r>
      <w:r w:rsidRPr="00A14E00">
        <w:rPr>
          <w:rFonts w:ascii="Times New Roman" w:hAnsi="Times New Roman" w:cs="Times New Roman"/>
          <w:sz w:val="28"/>
          <w:szCs w:val="28"/>
        </w:rPr>
        <w:t xml:space="preserve">to reconsider their views on </w:t>
      </w:r>
      <w:r w:rsidR="0030211A">
        <w:rPr>
          <w:rFonts w:ascii="Times New Roman" w:hAnsi="Times New Roman" w:cs="Times New Roman"/>
          <w:sz w:val="28"/>
          <w:szCs w:val="28"/>
        </w:rPr>
        <w:t>this subject</w:t>
      </w:r>
      <w:r w:rsidR="003C469B">
        <w:rPr>
          <w:rFonts w:ascii="Times New Roman" w:hAnsi="Times New Roman" w:cs="Times New Roman"/>
          <w:sz w:val="28"/>
          <w:szCs w:val="28"/>
        </w:rPr>
        <w:t>.</w:t>
      </w:r>
    </w:p>
    <w:p w14:paraId="6FD60BB4" w14:textId="07D0EE54" w:rsidR="00C44B44" w:rsidRPr="00A14E00" w:rsidRDefault="00A24388" w:rsidP="00192EC5">
      <w:pPr>
        <w:pStyle w:val="ListParagraph"/>
        <w:spacing w:line="480" w:lineRule="auto"/>
        <w:ind w:left="0" w:firstLine="720"/>
        <w:rPr>
          <w:rFonts w:ascii="Times New Roman" w:hAnsi="Times New Roman" w:cs="Times New Roman"/>
          <w:b/>
          <w:sz w:val="28"/>
          <w:szCs w:val="28"/>
          <w:u w:val="single"/>
        </w:rPr>
      </w:pPr>
      <w:r>
        <w:rPr>
          <w:rFonts w:ascii="Times New Roman" w:hAnsi="Times New Roman" w:cs="Times New Roman"/>
          <w:sz w:val="28"/>
          <w:szCs w:val="28"/>
        </w:rPr>
        <w:lastRenderedPageBreak/>
        <w:t xml:space="preserve">The </w:t>
      </w:r>
      <w:r w:rsidR="007D16EB">
        <w:rPr>
          <w:rFonts w:ascii="Times New Roman" w:hAnsi="Times New Roman" w:cs="Times New Roman"/>
          <w:sz w:val="28"/>
          <w:szCs w:val="28"/>
        </w:rPr>
        <w:t xml:space="preserve">Pinal County </w:t>
      </w:r>
      <w:r w:rsidR="0088309E">
        <w:rPr>
          <w:rFonts w:ascii="Times New Roman" w:hAnsi="Times New Roman" w:cs="Times New Roman"/>
          <w:sz w:val="28"/>
          <w:szCs w:val="28"/>
        </w:rPr>
        <w:t>D</w:t>
      </w:r>
      <w:r w:rsidR="0088309E" w:rsidRPr="00A14E00">
        <w:rPr>
          <w:rFonts w:ascii="Times New Roman" w:hAnsi="Times New Roman" w:cs="Times New Roman"/>
          <w:sz w:val="28"/>
          <w:szCs w:val="28"/>
        </w:rPr>
        <w:t xml:space="preserve">eputy </w:t>
      </w:r>
      <w:r w:rsidR="007D16EB">
        <w:rPr>
          <w:rFonts w:ascii="Times New Roman" w:hAnsi="Times New Roman" w:cs="Times New Roman"/>
          <w:sz w:val="28"/>
          <w:szCs w:val="28"/>
        </w:rPr>
        <w:t xml:space="preserve">Attorney </w:t>
      </w:r>
      <w:r w:rsidR="00C44B44" w:rsidRPr="00A14E00">
        <w:rPr>
          <w:rFonts w:ascii="Times New Roman" w:hAnsi="Times New Roman" w:cs="Times New Roman"/>
          <w:sz w:val="28"/>
          <w:szCs w:val="28"/>
        </w:rPr>
        <w:t xml:space="preserve">characterized the issue of the defendant’s post-conviction competence (Rules 32.11(d) and 33.11(d)) as a very complex issue, distinguished it from issues of defendant’s pretrial competence, and contended that it was difficult to capture the nuances of this </w:t>
      </w:r>
      <w:r w:rsidR="009A4B87">
        <w:rPr>
          <w:rFonts w:ascii="Times New Roman" w:hAnsi="Times New Roman" w:cs="Times New Roman"/>
          <w:sz w:val="28"/>
          <w:szCs w:val="28"/>
        </w:rPr>
        <w:t xml:space="preserve">issue in the context of </w:t>
      </w:r>
      <w:r w:rsidR="00C44B44" w:rsidRPr="00A14E00">
        <w:rPr>
          <w:rFonts w:ascii="Times New Roman" w:hAnsi="Times New Roman" w:cs="Times New Roman"/>
          <w:sz w:val="28"/>
          <w:szCs w:val="28"/>
        </w:rPr>
        <w:t xml:space="preserve">post-conviction </w:t>
      </w:r>
      <w:r w:rsidR="009A4B87">
        <w:rPr>
          <w:rFonts w:ascii="Times New Roman" w:hAnsi="Times New Roman" w:cs="Times New Roman"/>
          <w:sz w:val="28"/>
          <w:szCs w:val="28"/>
        </w:rPr>
        <w:t>proceedings</w:t>
      </w:r>
      <w:r w:rsidR="009A4B87" w:rsidRPr="00A14E00">
        <w:rPr>
          <w:rFonts w:ascii="Times New Roman" w:hAnsi="Times New Roman" w:cs="Times New Roman"/>
          <w:sz w:val="28"/>
          <w:szCs w:val="28"/>
        </w:rPr>
        <w:t xml:space="preserve"> </w:t>
      </w:r>
      <w:r w:rsidR="00C44B44" w:rsidRPr="00A14E00">
        <w:rPr>
          <w:rFonts w:ascii="Times New Roman" w:hAnsi="Times New Roman" w:cs="Times New Roman"/>
          <w:sz w:val="28"/>
          <w:szCs w:val="28"/>
        </w:rPr>
        <w:t xml:space="preserve">in a single sentence, as the proposed rules do.  </w:t>
      </w:r>
      <w:r w:rsidR="00A14E00" w:rsidRPr="00A14E00">
        <w:rPr>
          <w:rFonts w:ascii="Times New Roman" w:hAnsi="Times New Roman" w:cs="Times New Roman"/>
          <w:sz w:val="28"/>
          <w:szCs w:val="28"/>
        </w:rPr>
        <w:t xml:space="preserve">The deputy </w:t>
      </w:r>
      <w:r w:rsidR="00C44B44" w:rsidRPr="00A14E00">
        <w:rPr>
          <w:rFonts w:ascii="Times New Roman" w:hAnsi="Times New Roman" w:cs="Times New Roman"/>
          <w:sz w:val="28"/>
          <w:szCs w:val="28"/>
        </w:rPr>
        <w:t xml:space="preserve">believed that the proposed rule lacks standards and it </w:t>
      </w:r>
      <w:r w:rsidR="002B35BE">
        <w:rPr>
          <w:rFonts w:ascii="Times New Roman" w:hAnsi="Times New Roman" w:cs="Times New Roman"/>
          <w:sz w:val="28"/>
          <w:szCs w:val="28"/>
        </w:rPr>
        <w:t>would</w:t>
      </w:r>
      <w:r w:rsidR="00C44B44" w:rsidRPr="00A14E00">
        <w:rPr>
          <w:rFonts w:ascii="Times New Roman" w:hAnsi="Times New Roman" w:cs="Times New Roman"/>
          <w:sz w:val="28"/>
          <w:szCs w:val="28"/>
        </w:rPr>
        <w:t xml:space="preserve"> therefore </w:t>
      </w:r>
      <w:r w:rsidR="002B35BE">
        <w:rPr>
          <w:rFonts w:ascii="Times New Roman" w:hAnsi="Times New Roman" w:cs="Times New Roman"/>
          <w:sz w:val="28"/>
          <w:szCs w:val="28"/>
        </w:rPr>
        <w:t xml:space="preserve">be </w:t>
      </w:r>
      <w:r w:rsidR="00C44B44" w:rsidRPr="00A14E00">
        <w:rPr>
          <w:rFonts w:ascii="Times New Roman" w:hAnsi="Times New Roman" w:cs="Times New Roman"/>
          <w:sz w:val="28"/>
          <w:szCs w:val="28"/>
        </w:rPr>
        <w:t xml:space="preserve">difficult for experts to address the issue in the same manner </w:t>
      </w:r>
      <w:r w:rsidR="0030211A">
        <w:rPr>
          <w:rFonts w:ascii="Times New Roman" w:hAnsi="Times New Roman" w:cs="Times New Roman"/>
          <w:sz w:val="28"/>
          <w:szCs w:val="28"/>
        </w:rPr>
        <w:t>as</w:t>
      </w:r>
      <w:r w:rsidR="00C44B44" w:rsidRPr="00A14E00">
        <w:rPr>
          <w:rFonts w:ascii="Times New Roman" w:hAnsi="Times New Roman" w:cs="Times New Roman"/>
          <w:sz w:val="28"/>
          <w:szCs w:val="28"/>
        </w:rPr>
        <w:t xml:space="preserve"> </w:t>
      </w:r>
      <w:r w:rsidR="0030211A">
        <w:rPr>
          <w:rFonts w:ascii="Times New Roman" w:hAnsi="Times New Roman" w:cs="Times New Roman"/>
          <w:sz w:val="28"/>
          <w:szCs w:val="28"/>
        </w:rPr>
        <w:t>experts</w:t>
      </w:r>
      <w:r w:rsidR="00C44B44" w:rsidRPr="00A14E00">
        <w:rPr>
          <w:rFonts w:ascii="Times New Roman" w:hAnsi="Times New Roman" w:cs="Times New Roman"/>
          <w:sz w:val="28"/>
          <w:szCs w:val="28"/>
        </w:rPr>
        <w:t xml:space="preserve"> </w:t>
      </w:r>
      <w:r w:rsidR="0030211A">
        <w:rPr>
          <w:rFonts w:ascii="Times New Roman" w:hAnsi="Times New Roman" w:cs="Times New Roman"/>
          <w:sz w:val="28"/>
          <w:szCs w:val="28"/>
        </w:rPr>
        <w:t xml:space="preserve">in </w:t>
      </w:r>
      <w:r w:rsidR="00C44B44" w:rsidRPr="00A14E00">
        <w:rPr>
          <w:rFonts w:ascii="Times New Roman" w:hAnsi="Times New Roman" w:cs="Times New Roman"/>
          <w:sz w:val="28"/>
          <w:szCs w:val="28"/>
        </w:rPr>
        <w:t>pretrial</w:t>
      </w:r>
      <w:r w:rsidR="0030211A">
        <w:rPr>
          <w:rFonts w:ascii="Times New Roman" w:hAnsi="Times New Roman" w:cs="Times New Roman"/>
          <w:sz w:val="28"/>
          <w:szCs w:val="28"/>
        </w:rPr>
        <w:t xml:space="preserve"> proceedings</w:t>
      </w:r>
      <w:r w:rsidR="00C44B44" w:rsidRPr="00A14E00">
        <w:rPr>
          <w:rFonts w:ascii="Times New Roman" w:hAnsi="Times New Roman" w:cs="Times New Roman"/>
          <w:sz w:val="28"/>
          <w:szCs w:val="28"/>
        </w:rPr>
        <w:t xml:space="preserve">.  If the Task Force retains the provision, </w:t>
      </w:r>
      <w:r w:rsidR="00A14E00" w:rsidRPr="00A14E00">
        <w:rPr>
          <w:rFonts w:ascii="Times New Roman" w:hAnsi="Times New Roman" w:cs="Times New Roman"/>
          <w:sz w:val="28"/>
          <w:szCs w:val="28"/>
        </w:rPr>
        <w:t>the deputy</w:t>
      </w:r>
      <w:r w:rsidR="00C44B44" w:rsidRPr="00A14E00">
        <w:rPr>
          <w:rFonts w:ascii="Times New Roman" w:hAnsi="Times New Roman" w:cs="Times New Roman"/>
          <w:sz w:val="28"/>
          <w:szCs w:val="28"/>
        </w:rPr>
        <w:t xml:space="preserve"> suggested substituting the word “mental status” – which </w:t>
      </w:r>
      <w:r w:rsidR="00A14E00" w:rsidRPr="00A14E00">
        <w:rPr>
          <w:rFonts w:ascii="Times New Roman" w:hAnsi="Times New Roman" w:cs="Times New Roman"/>
          <w:sz w:val="28"/>
          <w:szCs w:val="28"/>
        </w:rPr>
        <w:t>the deputy</w:t>
      </w:r>
      <w:r w:rsidR="00C44B44" w:rsidRPr="00A14E00">
        <w:rPr>
          <w:rFonts w:ascii="Times New Roman" w:hAnsi="Times New Roman" w:cs="Times New Roman"/>
          <w:sz w:val="28"/>
          <w:szCs w:val="28"/>
        </w:rPr>
        <w:t xml:space="preserve"> believes is more flexible – for the word “competence.”  But members noted that </w:t>
      </w:r>
      <w:r w:rsidR="00FF38DD" w:rsidRPr="00A14E00">
        <w:rPr>
          <w:rFonts w:ascii="Times New Roman" w:hAnsi="Times New Roman" w:cs="Times New Roman"/>
          <w:sz w:val="28"/>
          <w:szCs w:val="28"/>
        </w:rPr>
        <w:t xml:space="preserve">they </w:t>
      </w:r>
      <w:r w:rsidR="00FF38DD">
        <w:rPr>
          <w:rFonts w:ascii="Times New Roman" w:hAnsi="Times New Roman" w:cs="Times New Roman"/>
          <w:sz w:val="28"/>
          <w:szCs w:val="28"/>
        </w:rPr>
        <w:t>had discussed Fitzgerald [</w:t>
      </w:r>
      <w:hyperlink r:id="rId8" w:tooltip="https://www.westlaw.com/Document/I13e83ad0a2e011e7ae06bb6d796f727f/View/FullText.html?transitionType=Default&amp;contextData=(sc.Default)&amp;VR=3.0&amp;RS=da3.0" w:history="1">
        <w:r w:rsidR="00FF38DD" w:rsidRPr="0095461F">
          <w:rPr>
            <w:rStyle w:val="Hyperlink"/>
            <w:rFonts w:ascii="Times New Roman" w:hAnsi="Times New Roman" w:cs="Times New Roman"/>
            <w:i/>
            <w:sz w:val="28"/>
            <w:szCs w:val="28"/>
          </w:rPr>
          <w:t>Fitzgerald v. Myers</w:t>
        </w:r>
        <w:r w:rsidR="00FF38DD" w:rsidRPr="0095461F">
          <w:rPr>
            <w:rStyle w:val="Hyperlink"/>
            <w:rFonts w:ascii="Times New Roman" w:hAnsi="Times New Roman" w:cs="Times New Roman"/>
            <w:sz w:val="28"/>
            <w:szCs w:val="28"/>
          </w:rPr>
          <w:t>,</w:t>
        </w:r>
        <w:r w:rsidR="00FF38DD" w:rsidRPr="002B75B1">
          <w:rPr>
            <w:rStyle w:val="Hyperlink"/>
            <w:rFonts w:ascii="Times New Roman" w:hAnsi="Times New Roman" w:cs="Times New Roman"/>
            <w:color w:val="auto"/>
            <w:sz w:val="28"/>
            <w:szCs w:val="28"/>
            <w:u w:val="none"/>
          </w:rPr>
          <w:t xml:space="preserve"> 243 Ariz. 84 (2017)</w:t>
        </w:r>
      </w:hyperlink>
      <w:r w:rsidR="00FF38DD">
        <w:rPr>
          <w:rStyle w:val="Hyperlink"/>
          <w:rFonts w:ascii="Times New Roman" w:hAnsi="Times New Roman" w:cs="Times New Roman"/>
          <w:color w:val="auto"/>
          <w:sz w:val="28"/>
          <w:szCs w:val="28"/>
          <w:u w:val="none"/>
        </w:rPr>
        <w:t>]</w:t>
      </w:r>
      <w:r w:rsidR="00FF38DD">
        <w:rPr>
          <w:rFonts w:ascii="Times New Roman" w:hAnsi="Times New Roman" w:cs="Times New Roman"/>
          <w:sz w:val="28"/>
          <w:szCs w:val="28"/>
        </w:rPr>
        <w:t xml:space="preserve"> at length during their prior meetings, and that </w:t>
      </w:r>
      <w:r w:rsidR="00C44B44" w:rsidRPr="00A14E00">
        <w:rPr>
          <w:rFonts w:ascii="Times New Roman" w:hAnsi="Times New Roman" w:cs="Times New Roman"/>
          <w:sz w:val="28"/>
          <w:szCs w:val="28"/>
        </w:rPr>
        <w:t xml:space="preserve">“competence” was the word used in </w:t>
      </w:r>
      <w:r w:rsidR="00FF38DD">
        <w:rPr>
          <w:rFonts w:ascii="Times New Roman" w:hAnsi="Times New Roman" w:cs="Times New Roman"/>
          <w:sz w:val="28"/>
          <w:szCs w:val="28"/>
        </w:rPr>
        <w:t>that</w:t>
      </w:r>
      <w:r w:rsidR="00C44B44" w:rsidRPr="00A14E00">
        <w:rPr>
          <w:rFonts w:ascii="Times New Roman" w:hAnsi="Times New Roman" w:cs="Times New Roman"/>
          <w:sz w:val="28"/>
          <w:szCs w:val="28"/>
        </w:rPr>
        <w:t xml:space="preserve"> opinion</w:t>
      </w:r>
      <w:r w:rsidR="009E519C">
        <w:rPr>
          <w:rFonts w:ascii="Times New Roman" w:hAnsi="Times New Roman" w:cs="Times New Roman"/>
          <w:sz w:val="28"/>
          <w:szCs w:val="28"/>
        </w:rPr>
        <w:t>.</w:t>
      </w:r>
      <w:r w:rsidR="00C44B44" w:rsidRPr="00A14E00">
        <w:rPr>
          <w:rFonts w:ascii="Times New Roman" w:hAnsi="Times New Roman" w:cs="Times New Roman"/>
          <w:sz w:val="28"/>
          <w:szCs w:val="28"/>
        </w:rPr>
        <w:t xml:space="preserve"> </w:t>
      </w:r>
      <w:r w:rsidR="009E519C">
        <w:rPr>
          <w:rFonts w:ascii="Times New Roman" w:hAnsi="Times New Roman" w:cs="Times New Roman"/>
          <w:sz w:val="28"/>
          <w:szCs w:val="28"/>
        </w:rPr>
        <w:t xml:space="preserve"> A</w:t>
      </w:r>
      <w:r w:rsidR="00FF38DD">
        <w:rPr>
          <w:rFonts w:ascii="Times New Roman" w:hAnsi="Times New Roman" w:cs="Times New Roman"/>
          <w:sz w:val="28"/>
          <w:szCs w:val="28"/>
        </w:rPr>
        <w:t>ccordingly</w:t>
      </w:r>
      <w:r w:rsidR="009E519C">
        <w:rPr>
          <w:rFonts w:ascii="Times New Roman" w:hAnsi="Times New Roman" w:cs="Times New Roman"/>
          <w:sz w:val="28"/>
          <w:szCs w:val="28"/>
        </w:rPr>
        <w:t>, they</w:t>
      </w:r>
      <w:r w:rsidR="00FF38DD">
        <w:rPr>
          <w:rFonts w:ascii="Times New Roman" w:hAnsi="Times New Roman" w:cs="Times New Roman"/>
          <w:sz w:val="28"/>
          <w:szCs w:val="28"/>
        </w:rPr>
        <w:t xml:space="preserve"> </w:t>
      </w:r>
      <w:r w:rsidR="00C44B44" w:rsidRPr="00A14E00">
        <w:rPr>
          <w:rFonts w:ascii="Times New Roman" w:hAnsi="Times New Roman" w:cs="Times New Roman"/>
          <w:sz w:val="28"/>
          <w:szCs w:val="28"/>
        </w:rPr>
        <w:t xml:space="preserve">declined to make changes to </w:t>
      </w:r>
      <w:r w:rsidR="00BA4E4F">
        <w:rPr>
          <w:rFonts w:ascii="Times New Roman" w:hAnsi="Times New Roman" w:cs="Times New Roman"/>
          <w:sz w:val="28"/>
          <w:szCs w:val="28"/>
        </w:rPr>
        <w:t xml:space="preserve">the wording of </w:t>
      </w:r>
      <w:r w:rsidR="00C44B44" w:rsidRPr="00A14E00">
        <w:rPr>
          <w:rFonts w:ascii="Times New Roman" w:hAnsi="Times New Roman" w:cs="Times New Roman"/>
          <w:sz w:val="28"/>
          <w:szCs w:val="28"/>
        </w:rPr>
        <w:t>this provision.</w:t>
      </w:r>
    </w:p>
    <w:p w14:paraId="50849C48" w14:textId="61947BF3" w:rsidR="00581F30" w:rsidRPr="0095461F" w:rsidRDefault="00A14E00" w:rsidP="00A14E00">
      <w:pPr>
        <w:pStyle w:val="ListParagraph"/>
        <w:numPr>
          <w:ilvl w:val="0"/>
          <w:numId w:val="2"/>
        </w:numPr>
        <w:spacing w:line="480" w:lineRule="auto"/>
        <w:ind w:left="0" w:firstLine="720"/>
        <w:rPr>
          <w:rFonts w:ascii="Times New Roman" w:hAnsi="Times New Roman" w:cs="Times New Roman"/>
          <w:sz w:val="28"/>
          <w:szCs w:val="28"/>
        </w:rPr>
      </w:pPr>
      <w:r>
        <w:rPr>
          <w:rFonts w:ascii="Times New Roman" w:hAnsi="Times New Roman" w:cs="Times New Roman"/>
          <w:b/>
          <w:sz w:val="28"/>
          <w:szCs w:val="28"/>
          <w:u w:val="single"/>
        </w:rPr>
        <w:t xml:space="preserve">Changes </w:t>
      </w:r>
      <w:r w:rsidR="00775C52">
        <w:rPr>
          <w:rFonts w:ascii="Times New Roman" w:hAnsi="Times New Roman" w:cs="Times New Roman"/>
          <w:b/>
          <w:sz w:val="28"/>
          <w:szCs w:val="28"/>
          <w:u w:val="single"/>
        </w:rPr>
        <w:t>to Rule</w:t>
      </w:r>
      <w:r w:rsidR="001E4DA0">
        <w:rPr>
          <w:rFonts w:ascii="Times New Roman" w:hAnsi="Times New Roman" w:cs="Times New Roman"/>
          <w:b/>
          <w:sz w:val="28"/>
          <w:szCs w:val="28"/>
          <w:u w:val="single"/>
        </w:rPr>
        <w:t xml:space="preserve"> 32 </w:t>
      </w:r>
      <w:r>
        <w:rPr>
          <w:rFonts w:ascii="Times New Roman" w:hAnsi="Times New Roman" w:cs="Times New Roman"/>
          <w:b/>
          <w:sz w:val="28"/>
          <w:szCs w:val="28"/>
          <w:u w:val="single"/>
        </w:rPr>
        <w:t>on the Task Force’s initiative</w:t>
      </w:r>
      <w:r w:rsidR="00750AAC" w:rsidRPr="0095461F">
        <w:rPr>
          <w:rFonts w:ascii="Times New Roman" w:hAnsi="Times New Roman" w:cs="Times New Roman"/>
          <w:b/>
          <w:sz w:val="28"/>
          <w:szCs w:val="28"/>
          <w:u w:val="single"/>
        </w:rPr>
        <w:t>.</w:t>
      </w:r>
      <w:r w:rsidR="00750AAC" w:rsidRPr="002B2E28">
        <w:rPr>
          <w:rFonts w:ascii="Times New Roman" w:hAnsi="Times New Roman" w:cs="Times New Roman"/>
          <w:sz w:val="28"/>
          <w:szCs w:val="28"/>
        </w:rPr>
        <w:t xml:space="preserve"> </w:t>
      </w:r>
      <w:r w:rsidR="001B2626" w:rsidRPr="002B2E28">
        <w:rPr>
          <w:rFonts w:ascii="Times New Roman" w:hAnsi="Times New Roman" w:cs="Times New Roman"/>
          <w:sz w:val="28"/>
          <w:szCs w:val="28"/>
        </w:rPr>
        <w:t xml:space="preserve"> </w:t>
      </w:r>
      <w:r>
        <w:rPr>
          <w:rFonts w:ascii="Times New Roman" w:hAnsi="Times New Roman" w:cs="Times New Roman"/>
          <w:sz w:val="28"/>
          <w:szCs w:val="28"/>
        </w:rPr>
        <w:t xml:space="preserve">Task Force members carefully reviewed their January work product and concluded that several changes were warranted.  The proposed changes noted below are those agreed to by the members.  </w:t>
      </w:r>
      <w:r w:rsidR="003F5F58">
        <w:rPr>
          <w:rFonts w:ascii="Times New Roman" w:hAnsi="Times New Roman" w:cs="Times New Roman"/>
          <w:sz w:val="28"/>
          <w:szCs w:val="28"/>
        </w:rPr>
        <w:t xml:space="preserve">Members considered </w:t>
      </w:r>
      <w:r>
        <w:rPr>
          <w:rFonts w:ascii="Times New Roman" w:hAnsi="Times New Roman" w:cs="Times New Roman"/>
          <w:sz w:val="28"/>
          <w:szCs w:val="28"/>
        </w:rPr>
        <w:t xml:space="preserve">other changes at the March 22 meeting </w:t>
      </w:r>
      <w:r w:rsidR="003F5F58">
        <w:rPr>
          <w:rFonts w:ascii="Times New Roman" w:hAnsi="Times New Roman" w:cs="Times New Roman"/>
          <w:sz w:val="28"/>
          <w:szCs w:val="28"/>
        </w:rPr>
        <w:t>that they rejected</w:t>
      </w:r>
      <w:r w:rsidR="00454737">
        <w:rPr>
          <w:rFonts w:ascii="Times New Roman" w:hAnsi="Times New Roman" w:cs="Times New Roman"/>
          <w:sz w:val="28"/>
          <w:szCs w:val="28"/>
        </w:rPr>
        <w:t xml:space="preserve">.  A few of the rejected items are noted below; all </w:t>
      </w:r>
      <w:r w:rsidR="003F5F58">
        <w:rPr>
          <w:rFonts w:ascii="Times New Roman" w:hAnsi="Times New Roman" w:cs="Times New Roman"/>
          <w:sz w:val="28"/>
          <w:szCs w:val="28"/>
        </w:rPr>
        <w:t xml:space="preserve">the </w:t>
      </w:r>
      <w:r w:rsidR="00454737">
        <w:rPr>
          <w:rFonts w:ascii="Times New Roman" w:hAnsi="Times New Roman" w:cs="Times New Roman"/>
          <w:sz w:val="28"/>
          <w:szCs w:val="28"/>
        </w:rPr>
        <w:t xml:space="preserve">rejected </w:t>
      </w:r>
      <w:r w:rsidR="003F5F58">
        <w:rPr>
          <w:rFonts w:ascii="Times New Roman" w:hAnsi="Times New Roman" w:cs="Times New Roman"/>
          <w:sz w:val="28"/>
          <w:szCs w:val="28"/>
        </w:rPr>
        <w:t xml:space="preserve">changes are </w:t>
      </w:r>
      <w:r w:rsidR="0030211A">
        <w:rPr>
          <w:rFonts w:ascii="Times New Roman" w:hAnsi="Times New Roman" w:cs="Times New Roman"/>
          <w:sz w:val="28"/>
          <w:szCs w:val="28"/>
        </w:rPr>
        <w:t xml:space="preserve">documented </w:t>
      </w:r>
      <w:r w:rsidR="003F5F58">
        <w:rPr>
          <w:rFonts w:ascii="Times New Roman" w:hAnsi="Times New Roman" w:cs="Times New Roman"/>
          <w:sz w:val="28"/>
          <w:szCs w:val="28"/>
        </w:rPr>
        <w:t>in the draft minutes of that meeting.</w:t>
      </w:r>
    </w:p>
    <w:p w14:paraId="53731574" w14:textId="19955B62" w:rsidR="003F5F58" w:rsidRPr="003F5F58" w:rsidRDefault="00775C52" w:rsidP="003F5F58">
      <w:pPr>
        <w:spacing w:line="480" w:lineRule="auto"/>
        <w:ind w:firstLine="720"/>
        <w:jc w:val="both"/>
        <w:rPr>
          <w:sz w:val="28"/>
          <w:szCs w:val="28"/>
        </w:rPr>
      </w:pPr>
      <w:r>
        <w:rPr>
          <w:b/>
          <w:i/>
          <w:sz w:val="28"/>
          <w:szCs w:val="28"/>
        </w:rPr>
        <w:lastRenderedPageBreak/>
        <w:t>R</w:t>
      </w:r>
      <w:r w:rsidR="003F5F58" w:rsidRPr="003F5F58">
        <w:rPr>
          <w:b/>
          <w:i/>
          <w:sz w:val="28"/>
          <w:szCs w:val="28"/>
        </w:rPr>
        <w:t>ule 32.1 (“scope of remedy/grounds for relief”):</w:t>
      </w:r>
      <w:r w:rsidR="003F5F58" w:rsidRPr="00A24388">
        <w:rPr>
          <w:sz w:val="28"/>
          <w:szCs w:val="28"/>
        </w:rPr>
        <w:t xml:space="preserve">  </w:t>
      </w:r>
      <w:r w:rsidR="003F5F58" w:rsidRPr="003F5F58">
        <w:rPr>
          <w:sz w:val="28"/>
          <w:szCs w:val="28"/>
        </w:rPr>
        <w:t xml:space="preserve">Members had concerns whether Rules 32.1(c) and (d) were sufficiently differentiated.  To further clarify section (c), members deleted the words “by the judge or as computed by the Arizona Department of Corrections.”  The words “by the judge” were previously added to section (c) only in juxtaposition to the </w:t>
      </w:r>
      <w:r w:rsidR="00966BF9">
        <w:rPr>
          <w:sz w:val="28"/>
          <w:szCs w:val="28"/>
        </w:rPr>
        <w:t>“</w:t>
      </w:r>
      <w:r w:rsidR="0030211A">
        <w:rPr>
          <w:sz w:val="28"/>
          <w:szCs w:val="28"/>
        </w:rPr>
        <w:t>Department of Corrections</w:t>
      </w:r>
      <w:r w:rsidR="003F5F58" w:rsidRPr="003F5F58">
        <w:rPr>
          <w:sz w:val="28"/>
          <w:szCs w:val="28"/>
        </w:rPr>
        <w:t>,</w:t>
      </w:r>
      <w:r w:rsidR="00966BF9">
        <w:rPr>
          <w:sz w:val="28"/>
          <w:szCs w:val="28"/>
        </w:rPr>
        <w:t>”</w:t>
      </w:r>
      <w:r w:rsidR="003F5F58" w:rsidRPr="003F5F58">
        <w:rPr>
          <w:sz w:val="28"/>
          <w:szCs w:val="28"/>
        </w:rPr>
        <w:t xml:space="preserve"> </w:t>
      </w:r>
      <w:r w:rsidR="00966BF9">
        <w:rPr>
          <w:sz w:val="28"/>
          <w:szCs w:val="28"/>
        </w:rPr>
        <w:t>which</w:t>
      </w:r>
      <w:r w:rsidR="0030211A">
        <w:rPr>
          <w:sz w:val="28"/>
          <w:szCs w:val="28"/>
        </w:rPr>
        <w:t xml:space="preserve"> has </w:t>
      </w:r>
      <w:r w:rsidR="003F5F58" w:rsidRPr="003F5F58">
        <w:rPr>
          <w:sz w:val="28"/>
          <w:szCs w:val="28"/>
        </w:rPr>
        <w:t xml:space="preserve">been deleted.  Section (c) now simply says, “the sentence as imposed is not authorized by law.”  A defendant held after the sentence expired </w:t>
      </w:r>
      <w:r w:rsidR="00C524F9">
        <w:rPr>
          <w:sz w:val="28"/>
          <w:szCs w:val="28"/>
        </w:rPr>
        <w:t xml:space="preserve">or who will be held after the sentence expires </w:t>
      </w:r>
      <w:r w:rsidR="003F5F58" w:rsidRPr="003F5F58">
        <w:rPr>
          <w:sz w:val="28"/>
          <w:szCs w:val="28"/>
        </w:rPr>
        <w:t xml:space="preserve">would encompass </w:t>
      </w:r>
      <w:r w:rsidR="0030211A">
        <w:rPr>
          <w:sz w:val="28"/>
          <w:szCs w:val="28"/>
        </w:rPr>
        <w:t xml:space="preserve">situations </w:t>
      </w:r>
      <w:r w:rsidR="000D4EB4">
        <w:rPr>
          <w:sz w:val="28"/>
          <w:szCs w:val="28"/>
        </w:rPr>
        <w:t>in which</w:t>
      </w:r>
      <w:r w:rsidR="003F5F58" w:rsidRPr="003F5F58">
        <w:rPr>
          <w:sz w:val="28"/>
          <w:szCs w:val="28"/>
        </w:rPr>
        <w:t xml:space="preserve"> ADOC </w:t>
      </w:r>
      <w:r w:rsidR="000D4EB4">
        <w:rPr>
          <w:sz w:val="28"/>
          <w:szCs w:val="28"/>
        </w:rPr>
        <w:t xml:space="preserve">has </w:t>
      </w:r>
      <w:r w:rsidR="003F5F58" w:rsidRPr="003F5F58">
        <w:rPr>
          <w:sz w:val="28"/>
          <w:szCs w:val="28"/>
        </w:rPr>
        <w:t>miscalculat</w:t>
      </w:r>
      <w:r w:rsidR="000D4EB4">
        <w:rPr>
          <w:sz w:val="28"/>
          <w:szCs w:val="28"/>
        </w:rPr>
        <w:t>ed</w:t>
      </w:r>
      <w:r w:rsidR="003F5F58" w:rsidRPr="003F5F58">
        <w:rPr>
          <w:sz w:val="28"/>
          <w:szCs w:val="28"/>
        </w:rPr>
        <w:t xml:space="preserve"> the release date, so section (d) is accurate without additional modifications.  With the changes described in this paragraph, the comment to Rule 32.1(d) now makes sense and members made no further changes.</w:t>
      </w:r>
    </w:p>
    <w:p w14:paraId="010AEB38" w14:textId="78C13321" w:rsidR="003F5F58" w:rsidRPr="003F5F58" w:rsidRDefault="003F5F58" w:rsidP="003F5F58">
      <w:pPr>
        <w:spacing w:line="480" w:lineRule="auto"/>
        <w:ind w:firstLine="720"/>
        <w:jc w:val="both"/>
        <w:rPr>
          <w:sz w:val="28"/>
          <w:szCs w:val="28"/>
        </w:rPr>
      </w:pPr>
      <w:r w:rsidRPr="003F5F58">
        <w:rPr>
          <w:b/>
          <w:i/>
          <w:sz w:val="28"/>
          <w:szCs w:val="28"/>
        </w:rPr>
        <w:t>Rule 32.2 (“preclusion of remedy”):</w:t>
      </w:r>
      <w:r w:rsidRPr="003F5F58">
        <w:rPr>
          <w:sz w:val="28"/>
          <w:szCs w:val="28"/>
        </w:rPr>
        <w:t xml:space="preserve">  </w:t>
      </w:r>
      <w:r>
        <w:rPr>
          <w:sz w:val="28"/>
          <w:szCs w:val="28"/>
        </w:rPr>
        <w:t>T</w:t>
      </w:r>
      <w:r w:rsidRPr="003F5F58">
        <w:rPr>
          <w:sz w:val="28"/>
          <w:szCs w:val="28"/>
        </w:rPr>
        <w:t>he proposed language in</w:t>
      </w:r>
      <w:r>
        <w:rPr>
          <w:sz w:val="28"/>
          <w:szCs w:val="28"/>
        </w:rPr>
        <w:t xml:space="preserve"> the January version of</w:t>
      </w:r>
      <w:r w:rsidRPr="003F5F58">
        <w:rPr>
          <w:sz w:val="28"/>
          <w:szCs w:val="28"/>
        </w:rPr>
        <w:t xml:space="preserve"> Rule 32.2(b)  [“c</w:t>
      </w:r>
      <w:r w:rsidRPr="003F5F58">
        <w:rPr>
          <w:w w:val="110"/>
          <w:sz w:val="28"/>
          <w:szCs w:val="28"/>
        </w:rPr>
        <w:t xml:space="preserve">laims for relief based on Rule 32.1(b) through (h) are not subject to preclusion…”] </w:t>
      </w:r>
      <w:r w:rsidRPr="003F5F58">
        <w:rPr>
          <w:sz w:val="28"/>
          <w:szCs w:val="28"/>
        </w:rPr>
        <w:t xml:space="preserve">is inaccurate because it does not subject (b) through (h) claims to the effect of preclusion if, for example, a (b) through (h) claim was previously adjudicated on appeal.  </w:t>
      </w:r>
      <w:r w:rsidR="00934F60">
        <w:rPr>
          <w:sz w:val="28"/>
          <w:szCs w:val="28"/>
        </w:rPr>
        <w:t>To correct this, m</w:t>
      </w:r>
      <w:r w:rsidRPr="003F5F58">
        <w:rPr>
          <w:sz w:val="28"/>
          <w:szCs w:val="28"/>
        </w:rPr>
        <w:t xml:space="preserve">embers </w:t>
      </w:r>
      <w:r>
        <w:rPr>
          <w:sz w:val="28"/>
          <w:szCs w:val="28"/>
        </w:rPr>
        <w:t>agreed to add</w:t>
      </w:r>
      <w:r w:rsidRPr="003F5F58">
        <w:rPr>
          <w:sz w:val="28"/>
          <w:szCs w:val="28"/>
        </w:rPr>
        <w:t xml:space="preserve"> “(3)” to the first sentence of Rule 32.2(b) so it read</w:t>
      </w:r>
      <w:r>
        <w:rPr>
          <w:sz w:val="28"/>
          <w:szCs w:val="28"/>
        </w:rPr>
        <w:t>s</w:t>
      </w:r>
      <w:r w:rsidRPr="003F5F58">
        <w:rPr>
          <w:sz w:val="28"/>
          <w:szCs w:val="28"/>
        </w:rPr>
        <w:t>, “claims for relief based on Rule 32.1(b) through (h) are not subject to preclusion under Rule 32.2(a)</w:t>
      </w:r>
      <w:r w:rsidRPr="003F5F58">
        <w:rPr>
          <w:sz w:val="28"/>
          <w:szCs w:val="28"/>
          <w:u w:val="single"/>
        </w:rPr>
        <w:t>(3)</w:t>
      </w:r>
      <w:r w:rsidRPr="003F5F58">
        <w:rPr>
          <w:sz w:val="28"/>
          <w:szCs w:val="28"/>
        </w:rPr>
        <w:t xml:space="preserve">.” </w:t>
      </w:r>
      <w:r w:rsidR="00FF38DD">
        <w:rPr>
          <w:sz w:val="28"/>
          <w:szCs w:val="28"/>
        </w:rPr>
        <w:t xml:space="preserve"> With this modification, (b) through (h) claims </w:t>
      </w:r>
      <w:r w:rsidR="00D95F5D">
        <w:rPr>
          <w:sz w:val="28"/>
          <w:szCs w:val="28"/>
        </w:rPr>
        <w:t>would be</w:t>
      </w:r>
      <w:r w:rsidR="00FF38DD">
        <w:rPr>
          <w:sz w:val="28"/>
          <w:szCs w:val="28"/>
        </w:rPr>
        <w:t xml:space="preserve"> subject to preclusion under Rule 32.2(a)(1) (i.e., still raiseable on appeal or in a post-trial motion) and under Rule </w:t>
      </w:r>
      <w:r w:rsidR="00FF38DD">
        <w:rPr>
          <w:sz w:val="28"/>
          <w:szCs w:val="28"/>
        </w:rPr>
        <w:lastRenderedPageBreak/>
        <w:t>32.2(a)(2) (previously adjudicated on the merits</w:t>
      </w:r>
      <w:r w:rsidR="00D95F5D">
        <w:rPr>
          <w:sz w:val="28"/>
          <w:szCs w:val="28"/>
        </w:rPr>
        <w:t xml:space="preserve">). </w:t>
      </w:r>
      <w:r w:rsidR="00FF38DD">
        <w:rPr>
          <w:sz w:val="28"/>
          <w:szCs w:val="28"/>
        </w:rPr>
        <w:t xml:space="preserve"> </w:t>
      </w:r>
      <w:r w:rsidR="008121AF">
        <w:rPr>
          <w:sz w:val="28"/>
          <w:szCs w:val="28"/>
        </w:rPr>
        <w:t>But (b) through (h) claim</w:t>
      </w:r>
      <w:r w:rsidR="009E519C">
        <w:rPr>
          <w:sz w:val="28"/>
          <w:szCs w:val="28"/>
        </w:rPr>
        <w:t>s</w:t>
      </w:r>
      <w:r w:rsidR="008121AF">
        <w:rPr>
          <w:sz w:val="28"/>
          <w:szCs w:val="28"/>
        </w:rPr>
        <w:t xml:space="preserve"> </w:t>
      </w:r>
      <w:r w:rsidR="009E519C">
        <w:rPr>
          <w:sz w:val="28"/>
          <w:szCs w:val="28"/>
        </w:rPr>
        <w:t>are</w:t>
      </w:r>
      <w:r w:rsidR="008121AF">
        <w:rPr>
          <w:sz w:val="28"/>
          <w:szCs w:val="28"/>
        </w:rPr>
        <w:t xml:space="preserve"> not waived by </w:t>
      </w:r>
      <w:r w:rsidR="009E519C">
        <w:rPr>
          <w:sz w:val="28"/>
          <w:szCs w:val="28"/>
        </w:rPr>
        <w:t xml:space="preserve">the defendant’s failure </w:t>
      </w:r>
      <w:r w:rsidR="008121AF">
        <w:rPr>
          <w:sz w:val="28"/>
          <w:szCs w:val="28"/>
        </w:rPr>
        <w:t xml:space="preserve">to previously raise </w:t>
      </w:r>
      <w:r w:rsidR="00184329">
        <w:rPr>
          <w:sz w:val="28"/>
          <w:szCs w:val="28"/>
        </w:rPr>
        <w:t xml:space="preserve">the claim </w:t>
      </w:r>
      <w:r w:rsidR="008121AF">
        <w:rPr>
          <w:sz w:val="28"/>
          <w:szCs w:val="28"/>
        </w:rPr>
        <w:t>at trial, on appeal, or in a pr</w:t>
      </w:r>
      <w:r w:rsidR="00815240">
        <w:rPr>
          <w:sz w:val="28"/>
          <w:szCs w:val="28"/>
        </w:rPr>
        <w:t>ior post-conviction proceeding.</w:t>
      </w:r>
    </w:p>
    <w:p w14:paraId="4D819CDB" w14:textId="1847D0DC" w:rsidR="009D0C73" w:rsidRDefault="003F5F58" w:rsidP="003F5F58">
      <w:pPr>
        <w:spacing w:line="480" w:lineRule="auto"/>
        <w:ind w:firstLine="720"/>
        <w:jc w:val="both"/>
        <w:rPr>
          <w:sz w:val="28"/>
          <w:szCs w:val="28"/>
        </w:rPr>
      </w:pPr>
      <w:r w:rsidRPr="003F5F58">
        <w:rPr>
          <w:b/>
          <w:i/>
          <w:sz w:val="28"/>
          <w:szCs w:val="28"/>
        </w:rPr>
        <w:t>Rule 32.5 (“appointment of counsel”):</w:t>
      </w:r>
      <w:r w:rsidRPr="003F5F58">
        <w:rPr>
          <w:sz w:val="28"/>
          <w:szCs w:val="28"/>
        </w:rPr>
        <w:t xml:space="preserve">  </w:t>
      </w:r>
      <w:r w:rsidR="006F7FCB">
        <w:rPr>
          <w:sz w:val="28"/>
          <w:szCs w:val="28"/>
        </w:rPr>
        <w:t>The</w:t>
      </w:r>
      <w:r w:rsidRPr="003F5F58">
        <w:rPr>
          <w:sz w:val="28"/>
          <w:szCs w:val="28"/>
        </w:rPr>
        <w:t xml:space="preserve"> formatting of Ru</w:t>
      </w:r>
      <w:r w:rsidR="006F7FCB">
        <w:rPr>
          <w:sz w:val="28"/>
          <w:szCs w:val="28"/>
        </w:rPr>
        <w:t>les 32.5(a) and 33.5(a) varied, and m</w:t>
      </w:r>
      <w:r w:rsidRPr="003F5F58">
        <w:rPr>
          <w:sz w:val="28"/>
          <w:szCs w:val="28"/>
        </w:rPr>
        <w:t>embers agree</w:t>
      </w:r>
      <w:r w:rsidR="006F7FCB">
        <w:rPr>
          <w:sz w:val="28"/>
          <w:szCs w:val="28"/>
        </w:rPr>
        <w:t xml:space="preserve">d that they should be identical. </w:t>
      </w:r>
      <w:r w:rsidRPr="003F5F58">
        <w:rPr>
          <w:sz w:val="28"/>
          <w:szCs w:val="28"/>
        </w:rPr>
        <w:t xml:space="preserve"> Rule 3</w:t>
      </w:r>
      <w:r w:rsidRPr="0088309E">
        <w:rPr>
          <w:sz w:val="28"/>
          <w:szCs w:val="28"/>
        </w:rPr>
        <w:t>3</w:t>
      </w:r>
      <w:r w:rsidRPr="003F5F58">
        <w:rPr>
          <w:sz w:val="28"/>
          <w:szCs w:val="28"/>
        </w:rPr>
        <w:t>.5(a) was reformatted accordingly.  In addition, a sentence that appeared only in Rule 33.5(a) [“Upon filing of all other Rule 32 notices, the presiding judge may appoint counsel for an indigent defendant”] was added to Rule 32.5(a).  Members discussed whether “may” was appropriate in the foregoing provision, or whether it should be “must.”  Judges noted that self-represented litigants in successive proceedings customarily request the appointment of counsel, even when an appointment is not warranted</w:t>
      </w:r>
      <w:r w:rsidR="00240813">
        <w:rPr>
          <w:sz w:val="28"/>
          <w:szCs w:val="28"/>
        </w:rPr>
        <w:t>.</w:t>
      </w:r>
      <w:r w:rsidRPr="003F5F58">
        <w:rPr>
          <w:sz w:val="28"/>
          <w:szCs w:val="28"/>
        </w:rPr>
        <w:t xml:space="preserve"> </w:t>
      </w:r>
      <w:r w:rsidR="00815240">
        <w:rPr>
          <w:sz w:val="28"/>
          <w:szCs w:val="28"/>
        </w:rPr>
        <w:t xml:space="preserve"> </w:t>
      </w:r>
      <w:r w:rsidR="00240813">
        <w:rPr>
          <w:sz w:val="28"/>
          <w:szCs w:val="28"/>
        </w:rPr>
        <w:t xml:space="preserve">The </w:t>
      </w:r>
      <w:r w:rsidRPr="003F5F58">
        <w:rPr>
          <w:sz w:val="28"/>
          <w:szCs w:val="28"/>
        </w:rPr>
        <w:t xml:space="preserve">judges </w:t>
      </w:r>
      <w:r w:rsidR="00240813">
        <w:rPr>
          <w:sz w:val="28"/>
          <w:szCs w:val="28"/>
        </w:rPr>
        <w:t xml:space="preserve">noted further that they </w:t>
      </w:r>
      <w:r w:rsidRPr="003F5F58">
        <w:rPr>
          <w:sz w:val="28"/>
          <w:szCs w:val="28"/>
        </w:rPr>
        <w:t>have the discretion to appoint counsel</w:t>
      </w:r>
      <w:r w:rsidR="00240813">
        <w:rPr>
          <w:sz w:val="28"/>
          <w:szCs w:val="28"/>
        </w:rPr>
        <w:t xml:space="preserve"> in those instances</w:t>
      </w:r>
      <w:r w:rsidRPr="003F5F58">
        <w:rPr>
          <w:sz w:val="28"/>
          <w:szCs w:val="28"/>
        </w:rPr>
        <w:t xml:space="preserve"> and do make those appointments if it</w:t>
      </w:r>
      <w:r w:rsidR="0076395F">
        <w:rPr>
          <w:sz w:val="28"/>
          <w:szCs w:val="28"/>
        </w:rPr>
        <w:t xml:space="preserve"> is</w:t>
      </w:r>
      <w:r w:rsidRPr="003F5F58">
        <w:rPr>
          <w:sz w:val="28"/>
          <w:szCs w:val="28"/>
        </w:rPr>
        <w:t xml:space="preserve"> appropriate</w:t>
      </w:r>
      <w:r w:rsidR="0076395F">
        <w:rPr>
          <w:sz w:val="28"/>
          <w:szCs w:val="28"/>
        </w:rPr>
        <w:t>,</w:t>
      </w:r>
      <w:r w:rsidRPr="003F5F58">
        <w:rPr>
          <w:sz w:val="28"/>
          <w:szCs w:val="28"/>
        </w:rPr>
        <w:t xml:space="preserve"> even </w:t>
      </w:r>
      <w:r w:rsidR="00DA6F89">
        <w:rPr>
          <w:sz w:val="28"/>
          <w:szCs w:val="28"/>
        </w:rPr>
        <w:t>when the defendant has not request</w:t>
      </w:r>
      <w:r w:rsidR="0076395F">
        <w:rPr>
          <w:sz w:val="28"/>
          <w:szCs w:val="28"/>
        </w:rPr>
        <w:t>ed it</w:t>
      </w:r>
      <w:r w:rsidRPr="003F5F58">
        <w:rPr>
          <w:sz w:val="28"/>
          <w:szCs w:val="28"/>
        </w:rPr>
        <w:t xml:space="preserve">. </w:t>
      </w:r>
      <w:r w:rsidR="00815240">
        <w:rPr>
          <w:sz w:val="28"/>
          <w:szCs w:val="28"/>
        </w:rPr>
        <w:t xml:space="preserve"> </w:t>
      </w:r>
      <w:r w:rsidRPr="003F5F58">
        <w:rPr>
          <w:sz w:val="28"/>
          <w:szCs w:val="28"/>
        </w:rPr>
        <w:t xml:space="preserve">Members </w:t>
      </w:r>
      <w:r w:rsidR="00DA6F89">
        <w:rPr>
          <w:sz w:val="28"/>
          <w:szCs w:val="28"/>
        </w:rPr>
        <w:t xml:space="preserve">accordingly </w:t>
      </w:r>
      <w:r w:rsidRPr="003F5F58">
        <w:rPr>
          <w:sz w:val="28"/>
          <w:szCs w:val="28"/>
        </w:rPr>
        <w:t>concluded that “may” was correct.</w:t>
      </w:r>
      <w:r w:rsidR="00DA6F89">
        <w:rPr>
          <w:sz w:val="28"/>
          <w:szCs w:val="28"/>
        </w:rPr>
        <w:t xml:space="preserve"> </w:t>
      </w:r>
      <w:r w:rsidRPr="003F5F58">
        <w:rPr>
          <w:sz w:val="28"/>
          <w:szCs w:val="28"/>
        </w:rPr>
        <w:t xml:space="preserve"> During a discussion of forms later in the meeting, the word “affidavit” of indigency in these rules was change</w:t>
      </w:r>
      <w:r w:rsidR="00DA6F89">
        <w:rPr>
          <w:sz w:val="28"/>
          <w:szCs w:val="28"/>
        </w:rPr>
        <w:t>d</w:t>
      </w:r>
      <w:r w:rsidRPr="003F5F58">
        <w:rPr>
          <w:sz w:val="28"/>
          <w:szCs w:val="28"/>
        </w:rPr>
        <w:t xml:space="preserve"> to “declaration” of indigency.  Members agreed to delete the words “at county expense” from Rule 32.5(c) because the cross-reference in this rule to Rule 6.7 is sufficient, and neither rule requires further enumeration of the specific county accounts from which the expense will be </w:t>
      </w:r>
      <w:r w:rsidRPr="00C71B64">
        <w:rPr>
          <w:sz w:val="28"/>
          <w:szCs w:val="28"/>
        </w:rPr>
        <w:t>paid.</w:t>
      </w:r>
    </w:p>
    <w:p w14:paraId="6B14C8D5" w14:textId="11C55E11" w:rsidR="003F5F58" w:rsidRPr="003F5F58" w:rsidRDefault="003F5F58" w:rsidP="009D0C73">
      <w:pPr>
        <w:spacing w:after="240" w:line="480" w:lineRule="auto"/>
        <w:ind w:firstLine="720"/>
        <w:jc w:val="both"/>
        <w:rPr>
          <w:sz w:val="28"/>
          <w:szCs w:val="28"/>
        </w:rPr>
      </w:pPr>
      <w:r w:rsidRPr="003F5F58">
        <w:rPr>
          <w:b/>
          <w:i/>
          <w:sz w:val="28"/>
          <w:szCs w:val="28"/>
        </w:rPr>
        <w:lastRenderedPageBreak/>
        <w:t>Rule 32.6 (“duty of counsel, etc.”):</w:t>
      </w:r>
      <w:r w:rsidRPr="003F5F58">
        <w:rPr>
          <w:sz w:val="28"/>
          <w:szCs w:val="28"/>
        </w:rPr>
        <w:t xml:space="preserve">  </w:t>
      </w:r>
      <w:r w:rsidR="00C71B64">
        <w:rPr>
          <w:sz w:val="28"/>
          <w:szCs w:val="28"/>
        </w:rPr>
        <w:t>In proposed Rule 32.6(b), m</w:t>
      </w:r>
      <w:r w:rsidRPr="003F5F58">
        <w:rPr>
          <w:sz w:val="28"/>
          <w:szCs w:val="28"/>
        </w:rPr>
        <w:t>embers concluded that the “substantial need” requirement in the first subpart impliedly requires materiality, and they made no revisions to that subpart.  The title of Rule 32.6(d) is “defendant’s pro se petition.”  Members agreed to change this to “self-repr</w:t>
      </w:r>
      <w:r w:rsidR="00815240">
        <w:rPr>
          <w:sz w:val="28"/>
          <w:szCs w:val="28"/>
        </w:rPr>
        <w:t xml:space="preserve">esented defendant’s petition.” </w:t>
      </w:r>
      <w:r w:rsidRPr="003F5F58">
        <w:rPr>
          <w:sz w:val="28"/>
          <w:szCs w:val="28"/>
        </w:rPr>
        <w:t xml:space="preserve"> Staff modified the comment to Rule 32.6(c) by deleting references to a “no colorable claims” checklist.  </w:t>
      </w:r>
      <w:r w:rsidR="0076395F">
        <w:rPr>
          <w:sz w:val="28"/>
          <w:szCs w:val="28"/>
        </w:rPr>
        <w:t>Although</w:t>
      </w:r>
      <w:r w:rsidRPr="003F5F58">
        <w:rPr>
          <w:sz w:val="28"/>
          <w:szCs w:val="28"/>
        </w:rPr>
        <w:t xml:space="preserve"> Rule 33.6 includes such a checklist, Rule 32.6 does not.  Members thought this </w:t>
      </w:r>
      <w:r w:rsidR="00DA6F89">
        <w:rPr>
          <w:sz w:val="28"/>
          <w:szCs w:val="28"/>
        </w:rPr>
        <w:t>modification</w:t>
      </w:r>
      <w:r w:rsidRPr="003F5F58">
        <w:rPr>
          <w:sz w:val="28"/>
          <w:szCs w:val="28"/>
        </w:rPr>
        <w:t xml:space="preserve"> was appropriate because a non-pleading defendant has usually had an appeal and possibly an </w:t>
      </w:r>
      <w:r w:rsidRPr="003F5F58">
        <w:rPr>
          <w:i/>
          <w:sz w:val="28"/>
          <w:szCs w:val="28"/>
        </w:rPr>
        <w:t>Anders</w:t>
      </w:r>
      <w:r w:rsidRPr="003F5F58">
        <w:rPr>
          <w:sz w:val="28"/>
          <w:szCs w:val="28"/>
        </w:rPr>
        <w:t xml:space="preserve"> review.  </w:t>
      </w:r>
      <w:r w:rsidR="00691EAA">
        <w:rPr>
          <w:sz w:val="28"/>
          <w:szCs w:val="28"/>
        </w:rPr>
        <w:t>[</w:t>
      </w:r>
      <w:r w:rsidR="00691EAA">
        <w:rPr>
          <w:i/>
          <w:sz w:val="28"/>
          <w:szCs w:val="28"/>
        </w:rPr>
        <w:t xml:space="preserve">Anders v. </w:t>
      </w:r>
      <w:r w:rsidR="00691EAA" w:rsidRPr="00691EAA">
        <w:rPr>
          <w:i/>
          <w:sz w:val="28"/>
          <w:szCs w:val="28"/>
        </w:rPr>
        <w:t>California</w:t>
      </w:r>
      <w:r w:rsidR="00691EAA">
        <w:rPr>
          <w:sz w:val="28"/>
          <w:szCs w:val="28"/>
        </w:rPr>
        <w:t xml:space="preserve">, 386 U.S. 738 (1967).]  </w:t>
      </w:r>
      <w:r w:rsidRPr="00691EAA">
        <w:rPr>
          <w:sz w:val="28"/>
          <w:szCs w:val="28"/>
        </w:rPr>
        <w:t>Also</w:t>
      </w:r>
      <w:r w:rsidRPr="003F5F58">
        <w:rPr>
          <w:sz w:val="28"/>
          <w:szCs w:val="28"/>
        </w:rPr>
        <w:t xml:space="preserve">, that checklist is more useful for post-conviction proceedings involving pleading defendants and to avoid a blanket avowal by counsel that “I reviewed everything” </w:t>
      </w:r>
      <w:r w:rsidR="00815240">
        <w:rPr>
          <w:sz w:val="28"/>
          <w:szCs w:val="28"/>
        </w:rPr>
        <w:t>without further specification.</w:t>
      </w:r>
    </w:p>
    <w:p w14:paraId="176993E2" w14:textId="31F11606" w:rsidR="003F5F58" w:rsidRPr="003F5F58" w:rsidRDefault="003F5F58" w:rsidP="003F5F58">
      <w:pPr>
        <w:spacing w:line="480" w:lineRule="auto"/>
        <w:ind w:firstLine="720"/>
        <w:jc w:val="both"/>
        <w:rPr>
          <w:w w:val="105"/>
          <w:sz w:val="28"/>
          <w:szCs w:val="28"/>
        </w:rPr>
      </w:pPr>
      <w:r w:rsidRPr="003F5F58">
        <w:rPr>
          <w:b/>
          <w:i/>
          <w:sz w:val="28"/>
          <w:szCs w:val="28"/>
        </w:rPr>
        <w:t>Rule 32.7 (“petition for post-conviction relief”):</w:t>
      </w:r>
      <w:r w:rsidRPr="003F5F58">
        <w:rPr>
          <w:sz w:val="28"/>
          <w:szCs w:val="28"/>
        </w:rPr>
        <w:t xml:space="preserve"> </w:t>
      </w:r>
      <w:r w:rsidR="00815240">
        <w:rPr>
          <w:sz w:val="28"/>
          <w:szCs w:val="28"/>
        </w:rPr>
        <w:t xml:space="preserve"> </w:t>
      </w:r>
      <w:r w:rsidRPr="003F5F58">
        <w:rPr>
          <w:sz w:val="28"/>
          <w:szCs w:val="28"/>
        </w:rPr>
        <w:t xml:space="preserve">Members made two changes to section (d) (“declaration”).  First, they changed “knowledge </w:t>
      </w:r>
      <w:r w:rsidRPr="003F5F58">
        <w:rPr>
          <w:sz w:val="28"/>
          <w:szCs w:val="28"/>
          <w:u w:val="single"/>
        </w:rPr>
        <w:t>and</w:t>
      </w:r>
      <w:r w:rsidRPr="003F5F58">
        <w:rPr>
          <w:sz w:val="28"/>
          <w:szCs w:val="28"/>
        </w:rPr>
        <w:t xml:space="preserve"> belief” to “knowledge </w:t>
      </w:r>
      <w:r w:rsidRPr="003F5F58">
        <w:rPr>
          <w:sz w:val="28"/>
          <w:szCs w:val="28"/>
          <w:u w:val="single"/>
        </w:rPr>
        <w:t>or</w:t>
      </w:r>
      <w:r w:rsidRPr="003F5F58">
        <w:rPr>
          <w:sz w:val="28"/>
          <w:szCs w:val="28"/>
        </w:rPr>
        <w:t xml:space="preserve"> belief.”  They also deleted the second sentence of the proposed rule (“</w:t>
      </w:r>
      <w:r w:rsidRPr="003F5F58">
        <w:rPr>
          <w:w w:val="105"/>
          <w:sz w:val="28"/>
          <w:szCs w:val="28"/>
        </w:rPr>
        <w:t>The declaration must identify facts that are within the defendant's personal knowledge separately from other factual allegations</w:t>
      </w:r>
      <w:r w:rsidR="00C71B64" w:rsidRPr="003F5F58">
        <w:rPr>
          <w:w w:val="105"/>
          <w:sz w:val="28"/>
          <w:szCs w:val="28"/>
        </w:rPr>
        <w:t>.</w:t>
      </w:r>
      <w:r w:rsidRPr="003F5F58">
        <w:rPr>
          <w:w w:val="105"/>
          <w:sz w:val="28"/>
          <w:szCs w:val="28"/>
        </w:rPr>
        <w:t xml:space="preserve">”)  Although defendants occasionally attach a separate sheet identifying facts within their knowledge, members concluded that there is little value in this specification and judges usually do not reject a petition that lacks one.  Form 25, which is the number of </w:t>
      </w:r>
      <w:r w:rsidRPr="003F5F58">
        <w:rPr>
          <w:w w:val="105"/>
          <w:sz w:val="28"/>
          <w:szCs w:val="28"/>
        </w:rPr>
        <w:lastRenderedPageBreak/>
        <w:t>the current form of the petition for post-conviction relief</w:t>
      </w:r>
      <w:r w:rsidR="00DA6F89">
        <w:rPr>
          <w:w w:val="105"/>
          <w:sz w:val="28"/>
          <w:szCs w:val="28"/>
        </w:rPr>
        <w:t xml:space="preserve">, as well as the </w:t>
      </w:r>
      <w:r w:rsidR="00C71B64">
        <w:rPr>
          <w:w w:val="105"/>
          <w:sz w:val="28"/>
          <w:szCs w:val="28"/>
        </w:rPr>
        <w:t>re</w:t>
      </w:r>
      <w:r w:rsidRPr="003F5F58">
        <w:rPr>
          <w:w w:val="105"/>
          <w:sz w:val="28"/>
          <w:szCs w:val="28"/>
        </w:rPr>
        <w:t xml:space="preserve">vised </w:t>
      </w:r>
      <w:r w:rsidR="00C71B64">
        <w:rPr>
          <w:w w:val="105"/>
          <w:sz w:val="28"/>
          <w:szCs w:val="28"/>
        </w:rPr>
        <w:t>F</w:t>
      </w:r>
      <w:r w:rsidRPr="003F5F58">
        <w:rPr>
          <w:w w:val="105"/>
          <w:sz w:val="28"/>
          <w:szCs w:val="28"/>
        </w:rPr>
        <w:t>orm</w:t>
      </w:r>
      <w:r w:rsidR="00C71B64">
        <w:rPr>
          <w:w w:val="105"/>
          <w:sz w:val="28"/>
          <w:szCs w:val="28"/>
        </w:rPr>
        <w:t xml:space="preserve"> 25</w:t>
      </w:r>
      <w:r w:rsidRPr="003F5F58">
        <w:rPr>
          <w:w w:val="105"/>
          <w:sz w:val="28"/>
          <w:szCs w:val="28"/>
        </w:rPr>
        <w:t xml:space="preserve">, are congruent with this modification because </w:t>
      </w:r>
      <w:r w:rsidR="00DA6F89">
        <w:rPr>
          <w:w w:val="105"/>
          <w:sz w:val="28"/>
          <w:szCs w:val="28"/>
        </w:rPr>
        <w:t xml:space="preserve">neither of </w:t>
      </w:r>
      <w:r w:rsidRPr="003F5F58">
        <w:rPr>
          <w:w w:val="105"/>
          <w:sz w:val="28"/>
          <w:szCs w:val="28"/>
        </w:rPr>
        <w:t>these forms include</w:t>
      </w:r>
      <w:r w:rsidR="00142F9E">
        <w:rPr>
          <w:w w:val="105"/>
          <w:sz w:val="28"/>
          <w:szCs w:val="28"/>
        </w:rPr>
        <w:t>s</w:t>
      </w:r>
      <w:r w:rsidRPr="003F5F58">
        <w:rPr>
          <w:w w:val="105"/>
          <w:sz w:val="28"/>
          <w:szCs w:val="28"/>
        </w:rPr>
        <w:t xml:space="preserve"> this specification i</w:t>
      </w:r>
      <w:r w:rsidR="00815240">
        <w:rPr>
          <w:w w:val="105"/>
          <w:sz w:val="28"/>
          <w:szCs w:val="28"/>
        </w:rPr>
        <w:t>n the defendant’s declaration.</w:t>
      </w:r>
    </w:p>
    <w:p w14:paraId="485B0C5C" w14:textId="14099A8A" w:rsidR="003F5F58" w:rsidRPr="003F5F58" w:rsidRDefault="003F5F58" w:rsidP="003F5F58">
      <w:pPr>
        <w:spacing w:line="480" w:lineRule="auto"/>
        <w:ind w:firstLine="720"/>
        <w:jc w:val="both"/>
        <w:rPr>
          <w:sz w:val="28"/>
          <w:szCs w:val="28"/>
        </w:rPr>
      </w:pPr>
      <w:r w:rsidRPr="003F5F58">
        <w:rPr>
          <w:b/>
          <w:i/>
          <w:sz w:val="28"/>
          <w:szCs w:val="28"/>
        </w:rPr>
        <w:t>Rule 32.8 (“transcript preparation”):</w:t>
      </w:r>
      <w:r w:rsidRPr="003F5F58">
        <w:rPr>
          <w:sz w:val="28"/>
          <w:szCs w:val="28"/>
        </w:rPr>
        <w:t xml:space="preserve">  </w:t>
      </w:r>
      <w:r w:rsidR="00C71B64">
        <w:rPr>
          <w:sz w:val="28"/>
          <w:szCs w:val="28"/>
        </w:rPr>
        <w:t>Members agreed to change</w:t>
      </w:r>
      <w:r w:rsidRPr="003F5F58">
        <w:rPr>
          <w:sz w:val="28"/>
          <w:szCs w:val="28"/>
        </w:rPr>
        <w:t xml:space="preserve"> “the trial court proceedings” in section (a) to “the verbal re</w:t>
      </w:r>
      <w:r w:rsidR="00C71B64">
        <w:rPr>
          <w:sz w:val="28"/>
          <w:szCs w:val="28"/>
        </w:rPr>
        <w:t>cord of trial court proceedings.</w:t>
      </w:r>
      <w:r w:rsidR="00815240">
        <w:rPr>
          <w:sz w:val="28"/>
          <w:szCs w:val="28"/>
        </w:rPr>
        <w:t>”</w:t>
      </w:r>
    </w:p>
    <w:p w14:paraId="67F5F54B" w14:textId="2378F2C0" w:rsidR="003F5F58" w:rsidRPr="003F5F58" w:rsidRDefault="003F5F58" w:rsidP="003F5F58">
      <w:pPr>
        <w:spacing w:line="480" w:lineRule="auto"/>
        <w:ind w:firstLine="720"/>
        <w:jc w:val="both"/>
        <w:rPr>
          <w:sz w:val="28"/>
          <w:szCs w:val="28"/>
        </w:rPr>
      </w:pPr>
      <w:r w:rsidRPr="003F5F58">
        <w:rPr>
          <w:b/>
          <w:i/>
          <w:sz w:val="28"/>
          <w:szCs w:val="28"/>
        </w:rPr>
        <w:t>Rule 32.14 (“motion for rehearing”):</w:t>
      </w:r>
      <w:r w:rsidRPr="003F5F58">
        <w:rPr>
          <w:sz w:val="28"/>
          <w:szCs w:val="28"/>
        </w:rPr>
        <w:t xml:space="preserve">  In section (e) (“disposition if motion granted”), </w:t>
      </w:r>
      <w:r w:rsidR="00C71B64">
        <w:rPr>
          <w:sz w:val="28"/>
          <w:szCs w:val="28"/>
        </w:rPr>
        <w:t xml:space="preserve">members discussed whether </w:t>
      </w:r>
      <w:r w:rsidRPr="003F5F58">
        <w:rPr>
          <w:sz w:val="28"/>
          <w:szCs w:val="28"/>
        </w:rPr>
        <w:t xml:space="preserve">it was necessary for the court to “state its reasons” if it reaffirmed its previous ruling.  </w:t>
      </w:r>
      <w:r w:rsidR="00C71B64">
        <w:rPr>
          <w:sz w:val="28"/>
          <w:szCs w:val="28"/>
        </w:rPr>
        <w:t>They</w:t>
      </w:r>
      <w:r w:rsidRPr="003F5F58">
        <w:rPr>
          <w:sz w:val="28"/>
          <w:szCs w:val="28"/>
        </w:rPr>
        <w:t xml:space="preserve"> agreed that it was not and accordingly, the words “in either case” were deleted from the s</w:t>
      </w:r>
      <w:r w:rsidR="00815240">
        <w:rPr>
          <w:sz w:val="28"/>
          <w:szCs w:val="28"/>
        </w:rPr>
        <w:t>econd sentence of that section.</w:t>
      </w:r>
    </w:p>
    <w:p w14:paraId="61D03036" w14:textId="2FF380B7" w:rsidR="003F5F58" w:rsidRPr="003F5F58" w:rsidRDefault="003F5F58" w:rsidP="003F5F58">
      <w:pPr>
        <w:spacing w:line="480" w:lineRule="auto"/>
        <w:ind w:firstLine="720"/>
        <w:jc w:val="both"/>
        <w:rPr>
          <w:sz w:val="28"/>
          <w:szCs w:val="28"/>
        </w:rPr>
      </w:pPr>
      <w:r w:rsidRPr="003F5F58">
        <w:rPr>
          <w:b/>
          <w:i/>
          <w:sz w:val="28"/>
          <w:szCs w:val="28"/>
        </w:rPr>
        <w:t>Rule 32.15 (“notification to the appellate court”):</w:t>
      </w:r>
      <w:r w:rsidRPr="003F5F58">
        <w:rPr>
          <w:sz w:val="28"/>
          <w:szCs w:val="28"/>
        </w:rPr>
        <w:t xml:space="preserve">  Members rephrased this </w:t>
      </w:r>
      <w:r w:rsidR="009E519C">
        <w:rPr>
          <w:sz w:val="28"/>
          <w:szCs w:val="28"/>
        </w:rPr>
        <w:t>single</w:t>
      </w:r>
      <w:r w:rsidRPr="003F5F58">
        <w:rPr>
          <w:sz w:val="28"/>
          <w:szCs w:val="28"/>
        </w:rPr>
        <w:t xml:space="preserve"> sentence rule to make it more clear and concise but without changing its substance.  </w:t>
      </w:r>
      <w:r w:rsidR="00454737">
        <w:rPr>
          <w:sz w:val="28"/>
          <w:szCs w:val="28"/>
        </w:rPr>
        <w:t xml:space="preserve">They also changed the word </w:t>
      </w:r>
      <w:r w:rsidR="00454737" w:rsidRPr="009D0C73">
        <w:rPr>
          <w:sz w:val="28"/>
          <w:szCs w:val="28"/>
        </w:rPr>
        <w:t>“send” to “file</w:t>
      </w:r>
      <w:r w:rsidR="00454737">
        <w:rPr>
          <w:sz w:val="28"/>
          <w:szCs w:val="28"/>
        </w:rPr>
        <w:t>.</w:t>
      </w:r>
      <w:r w:rsidR="00454737" w:rsidRPr="009D0C73">
        <w:rPr>
          <w:sz w:val="28"/>
          <w:szCs w:val="28"/>
        </w:rPr>
        <w:t xml:space="preserve">” </w:t>
      </w:r>
      <w:r w:rsidR="00DA6F89">
        <w:rPr>
          <w:sz w:val="28"/>
          <w:szCs w:val="28"/>
        </w:rPr>
        <w:t xml:space="preserve"> </w:t>
      </w:r>
      <w:r w:rsidRPr="003F5F58">
        <w:rPr>
          <w:sz w:val="28"/>
          <w:szCs w:val="28"/>
        </w:rPr>
        <w:t>As rephrased, the rule says, “</w:t>
      </w:r>
      <w:r w:rsidRPr="003F5F58">
        <w:rPr>
          <w:w w:val="110"/>
          <w:sz w:val="28"/>
          <w:szCs w:val="28"/>
        </w:rPr>
        <w:t>If an appeal of a defendant’s conviction or sentence is pending, the defendant’s counsel or the defendant, if self-represented, must file any final rulings in the appellate court within 10 days after the ruling is filed.”</w:t>
      </w:r>
    </w:p>
    <w:p w14:paraId="0AD66C06" w14:textId="68EE8CBF" w:rsidR="003F5F58" w:rsidRPr="003F5F58" w:rsidRDefault="003F5F58" w:rsidP="00C71B64">
      <w:pPr>
        <w:spacing w:line="480" w:lineRule="auto"/>
        <w:ind w:firstLine="720"/>
        <w:jc w:val="both"/>
        <w:rPr>
          <w:sz w:val="28"/>
          <w:szCs w:val="28"/>
        </w:rPr>
      </w:pPr>
      <w:r w:rsidRPr="003F5F58">
        <w:rPr>
          <w:b/>
          <w:i/>
          <w:sz w:val="28"/>
          <w:szCs w:val="28"/>
        </w:rPr>
        <w:t>Rule 32.16 (“petition and cross-petition for review”):</w:t>
      </w:r>
      <w:r w:rsidRPr="003F5F58">
        <w:rPr>
          <w:sz w:val="28"/>
          <w:szCs w:val="28"/>
        </w:rPr>
        <w:t xml:space="preserve">  Members </w:t>
      </w:r>
      <w:r w:rsidR="00C71B64">
        <w:rPr>
          <w:sz w:val="28"/>
          <w:szCs w:val="28"/>
        </w:rPr>
        <w:t>recalculated a page limit in</w:t>
      </w:r>
      <w:r w:rsidRPr="003F5F58">
        <w:rPr>
          <w:sz w:val="28"/>
          <w:szCs w:val="28"/>
        </w:rPr>
        <w:t xml:space="preserve"> section (c): at 280 words per page (see Rule 1.6(b)(1)(E)), a handwritten brief that is the equivalent of 12,000 typed words should be 44 pages, not 50, and the number </w:t>
      </w:r>
      <w:r w:rsidR="00DA6F89">
        <w:rPr>
          <w:sz w:val="28"/>
          <w:szCs w:val="28"/>
        </w:rPr>
        <w:t xml:space="preserve">in Rule 32.16(c) </w:t>
      </w:r>
      <w:r w:rsidRPr="003F5F58">
        <w:rPr>
          <w:sz w:val="28"/>
          <w:szCs w:val="28"/>
        </w:rPr>
        <w:t xml:space="preserve">was accordingly corrected.  Members also </w:t>
      </w:r>
      <w:r w:rsidRPr="003F5F58">
        <w:rPr>
          <w:sz w:val="28"/>
          <w:szCs w:val="28"/>
        </w:rPr>
        <w:lastRenderedPageBreak/>
        <w:t xml:space="preserve">agreed in section (j) (“transmitting the record to the appellate court”) </w:t>
      </w:r>
      <w:r w:rsidR="009D0C73">
        <w:rPr>
          <w:sz w:val="28"/>
          <w:szCs w:val="28"/>
        </w:rPr>
        <w:t>to add</w:t>
      </w:r>
      <w:r w:rsidRPr="003F5F58">
        <w:rPr>
          <w:sz w:val="28"/>
          <w:szCs w:val="28"/>
        </w:rPr>
        <w:t xml:space="preserve"> the words “to the appellate court” in the first sentence</w:t>
      </w:r>
      <w:r w:rsidR="009D0C73">
        <w:rPr>
          <w:sz w:val="28"/>
          <w:szCs w:val="28"/>
        </w:rPr>
        <w:t>;</w:t>
      </w:r>
      <w:r w:rsidRPr="003F5F58">
        <w:rPr>
          <w:sz w:val="28"/>
          <w:szCs w:val="28"/>
        </w:rPr>
        <w:t xml:space="preserve"> </w:t>
      </w:r>
      <w:r w:rsidR="009D0C73">
        <w:rPr>
          <w:sz w:val="28"/>
          <w:szCs w:val="28"/>
        </w:rPr>
        <w:t>in section (</w:t>
      </w:r>
      <w:r w:rsidR="00DA6F89">
        <w:rPr>
          <w:sz w:val="28"/>
          <w:szCs w:val="28"/>
        </w:rPr>
        <w:t>j</w:t>
      </w:r>
      <w:r w:rsidR="009D0C73">
        <w:rPr>
          <w:sz w:val="28"/>
          <w:szCs w:val="28"/>
        </w:rPr>
        <w:t>) to change</w:t>
      </w:r>
      <w:r w:rsidRPr="003F5F58">
        <w:rPr>
          <w:sz w:val="28"/>
          <w:szCs w:val="28"/>
        </w:rPr>
        <w:t xml:space="preserve"> “resp</w:t>
      </w:r>
      <w:r w:rsidR="00DA6F89">
        <w:rPr>
          <w:sz w:val="28"/>
          <w:szCs w:val="28"/>
        </w:rPr>
        <w:t>onsive pleadings” to “responses</w:t>
      </w:r>
      <w:r w:rsidRPr="003F5F58">
        <w:rPr>
          <w:sz w:val="28"/>
          <w:szCs w:val="28"/>
        </w:rPr>
        <w:t xml:space="preserve">” </w:t>
      </w:r>
      <w:r w:rsidR="00DA6F89">
        <w:rPr>
          <w:sz w:val="28"/>
          <w:szCs w:val="28"/>
        </w:rPr>
        <w:t xml:space="preserve">in the second sentence; </w:t>
      </w:r>
      <w:r w:rsidRPr="003F5F58">
        <w:rPr>
          <w:sz w:val="28"/>
          <w:szCs w:val="28"/>
        </w:rPr>
        <w:t xml:space="preserve">and in section (m) (“return of the record”) </w:t>
      </w:r>
      <w:r w:rsidR="009D0C73">
        <w:rPr>
          <w:sz w:val="28"/>
          <w:szCs w:val="28"/>
        </w:rPr>
        <w:t>to change</w:t>
      </w:r>
      <w:r w:rsidRPr="003F5F58">
        <w:rPr>
          <w:sz w:val="28"/>
          <w:szCs w:val="28"/>
        </w:rPr>
        <w:t xml:space="preserve"> “after the petition for review is resolved” to “after the disposition of the petition for review.”</w:t>
      </w:r>
    </w:p>
    <w:p w14:paraId="5EFAE4F0" w14:textId="24593056" w:rsidR="003F5F58" w:rsidRPr="003F5F58" w:rsidRDefault="003F5F58" w:rsidP="009D0C73">
      <w:pPr>
        <w:spacing w:line="480" w:lineRule="auto"/>
        <w:ind w:firstLine="720"/>
        <w:jc w:val="both"/>
        <w:rPr>
          <w:sz w:val="28"/>
          <w:szCs w:val="28"/>
        </w:rPr>
      </w:pPr>
      <w:r w:rsidRPr="003F5F58">
        <w:rPr>
          <w:b/>
          <w:i/>
          <w:sz w:val="28"/>
          <w:szCs w:val="28"/>
        </w:rPr>
        <w:t>Rule 32.17 (“post-conviction DNA testing”):</w:t>
      </w:r>
      <w:r w:rsidRPr="003F5F58">
        <w:rPr>
          <w:sz w:val="28"/>
          <w:szCs w:val="28"/>
        </w:rPr>
        <w:t xml:space="preserve">  </w:t>
      </w:r>
      <w:r w:rsidR="00815240">
        <w:rPr>
          <w:sz w:val="28"/>
          <w:szCs w:val="28"/>
        </w:rPr>
        <w:t xml:space="preserve"> </w:t>
      </w:r>
      <w:r w:rsidRPr="003F5F58">
        <w:rPr>
          <w:sz w:val="28"/>
          <w:szCs w:val="28"/>
        </w:rPr>
        <w:t>Members revisited their previous revisions, which combined the mandatory and discretionary testing provisions of the current rule into a single provision, and they concurred that this was appropriate.  In the last sentence of section (f) (“preservation of evidence”), members removed the words “including criminal contempt for a knowing violation;” the truncated provision simply concludes, “</w:t>
      </w:r>
      <w:r w:rsidR="00815240">
        <w:rPr>
          <w:sz w:val="28"/>
          <w:szCs w:val="28"/>
        </w:rPr>
        <w:t>…</w:t>
      </w:r>
      <w:r w:rsidRPr="003F5F58">
        <w:rPr>
          <w:sz w:val="28"/>
          <w:szCs w:val="28"/>
        </w:rPr>
        <w:t xml:space="preserve">the court may impose appropriate sanctions.”  Section (g) requires that a victim be given notification of an unfavorable test result, but </w:t>
      </w:r>
      <w:r w:rsidR="00DA6F89">
        <w:rPr>
          <w:sz w:val="28"/>
          <w:szCs w:val="28"/>
        </w:rPr>
        <w:t>some members thought</w:t>
      </w:r>
      <w:r w:rsidRPr="003F5F58">
        <w:rPr>
          <w:sz w:val="28"/>
          <w:szCs w:val="28"/>
        </w:rPr>
        <w:t xml:space="preserve"> that section (h) concerning test results favorable to the defendant should contain a similar requirement.  After discussion, members added a new last sentence to section (h): “If requested, a victim must be given notice of the hearing.”</w:t>
      </w:r>
    </w:p>
    <w:p w14:paraId="43F85A78" w14:textId="2E548838" w:rsidR="00775C52" w:rsidRPr="003F5F58" w:rsidRDefault="003F5F58" w:rsidP="009D0C73">
      <w:pPr>
        <w:spacing w:line="480" w:lineRule="auto"/>
        <w:ind w:firstLine="720"/>
        <w:jc w:val="both"/>
        <w:rPr>
          <w:sz w:val="28"/>
          <w:szCs w:val="28"/>
        </w:rPr>
      </w:pPr>
      <w:r w:rsidRPr="003F5F58">
        <w:rPr>
          <w:b/>
          <w:i/>
          <w:sz w:val="28"/>
          <w:szCs w:val="28"/>
        </w:rPr>
        <w:t>Rule 32.20 (“extensions of time in a capital case; victim notice and service”):</w:t>
      </w:r>
      <w:r w:rsidRPr="003F5F58">
        <w:rPr>
          <w:sz w:val="28"/>
          <w:szCs w:val="28"/>
        </w:rPr>
        <w:t xml:space="preserve">  </w:t>
      </w:r>
      <w:r w:rsidR="009D0C73">
        <w:rPr>
          <w:sz w:val="28"/>
          <w:szCs w:val="28"/>
        </w:rPr>
        <w:t>In</w:t>
      </w:r>
      <w:r w:rsidRPr="003F5F58">
        <w:rPr>
          <w:sz w:val="28"/>
          <w:szCs w:val="28"/>
        </w:rPr>
        <w:t xml:space="preserve"> subpart (b)(1), </w:t>
      </w:r>
      <w:r w:rsidR="009D0C73">
        <w:rPr>
          <w:sz w:val="28"/>
          <w:szCs w:val="28"/>
        </w:rPr>
        <w:t>members</w:t>
      </w:r>
      <w:r w:rsidRPr="003F5F58">
        <w:rPr>
          <w:sz w:val="28"/>
          <w:szCs w:val="28"/>
        </w:rPr>
        <w:t xml:space="preserve"> changed “method” of service to “manner” of service.</w:t>
      </w:r>
    </w:p>
    <w:p w14:paraId="663C3962" w14:textId="52DFD2E2" w:rsidR="009D0C73" w:rsidRDefault="00775C52" w:rsidP="00695FE9">
      <w:pPr>
        <w:pStyle w:val="ListParagraph"/>
        <w:keepNext/>
        <w:numPr>
          <w:ilvl w:val="0"/>
          <w:numId w:val="2"/>
        </w:numPr>
        <w:spacing w:after="0" w:line="480" w:lineRule="auto"/>
        <w:ind w:left="1166" w:hanging="446"/>
        <w:rPr>
          <w:rFonts w:ascii="Times New Roman" w:hAnsi="Times New Roman" w:cs="Times New Roman"/>
          <w:b/>
          <w:sz w:val="28"/>
          <w:szCs w:val="28"/>
        </w:rPr>
      </w:pPr>
      <w:r>
        <w:rPr>
          <w:rFonts w:ascii="Times New Roman" w:hAnsi="Times New Roman" w:cs="Times New Roman"/>
          <w:b/>
          <w:sz w:val="28"/>
          <w:szCs w:val="28"/>
          <w:u w:val="single"/>
        </w:rPr>
        <w:lastRenderedPageBreak/>
        <w:t>Changes to Rule 33 on the Task Force’s initiative</w:t>
      </w:r>
      <w:r w:rsidRPr="0095461F">
        <w:rPr>
          <w:rFonts w:ascii="Times New Roman" w:hAnsi="Times New Roman" w:cs="Times New Roman"/>
          <w:b/>
          <w:sz w:val="28"/>
          <w:szCs w:val="28"/>
          <w:u w:val="single"/>
        </w:rPr>
        <w:t>.</w:t>
      </w:r>
    </w:p>
    <w:p w14:paraId="0F3E294F" w14:textId="37C6CEB1" w:rsidR="00454737" w:rsidRDefault="009D0C73" w:rsidP="009D0C73">
      <w:pPr>
        <w:spacing w:line="480" w:lineRule="auto"/>
        <w:ind w:firstLine="720"/>
        <w:jc w:val="both"/>
        <w:rPr>
          <w:sz w:val="28"/>
          <w:szCs w:val="28"/>
        </w:rPr>
      </w:pPr>
      <w:r w:rsidRPr="009D0C73">
        <w:rPr>
          <w:b/>
          <w:i/>
          <w:sz w:val="28"/>
          <w:szCs w:val="28"/>
        </w:rPr>
        <w:t>Rule 33.1 (“scope of remedy/grounds for relief”):</w:t>
      </w:r>
      <w:r w:rsidRPr="009D0C73">
        <w:rPr>
          <w:sz w:val="28"/>
          <w:szCs w:val="28"/>
        </w:rPr>
        <w:t xml:space="preserve"> </w:t>
      </w:r>
      <w:r w:rsidR="00815240">
        <w:rPr>
          <w:sz w:val="28"/>
          <w:szCs w:val="28"/>
        </w:rPr>
        <w:t xml:space="preserve"> </w:t>
      </w:r>
      <w:r w:rsidR="009E519C">
        <w:rPr>
          <w:sz w:val="28"/>
          <w:szCs w:val="28"/>
        </w:rPr>
        <w:t xml:space="preserve">Members added the words “or no contest” to the title of the rule.  </w:t>
      </w:r>
      <w:r w:rsidR="00454737">
        <w:rPr>
          <w:sz w:val="28"/>
          <w:szCs w:val="28"/>
        </w:rPr>
        <w:t xml:space="preserve">Members agreed that </w:t>
      </w:r>
      <w:r w:rsidR="004514A7">
        <w:rPr>
          <w:sz w:val="28"/>
          <w:szCs w:val="28"/>
        </w:rPr>
        <w:t>Rule</w:t>
      </w:r>
      <w:r w:rsidRPr="009D0C73">
        <w:rPr>
          <w:sz w:val="28"/>
          <w:szCs w:val="28"/>
        </w:rPr>
        <w:t xml:space="preserve"> 33.1(c) and (d) should mirror the revisions the Task Force made today to the corresponding provisions of Rule 32, with the exception that Rule 33.1(c) will continue to include the words “or by the plea agreement.”  Rule 33.1(f) provides, “the failure to timely file a notice of post-conviction relief was not the defendant’s fault.” </w:t>
      </w:r>
      <w:r w:rsidR="00EC42BA">
        <w:rPr>
          <w:sz w:val="28"/>
          <w:szCs w:val="28"/>
        </w:rPr>
        <w:t xml:space="preserve"> </w:t>
      </w:r>
      <w:r w:rsidRPr="009D0C73">
        <w:rPr>
          <w:sz w:val="28"/>
          <w:szCs w:val="28"/>
        </w:rPr>
        <w:t xml:space="preserve">Because Rule 33.4(b)(3) has no time limitation on (b) through (h) claims, </w:t>
      </w:r>
      <w:r w:rsidR="00EC42BA">
        <w:rPr>
          <w:sz w:val="28"/>
          <w:szCs w:val="28"/>
        </w:rPr>
        <w:t xml:space="preserve">the Task Force </w:t>
      </w:r>
      <w:r w:rsidR="00DA6F89">
        <w:rPr>
          <w:sz w:val="28"/>
          <w:szCs w:val="28"/>
        </w:rPr>
        <w:t xml:space="preserve">discussed whether </w:t>
      </w:r>
      <w:r w:rsidRPr="009D0C73">
        <w:rPr>
          <w:sz w:val="28"/>
          <w:szCs w:val="28"/>
        </w:rPr>
        <w:t xml:space="preserve">Rule 33.1(f) </w:t>
      </w:r>
      <w:r w:rsidR="00DA6F89">
        <w:rPr>
          <w:sz w:val="28"/>
          <w:szCs w:val="28"/>
        </w:rPr>
        <w:t xml:space="preserve">should </w:t>
      </w:r>
      <w:r w:rsidRPr="009D0C73">
        <w:rPr>
          <w:sz w:val="28"/>
          <w:szCs w:val="28"/>
        </w:rPr>
        <w:t>apply on</w:t>
      </w:r>
      <w:r w:rsidR="00DA6F89">
        <w:rPr>
          <w:sz w:val="28"/>
          <w:szCs w:val="28"/>
        </w:rPr>
        <w:t>ly to claims under Rule 33.1(a).</w:t>
      </w:r>
      <w:r w:rsidRPr="009D0C73">
        <w:rPr>
          <w:sz w:val="28"/>
          <w:szCs w:val="28"/>
        </w:rPr>
        <w:t xml:space="preserve">  Members agreed that Rule 33.1(f) </w:t>
      </w:r>
      <w:r w:rsidR="00D57FD2">
        <w:rPr>
          <w:sz w:val="28"/>
          <w:szCs w:val="28"/>
        </w:rPr>
        <w:t>only applies</w:t>
      </w:r>
      <w:r w:rsidRPr="009D0C73">
        <w:rPr>
          <w:sz w:val="28"/>
          <w:szCs w:val="28"/>
        </w:rPr>
        <w:t xml:space="preserve"> to (a) claims, but they declined to make a change to the text</w:t>
      </w:r>
      <w:r w:rsidR="00DA6F89">
        <w:rPr>
          <w:sz w:val="28"/>
          <w:szCs w:val="28"/>
        </w:rPr>
        <w:t xml:space="preserve"> of this provision</w:t>
      </w:r>
      <w:r w:rsidR="00695FE9">
        <w:rPr>
          <w:sz w:val="28"/>
          <w:szCs w:val="28"/>
        </w:rPr>
        <w:t>.</w:t>
      </w:r>
    </w:p>
    <w:p w14:paraId="01928E33" w14:textId="3D17F587" w:rsidR="009D0C73" w:rsidRPr="009D0C73" w:rsidRDefault="001A73F1" w:rsidP="009D0C73">
      <w:pPr>
        <w:spacing w:line="480" w:lineRule="auto"/>
        <w:ind w:firstLine="720"/>
        <w:jc w:val="both"/>
        <w:rPr>
          <w:sz w:val="28"/>
          <w:szCs w:val="28"/>
        </w:rPr>
      </w:pPr>
      <w:r>
        <w:rPr>
          <w:sz w:val="28"/>
          <w:szCs w:val="28"/>
        </w:rPr>
        <w:t xml:space="preserve">The detailed analysis of Rule 33.1(h) </w:t>
      </w:r>
      <w:r w:rsidR="00DA6F89">
        <w:rPr>
          <w:sz w:val="28"/>
          <w:szCs w:val="28"/>
        </w:rPr>
        <w:t>[</w:t>
      </w:r>
      <w:r>
        <w:rPr>
          <w:sz w:val="28"/>
          <w:szCs w:val="28"/>
        </w:rPr>
        <w:t>at page 4 of Appendix 4 to the January petition</w:t>
      </w:r>
      <w:r w:rsidR="00DA6F89">
        <w:rPr>
          <w:sz w:val="28"/>
          <w:szCs w:val="28"/>
        </w:rPr>
        <w:t>]</w:t>
      </w:r>
      <w:r>
        <w:rPr>
          <w:sz w:val="28"/>
          <w:szCs w:val="28"/>
        </w:rPr>
        <w:t xml:space="preserve"> previously noted </w:t>
      </w:r>
      <w:r w:rsidR="00E01028">
        <w:rPr>
          <w:sz w:val="28"/>
          <w:szCs w:val="28"/>
        </w:rPr>
        <w:t xml:space="preserve">a potential need to modify this provision. </w:t>
      </w:r>
      <w:r w:rsidR="00815240">
        <w:rPr>
          <w:sz w:val="28"/>
          <w:szCs w:val="28"/>
        </w:rPr>
        <w:t xml:space="preserve"> </w:t>
      </w:r>
      <w:r w:rsidR="00454737">
        <w:rPr>
          <w:sz w:val="28"/>
          <w:szCs w:val="28"/>
        </w:rPr>
        <w:t xml:space="preserve">Members </w:t>
      </w:r>
      <w:r w:rsidR="00E01028">
        <w:rPr>
          <w:sz w:val="28"/>
          <w:szCs w:val="28"/>
        </w:rPr>
        <w:t>therefore</w:t>
      </w:r>
      <w:r w:rsidR="00454737">
        <w:rPr>
          <w:sz w:val="28"/>
          <w:szCs w:val="28"/>
        </w:rPr>
        <w:t xml:space="preserve"> discussed whether </w:t>
      </w:r>
      <w:r w:rsidR="009D0C73" w:rsidRPr="009D0C73">
        <w:rPr>
          <w:sz w:val="28"/>
          <w:szCs w:val="28"/>
        </w:rPr>
        <w:t>Rule 33.1(h) ha</w:t>
      </w:r>
      <w:r w:rsidR="00454737">
        <w:rPr>
          <w:sz w:val="28"/>
          <w:szCs w:val="28"/>
        </w:rPr>
        <w:t>d</w:t>
      </w:r>
      <w:r w:rsidR="009D0C73" w:rsidRPr="009D0C73">
        <w:rPr>
          <w:sz w:val="28"/>
          <w:szCs w:val="28"/>
        </w:rPr>
        <w:t xml:space="preserve"> relevance in the context of a pleading defendant, who waives non-jurisdictional defects and defenses to a criminal charge when entering a plea</w:t>
      </w:r>
      <w:r w:rsidR="00454737">
        <w:rPr>
          <w:sz w:val="28"/>
          <w:szCs w:val="28"/>
        </w:rPr>
        <w:t>.</w:t>
      </w:r>
      <w:r w:rsidR="009D0C73" w:rsidRPr="009D0C73">
        <w:rPr>
          <w:sz w:val="28"/>
          <w:szCs w:val="28"/>
        </w:rPr>
        <w:t xml:space="preserve">  </w:t>
      </w:r>
      <w:r w:rsidR="00E01028">
        <w:rPr>
          <w:sz w:val="28"/>
          <w:szCs w:val="28"/>
        </w:rPr>
        <w:t>They</w:t>
      </w:r>
      <w:r w:rsidR="009D0C73" w:rsidRPr="009D0C73">
        <w:rPr>
          <w:sz w:val="28"/>
          <w:szCs w:val="28"/>
        </w:rPr>
        <w:t xml:space="preserve"> agreed that it did.  They recognized that a pleading defendant’s decision</w:t>
      </w:r>
      <w:r w:rsidR="004514A7">
        <w:rPr>
          <w:sz w:val="28"/>
          <w:szCs w:val="28"/>
        </w:rPr>
        <w:t xml:space="preserve"> to enter a plea</w:t>
      </w:r>
      <w:r w:rsidR="009D0C73" w:rsidRPr="009D0C73">
        <w:rPr>
          <w:sz w:val="28"/>
          <w:szCs w:val="28"/>
        </w:rPr>
        <w:t xml:space="preserve"> is often tied to the risk of trial rather than to actual</w:t>
      </w:r>
      <w:r w:rsidR="00454737">
        <w:rPr>
          <w:sz w:val="28"/>
          <w:szCs w:val="28"/>
        </w:rPr>
        <w:t xml:space="preserve"> innocence</w:t>
      </w:r>
      <w:r w:rsidR="009D0C73" w:rsidRPr="009D0C73">
        <w:rPr>
          <w:sz w:val="28"/>
          <w:szCs w:val="28"/>
        </w:rPr>
        <w:t xml:space="preserve">, and a pleading defendant who is </w:t>
      </w:r>
      <w:proofErr w:type="gramStart"/>
      <w:r w:rsidR="009D0C73" w:rsidRPr="009D0C73">
        <w:rPr>
          <w:sz w:val="28"/>
          <w:szCs w:val="28"/>
        </w:rPr>
        <w:t>actually innocent</w:t>
      </w:r>
      <w:proofErr w:type="gramEnd"/>
      <w:r w:rsidR="009D0C73" w:rsidRPr="009D0C73">
        <w:rPr>
          <w:sz w:val="28"/>
          <w:szCs w:val="28"/>
        </w:rPr>
        <w:t xml:space="preserve"> should have an avenue for relief.  One member gave an example of a pleading defendant who is later exonerated by a DNA test (although another member characterized that as a claim </w:t>
      </w:r>
      <w:r w:rsidR="009D0C73" w:rsidRPr="009D0C73">
        <w:rPr>
          <w:sz w:val="28"/>
          <w:szCs w:val="28"/>
        </w:rPr>
        <w:lastRenderedPageBreak/>
        <w:t>of newly discovered evidence.)  Members agreed that Rule 33.1(h) is an extraordinary remedy for rare cases, and they made no changes to the proposed rule.</w:t>
      </w:r>
    </w:p>
    <w:p w14:paraId="6E65E589" w14:textId="5B33186E" w:rsidR="009D0C73" w:rsidRPr="009D0C73" w:rsidRDefault="009D0C73" w:rsidP="00454737">
      <w:pPr>
        <w:spacing w:line="480" w:lineRule="auto"/>
        <w:ind w:firstLine="720"/>
        <w:jc w:val="both"/>
        <w:rPr>
          <w:sz w:val="28"/>
          <w:szCs w:val="28"/>
        </w:rPr>
      </w:pPr>
      <w:r w:rsidRPr="009D0C73">
        <w:rPr>
          <w:b/>
          <w:i/>
          <w:sz w:val="28"/>
          <w:szCs w:val="28"/>
        </w:rPr>
        <w:t>Rule 33.2 (“preclusion of remedy”):</w:t>
      </w:r>
      <w:r w:rsidRPr="009D0C73">
        <w:rPr>
          <w:sz w:val="28"/>
          <w:szCs w:val="28"/>
        </w:rPr>
        <w:t xml:space="preserve">  </w:t>
      </w:r>
      <w:r w:rsidR="009E519C">
        <w:rPr>
          <w:sz w:val="28"/>
          <w:szCs w:val="28"/>
        </w:rPr>
        <w:t xml:space="preserve">In Rule 33.2(a)(1), after the words “pleading guilty,” members added the words “or no contest.” </w:t>
      </w:r>
      <w:r w:rsidR="00815240">
        <w:rPr>
          <w:sz w:val="28"/>
          <w:szCs w:val="28"/>
        </w:rPr>
        <w:t xml:space="preserve"> </w:t>
      </w:r>
      <w:r w:rsidRPr="009D0C73">
        <w:rPr>
          <w:sz w:val="28"/>
          <w:szCs w:val="28"/>
        </w:rPr>
        <w:t>Members made a change to Rule 33.1(b) like the change to Rule 32.2(b), i.e., adding (a)(</w:t>
      </w:r>
      <w:r w:rsidRPr="009D0C73">
        <w:rPr>
          <w:sz w:val="28"/>
          <w:szCs w:val="28"/>
          <w:u w:val="single"/>
        </w:rPr>
        <w:t>3</w:t>
      </w:r>
      <w:r w:rsidRPr="009D0C73">
        <w:rPr>
          <w:sz w:val="28"/>
          <w:szCs w:val="28"/>
        </w:rPr>
        <w:t xml:space="preserve">).  </w:t>
      </w:r>
      <w:r w:rsidR="00454737">
        <w:rPr>
          <w:sz w:val="28"/>
          <w:szCs w:val="28"/>
        </w:rPr>
        <w:t>Members</w:t>
      </w:r>
      <w:r w:rsidRPr="009D0C73">
        <w:rPr>
          <w:sz w:val="28"/>
          <w:szCs w:val="28"/>
        </w:rPr>
        <w:t xml:space="preserve"> also noted a concern with the comment. </w:t>
      </w:r>
      <w:r w:rsidR="00E01028">
        <w:rPr>
          <w:sz w:val="28"/>
          <w:szCs w:val="28"/>
        </w:rPr>
        <w:t xml:space="preserve"> </w:t>
      </w:r>
      <w:r w:rsidRPr="009D0C73">
        <w:rPr>
          <w:sz w:val="28"/>
          <w:szCs w:val="28"/>
        </w:rPr>
        <w:t>A</w:t>
      </w:r>
      <w:r w:rsidR="00B40CB7">
        <w:rPr>
          <w:sz w:val="28"/>
          <w:szCs w:val="28"/>
        </w:rPr>
        <w:t>t the time a</w:t>
      </w:r>
      <w:r w:rsidRPr="009D0C73">
        <w:rPr>
          <w:sz w:val="28"/>
          <w:szCs w:val="28"/>
        </w:rPr>
        <w:t xml:space="preserve"> defendant enter</w:t>
      </w:r>
      <w:r w:rsidR="00B40CB7">
        <w:rPr>
          <w:sz w:val="28"/>
          <w:szCs w:val="28"/>
        </w:rPr>
        <w:t>s</w:t>
      </w:r>
      <w:r w:rsidRPr="009D0C73">
        <w:rPr>
          <w:sz w:val="28"/>
          <w:szCs w:val="28"/>
        </w:rPr>
        <w:t xml:space="preserve"> a plea</w:t>
      </w:r>
      <w:r w:rsidR="00B40CB7">
        <w:rPr>
          <w:sz w:val="28"/>
          <w:szCs w:val="28"/>
        </w:rPr>
        <w:t>,</w:t>
      </w:r>
      <w:r w:rsidRPr="009D0C73">
        <w:rPr>
          <w:sz w:val="28"/>
          <w:szCs w:val="28"/>
        </w:rPr>
        <w:t xml:space="preserve"> </w:t>
      </w:r>
      <w:r w:rsidR="00B40CB7">
        <w:rPr>
          <w:sz w:val="28"/>
          <w:szCs w:val="28"/>
        </w:rPr>
        <w:t xml:space="preserve">he or she is </w:t>
      </w:r>
      <w:r w:rsidRPr="009D0C73">
        <w:rPr>
          <w:sz w:val="28"/>
          <w:szCs w:val="28"/>
        </w:rPr>
        <w:t>not waiv</w:t>
      </w:r>
      <w:r w:rsidR="00B40CB7">
        <w:rPr>
          <w:sz w:val="28"/>
          <w:szCs w:val="28"/>
        </w:rPr>
        <w:t>ing</w:t>
      </w:r>
      <w:r w:rsidRPr="009D0C73">
        <w:rPr>
          <w:sz w:val="28"/>
          <w:szCs w:val="28"/>
        </w:rPr>
        <w:t xml:space="preserve"> defects </w:t>
      </w:r>
      <w:r w:rsidR="009E519C" w:rsidRPr="009D0C73">
        <w:rPr>
          <w:sz w:val="28"/>
          <w:szCs w:val="28"/>
        </w:rPr>
        <w:t xml:space="preserve">or </w:t>
      </w:r>
      <w:r w:rsidR="009E519C">
        <w:rPr>
          <w:sz w:val="28"/>
          <w:szCs w:val="28"/>
        </w:rPr>
        <w:t>challenges</w:t>
      </w:r>
      <w:r w:rsidR="00D95F5D">
        <w:rPr>
          <w:sz w:val="28"/>
          <w:szCs w:val="28"/>
        </w:rPr>
        <w:t xml:space="preserve"> </w:t>
      </w:r>
      <w:r w:rsidRPr="009D0C73">
        <w:rPr>
          <w:sz w:val="28"/>
          <w:szCs w:val="28"/>
        </w:rPr>
        <w:t xml:space="preserve">to the subsequent sentence.  </w:t>
      </w:r>
      <w:r w:rsidR="00EB416E">
        <w:rPr>
          <w:sz w:val="28"/>
          <w:szCs w:val="28"/>
        </w:rPr>
        <w:t xml:space="preserve">Accordingly, the </w:t>
      </w:r>
      <w:r w:rsidR="00FF38DD">
        <w:rPr>
          <w:sz w:val="28"/>
          <w:szCs w:val="28"/>
        </w:rPr>
        <w:t>Task Force</w:t>
      </w:r>
      <w:r w:rsidR="00FF38DD" w:rsidRPr="009D0C73">
        <w:rPr>
          <w:sz w:val="28"/>
          <w:szCs w:val="28"/>
        </w:rPr>
        <w:t xml:space="preserve"> </w:t>
      </w:r>
      <w:r w:rsidRPr="009D0C73">
        <w:rPr>
          <w:sz w:val="28"/>
          <w:szCs w:val="28"/>
        </w:rPr>
        <w:t>added the words “or to the sentence” at the end of the first sentence of the comment to Rule 33.2(a)(1).</w:t>
      </w:r>
    </w:p>
    <w:p w14:paraId="5623B3A5" w14:textId="60F44054" w:rsidR="009D0C73" w:rsidRPr="009D0C73" w:rsidRDefault="009D0C73" w:rsidP="00454737">
      <w:pPr>
        <w:spacing w:line="480" w:lineRule="auto"/>
        <w:ind w:firstLine="720"/>
        <w:jc w:val="both"/>
        <w:rPr>
          <w:sz w:val="28"/>
          <w:szCs w:val="28"/>
        </w:rPr>
      </w:pPr>
      <w:r w:rsidRPr="009D0C73">
        <w:rPr>
          <w:b/>
          <w:i/>
          <w:sz w:val="28"/>
          <w:szCs w:val="28"/>
        </w:rPr>
        <w:t>Rule 33.5 (“appointment of counsel”); Rule 33.6 (“duty of counsel, etc.”); Rule 33.7 (“petition for post-conviction relief”); Rule 33.14 (“motion for rehearing”); Rule 33.15</w:t>
      </w:r>
      <w:r w:rsidRPr="009D0C73">
        <w:rPr>
          <w:sz w:val="28"/>
          <w:szCs w:val="28"/>
        </w:rPr>
        <w:t xml:space="preserve"> </w:t>
      </w:r>
      <w:r w:rsidRPr="009D0C73">
        <w:rPr>
          <w:b/>
          <w:i/>
          <w:sz w:val="28"/>
          <w:szCs w:val="28"/>
        </w:rPr>
        <w:t>(“notification to the appellate court”); Rule 33.16 (“petition and cross-petition for review”); and Rule 33.17 (“post-conviction DNA testing”):</w:t>
      </w:r>
      <w:r w:rsidRPr="009D0C73">
        <w:rPr>
          <w:sz w:val="28"/>
          <w:szCs w:val="28"/>
        </w:rPr>
        <w:t xml:space="preserve"> </w:t>
      </w:r>
      <w:r w:rsidR="00695FE9">
        <w:rPr>
          <w:sz w:val="28"/>
          <w:szCs w:val="28"/>
        </w:rPr>
        <w:t xml:space="preserve"> </w:t>
      </w:r>
      <w:r w:rsidRPr="009D0C73">
        <w:rPr>
          <w:sz w:val="28"/>
          <w:szCs w:val="28"/>
        </w:rPr>
        <w:t xml:space="preserve">Members made </w:t>
      </w:r>
      <w:r w:rsidR="00EB416E">
        <w:rPr>
          <w:sz w:val="28"/>
          <w:szCs w:val="28"/>
        </w:rPr>
        <w:t xml:space="preserve">or declined </w:t>
      </w:r>
      <w:r w:rsidRPr="009D0C73">
        <w:rPr>
          <w:sz w:val="28"/>
          <w:szCs w:val="28"/>
        </w:rPr>
        <w:t>to make changes to these rules corresponding to their previous discussion of Rule 32</w:t>
      </w:r>
      <w:r w:rsidR="00454737">
        <w:rPr>
          <w:sz w:val="28"/>
          <w:szCs w:val="28"/>
        </w:rPr>
        <w:t>.</w:t>
      </w:r>
      <w:r w:rsidRPr="009D0C73">
        <w:rPr>
          <w:sz w:val="28"/>
          <w:szCs w:val="28"/>
        </w:rPr>
        <w:t xml:space="preserve"> </w:t>
      </w:r>
      <w:r w:rsidR="00E01028">
        <w:rPr>
          <w:sz w:val="28"/>
          <w:szCs w:val="28"/>
        </w:rPr>
        <w:t xml:space="preserve"> </w:t>
      </w:r>
      <w:r w:rsidR="007F76F8">
        <w:rPr>
          <w:sz w:val="28"/>
          <w:szCs w:val="28"/>
        </w:rPr>
        <w:t>Members also agreed to propose</w:t>
      </w:r>
      <w:r w:rsidR="00E01028">
        <w:rPr>
          <w:sz w:val="28"/>
          <w:szCs w:val="28"/>
        </w:rPr>
        <w:t xml:space="preserve"> </w:t>
      </w:r>
      <w:r w:rsidR="007F76F8">
        <w:rPr>
          <w:sz w:val="28"/>
          <w:szCs w:val="28"/>
        </w:rPr>
        <w:t xml:space="preserve">an </w:t>
      </w:r>
      <w:r w:rsidR="00E01028">
        <w:rPr>
          <w:sz w:val="28"/>
          <w:szCs w:val="28"/>
        </w:rPr>
        <w:t>amendment to Rule 33.6(c)</w:t>
      </w:r>
      <w:r w:rsidR="007F76F8">
        <w:rPr>
          <w:sz w:val="28"/>
          <w:szCs w:val="28"/>
        </w:rPr>
        <w:t>, as shown</w:t>
      </w:r>
      <w:r w:rsidR="00E01028">
        <w:rPr>
          <w:sz w:val="28"/>
          <w:szCs w:val="28"/>
        </w:rPr>
        <w:t xml:space="preserve"> under the discussion of Form 25(b), </w:t>
      </w:r>
      <w:r w:rsidR="007F76F8">
        <w:rPr>
          <w:sz w:val="28"/>
          <w:szCs w:val="28"/>
        </w:rPr>
        <w:t xml:space="preserve">the Checklist for No Colorable Claims, </w:t>
      </w:r>
      <w:r w:rsidR="00E01028" w:rsidRPr="00E01028">
        <w:rPr>
          <w:i/>
          <w:sz w:val="28"/>
          <w:szCs w:val="28"/>
        </w:rPr>
        <w:t>infra</w:t>
      </w:r>
      <w:r w:rsidR="00E01028">
        <w:rPr>
          <w:sz w:val="28"/>
          <w:szCs w:val="28"/>
        </w:rPr>
        <w:t>.</w:t>
      </w:r>
    </w:p>
    <w:p w14:paraId="6EBEDBC7" w14:textId="33F6AE55" w:rsidR="001A73F1" w:rsidRDefault="00775C52" w:rsidP="002665E0">
      <w:pPr>
        <w:spacing w:line="480" w:lineRule="auto"/>
        <w:ind w:firstLine="720"/>
        <w:jc w:val="both"/>
        <w:rPr>
          <w:sz w:val="28"/>
          <w:szCs w:val="28"/>
        </w:rPr>
      </w:pPr>
      <w:r>
        <w:rPr>
          <w:b/>
          <w:sz w:val="28"/>
          <w:szCs w:val="28"/>
          <w:u w:val="single"/>
        </w:rPr>
        <w:t>4</w:t>
      </w:r>
      <w:r w:rsidR="002665E0" w:rsidRPr="001E4DA0">
        <w:rPr>
          <w:b/>
          <w:sz w:val="28"/>
          <w:szCs w:val="28"/>
          <w:u w:val="single"/>
        </w:rPr>
        <w:t>.</w:t>
      </w:r>
      <w:r w:rsidR="002665E0" w:rsidRPr="006D0062">
        <w:rPr>
          <w:b/>
          <w:sz w:val="28"/>
          <w:szCs w:val="28"/>
        </w:rPr>
        <w:t xml:space="preserve"> </w:t>
      </w:r>
      <w:r w:rsidR="006D0062">
        <w:rPr>
          <w:b/>
          <w:sz w:val="28"/>
          <w:szCs w:val="28"/>
          <w:u w:val="single"/>
        </w:rPr>
        <w:t xml:space="preserve">Post-Conviction </w:t>
      </w:r>
      <w:r w:rsidR="002665E0" w:rsidRPr="006D0062">
        <w:rPr>
          <w:b/>
          <w:sz w:val="28"/>
          <w:szCs w:val="28"/>
          <w:u w:val="single"/>
        </w:rPr>
        <w:t>Forms</w:t>
      </w:r>
      <w:r w:rsidR="002665E0" w:rsidRPr="002665E0">
        <w:rPr>
          <w:b/>
          <w:sz w:val="28"/>
          <w:szCs w:val="28"/>
        </w:rPr>
        <w:t>.</w:t>
      </w:r>
      <w:r w:rsidR="002665E0" w:rsidRPr="00AD6172">
        <w:rPr>
          <w:sz w:val="28"/>
          <w:szCs w:val="28"/>
        </w:rPr>
        <w:t xml:space="preserve">  </w:t>
      </w:r>
      <w:bookmarkStart w:id="1" w:name="_Hlk5010016"/>
      <w:r w:rsidR="002665E0" w:rsidRPr="002665E0">
        <w:rPr>
          <w:sz w:val="28"/>
          <w:szCs w:val="28"/>
        </w:rPr>
        <w:t xml:space="preserve">Members discussed six forms </w:t>
      </w:r>
      <w:r w:rsidR="002665E0">
        <w:rPr>
          <w:sz w:val="28"/>
          <w:szCs w:val="28"/>
        </w:rPr>
        <w:t>at</w:t>
      </w:r>
      <w:r w:rsidR="002665E0" w:rsidRPr="002665E0">
        <w:rPr>
          <w:sz w:val="28"/>
          <w:szCs w:val="28"/>
        </w:rPr>
        <w:t xml:space="preserve"> the</w:t>
      </w:r>
      <w:r w:rsidR="001A73F1">
        <w:rPr>
          <w:sz w:val="28"/>
          <w:szCs w:val="28"/>
        </w:rPr>
        <w:t>ir</w:t>
      </w:r>
      <w:r w:rsidR="002665E0" w:rsidRPr="002665E0">
        <w:rPr>
          <w:sz w:val="28"/>
          <w:szCs w:val="28"/>
        </w:rPr>
        <w:t xml:space="preserve"> </w:t>
      </w:r>
      <w:r w:rsidR="002665E0">
        <w:rPr>
          <w:sz w:val="28"/>
          <w:szCs w:val="28"/>
        </w:rPr>
        <w:t xml:space="preserve">March 22 </w:t>
      </w:r>
      <w:r w:rsidR="002665E0" w:rsidRPr="002665E0">
        <w:rPr>
          <w:sz w:val="28"/>
          <w:szCs w:val="28"/>
        </w:rPr>
        <w:t xml:space="preserve">meeting. </w:t>
      </w:r>
      <w:r w:rsidR="00EB416E">
        <w:rPr>
          <w:sz w:val="28"/>
          <w:szCs w:val="28"/>
        </w:rPr>
        <w:t xml:space="preserve"> </w:t>
      </w:r>
      <w:r w:rsidR="001A73F1">
        <w:rPr>
          <w:sz w:val="28"/>
          <w:szCs w:val="28"/>
        </w:rPr>
        <w:t xml:space="preserve">Five of the forms contain modifications to current forms.  </w:t>
      </w:r>
      <w:r w:rsidR="001E4DA0">
        <w:rPr>
          <w:sz w:val="28"/>
          <w:szCs w:val="28"/>
        </w:rPr>
        <w:t xml:space="preserve">One of the forms, the no colorable claims checklist, is new.  </w:t>
      </w:r>
      <w:r w:rsidR="00EE4FEA">
        <w:rPr>
          <w:sz w:val="28"/>
          <w:szCs w:val="28"/>
        </w:rPr>
        <w:t>S</w:t>
      </w:r>
      <w:r w:rsidR="002665E0" w:rsidRPr="002665E0">
        <w:rPr>
          <w:sz w:val="28"/>
          <w:szCs w:val="28"/>
        </w:rPr>
        <w:t xml:space="preserve">taff </w:t>
      </w:r>
      <w:r w:rsidR="00EE4FEA">
        <w:rPr>
          <w:sz w:val="28"/>
          <w:szCs w:val="28"/>
        </w:rPr>
        <w:t xml:space="preserve">prepared a </w:t>
      </w:r>
      <w:r w:rsidR="002665E0" w:rsidRPr="002665E0">
        <w:rPr>
          <w:sz w:val="28"/>
          <w:szCs w:val="28"/>
        </w:rPr>
        <w:t>memo</w:t>
      </w:r>
      <w:r w:rsidR="001E4DA0">
        <w:rPr>
          <w:sz w:val="28"/>
          <w:szCs w:val="28"/>
        </w:rPr>
        <w:t xml:space="preserve"> dated March 22, </w:t>
      </w:r>
      <w:r w:rsidR="001E4DA0">
        <w:rPr>
          <w:sz w:val="28"/>
          <w:szCs w:val="28"/>
        </w:rPr>
        <w:lastRenderedPageBreak/>
        <w:t>2019, which</w:t>
      </w:r>
      <w:r w:rsidR="002665E0" w:rsidRPr="002665E0">
        <w:rPr>
          <w:sz w:val="28"/>
          <w:szCs w:val="28"/>
        </w:rPr>
        <w:t xml:space="preserve"> detailed the modifications and explained the reasons for these changes</w:t>
      </w:r>
      <w:r w:rsidR="00EE4FEA">
        <w:rPr>
          <w:sz w:val="28"/>
          <w:szCs w:val="28"/>
        </w:rPr>
        <w:t>.  T</w:t>
      </w:r>
      <w:r w:rsidR="001A73F1">
        <w:rPr>
          <w:sz w:val="28"/>
          <w:szCs w:val="28"/>
        </w:rPr>
        <w:t>he</w:t>
      </w:r>
      <w:r w:rsidR="002665E0">
        <w:rPr>
          <w:sz w:val="28"/>
          <w:szCs w:val="28"/>
        </w:rPr>
        <w:t xml:space="preserve"> memo is included</w:t>
      </w:r>
      <w:r w:rsidR="001A73F1">
        <w:rPr>
          <w:sz w:val="28"/>
          <w:szCs w:val="28"/>
        </w:rPr>
        <w:t xml:space="preserve"> with the forms</w:t>
      </w:r>
      <w:r w:rsidR="00AD6172">
        <w:rPr>
          <w:sz w:val="28"/>
          <w:szCs w:val="28"/>
        </w:rPr>
        <w:t xml:space="preserve"> in Appendix 4-AP.</w:t>
      </w:r>
    </w:p>
    <w:p w14:paraId="17CEAC6D" w14:textId="02B10FF9" w:rsidR="002665E0" w:rsidRPr="002665E0" w:rsidRDefault="002665E0" w:rsidP="002665E0">
      <w:pPr>
        <w:spacing w:line="480" w:lineRule="auto"/>
        <w:ind w:firstLine="720"/>
        <w:jc w:val="both"/>
        <w:rPr>
          <w:sz w:val="28"/>
          <w:szCs w:val="28"/>
        </w:rPr>
      </w:pPr>
      <w:r>
        <w:rPr>
          <w:sz w:val="28"/>
          <w:szCs w:val="28"/>
        </w:rPr>
        <w:t>M</w:t>
      </w:r>
      <w:r w:rsidRPr="002665E0">
        <w:rPr>
          <w:sz w:val="28"/>
          <w:szCs w:val="28"/>
        </w:rPr>
        <w:t>embers</w:t>
      </w:r>
      <w:r>
        <w:rPr>
          <w:sz w:val="28"/>
          <w:szCs w:val="28"/>
        </w:rPr>
        <w:t xml:space="preserve"> had no changes to four of the draft forms: </w:t>
      </w:r>
      <w:r w:rsidRPr="002665E0">
        <w:rPr>
          <w:sz w:val="28"/>
          <w:szCs w:val="28"/>
        </w:rPr>
        <w:t xml:space="preserve"> </w:t>
      </w:r>
      <w:r w:rsidRPr="007F76F8">
        <w:rPr>
          <w:b/>
          <w:i/>
          <w:sz w:val="28"/>
          <w:szCs w:val="28"/>
        </w:rPr>
        <w:t>Form 23(a)</w:t>
      </w:r>
      <w:r w:rsidRPr="002665E0">
        <w:rPr>
          <w:sz w:val="28"/>
          <w:szCs w:val="28"/>
        </w:rPr>
        <w:t xml:space="preserve"> (notice of rights after sentencing in the superior court (non-capital)</w:t>
      </w:r>
      <w:r w:rsidR="00036B6A">
        <w:rPr>
          <w:sz w:val="28"/>
          <w:szCs w:val="28"/>
        </w:rPr>
        <w:t>)</w:t>
      </w:r>
      <w:r w:rsidRPr="002665E0">
        <w:rPr>
          <w:sz w:val="28"/>
          <w:szCs w:val="28"/>
        </w:rPr>
        <w:t xml:space="preserve">; </w:t>
      </w:r>
      <w:r w:rsidRPr="007F76F8">
        <w:rPr>
          <w:b/>
          <w:i/>
          <w:sz w:val="28"/>
          <w:szCs w:val="28"/>
        </w:rPr>
        <w:t>Form 23(b)</w:t>
      </w:r>
      <w:r w:rsidRPr="002665E0">
        <w:rPr>
          <w:sz w:val="28"/>
          <w:szCs w:val="28"/>
        </w:rPr>
        <w:t xml:space="preserve"> (notice of rights after sentencing in a capital case); </w:t>
      </w:r>
      <w:r w:rsidRPr="007F76F8">
        <w:rPr>
          <w:b/>
          <w:i/>
          <w:sz w:val="28"/>
          <w:szCs w:val="28"/>
        </w:rPr>
        <w:t>Form 25</w:t>
      </w:r>
      <w:r w:rsidRPr="002665E0">
        <w:rPr>
          <w:sz w:val="28"/>
          <w:szCs w:val="28"/>
        </w:rPr>
        <w:t xml:space="preserve"> (petition for post-conviction relief) and </w:t>
      </w:r>
      <w:r w:rsidRPr="007F76F8">
        <w:rPr>
          <w:b/>
          <w:i/>
          <w:sz w:val="28"/>
          <w:szCs w:val="28"/>
        </w:rPr>
        <w:t>Form 26</w:t>
      </w:r>
      <w:r w:rsidRPr="002665E0">
        <w:rPr>
          <w:sz w:val="28"/>
          <w:szCs w:val="28"/>
        </w:rPr>
        <w:t xml:space="preserve"> (defendant’s request for the court’s record).  </w:t>
      </w:r>
      <w:r>
        <w:rPr>
          <w:sz w:val="28"/>
          <w:szCs w:val="28"/>
        </w:rPr>
        <w:t>However, they made changes to two forms.</w:t>
      </w:r>
    </w:p>
    <w:p w14:paraId="41B82AAD" w14:textId="5614931F" w:rsidR="002665E0" w:rsidRPr="002665E0" w:rsidRDefault="002665E0" w:rsidP="002665E0">
      <w:pPr>
        <w:spacing w:line="480" w:lineRule="auto"/>
        <w:ind w:firstLine="720"/>
        <w:jc w:val="both"/>
        <w:rPr>
          <w:sz w:val="28"/>
          <w:szCs w:val="28"/>
        </w:rPr>
      </w:pPr>
      <w:r w:rsidRPr="002665E0">
        <w:rPr>
          <w:b/>
          <w:i/>
          <w:sz w:val="28"/>
          <w:szCs w:val="28"/>
        </w:rPr>
        <w:t>Form 24(b)</w:t>
      </w:r>
      <w:r w:rsidRPr="002665E0">
        <w:rPr>
          <w:sz w:val="28"/>
          <w:szCs w:val="28"/>
        </w:rPr>
        <w:t xml:space="preserve"> is the Notice Requesting Post-Conviction Relief.  </w:t>
      </w:r>
      <w:r>
        <w:rPr>
          <w:sz w:val="28"/>
          <w:szCs w:val="28"/>
        </w:rPr>
        <w:t>Members agreed to remove</w:t>
      </w:r>
      <w:r w:rsidRPr="002665E0">
        <w:rPr>
          <w:sz w:val="28"/>
          <w:szCs w:val="28"/>
        </w:rPr>
        <w:t xml:space="preserve"> the notary requirement in this form</w:t>
      </w:r>
      <w:r w:rsidR="004514A7">
        <w:rPr>
          <w:sz w:val="28"/>
          <w:szCs w:val="28"/>
        </w:rPr>
        <w:t>, which</w:t>
      </w:r>
      <w:r w:rsidR="007F76F8">
        <w:rPr>
          <w:sz w:val="28"/>
          <w:szCs w:val="28"/>
        </w:rPr>
        <w:t xml:space="preserve"> appeared after </w:t>
      </w:r>
      <w:r w:rsidRPr="002665E0">
        <w:rPr>
          <w:sz w:val="28"/>
          <w:szCs w:val="28"/>
        </w:rPr>
        <w:t>the affidavit of indigency at the bottom of the third page</w:t>
      </w:r>
      <w:r>
        <w:rPr>
          <w:sz w:val="28"/>
          <w:szCs w:val="28"/>
        </w:rPr>
        <w:t xml:space="preserve">, </w:t>
      </w:r>
      <w:r w:rsidRPr="002665E0">
        <w:rPr>
          <w:sz w:val="28"/>
          <w:szCs w:val="28"/>
        </w:rPr>
        <w:t>because it is difficult</w:t>
      </w:r>
      <w:r w:rsidR="004514A7">
        <w:rPr>
          <w:sz w:val="28"/>
          <w:szCs w:val="28"/>
        </w:rPr>
        <w:t xml:space="preserve"> for an inmate</w:t>
      </w:r>
      <w:r w:rsidRPr="002665E0">
        <w:rPr>
          <w:sz w:val="28"/>
          <w:szCs w:val="28"/>
        </w:rPr>
        <w:t xml:space="preserve"> to obtain a notary while confined. </w:t>
      </w:r>
      <w:r w:rsidR="00797CDF">
        <w:rPr>
          <w:sz w:val="28"/>
          <w:szCs w:val="28"/>
        </w:rPr>
        <w:t xml:space="preserve"> </w:t>
      </w:r>
      <w:r>
        <w:rPr>
          <w:sz w:val="28"/>
          <w:szCs w:val="28"/>
        </w:rPr>
        <w:t>Moreover</w:t>
      </w:r>
      <w:r w:rsidRPr="002665E0">
        <w:rPr>
          <w:sz w:val="28"/>
          <w:szCs w:val="28"/>
        </w:rPr>
        <w:t xml:space="preserve">, Civil Rule 80(c) permits a declaration under oath in lieu of a notarized affidavit in most circumstances, and this form should dispense with the notary requirement and permit a declaration.  </w:t>
      </w:r>
      <w:r w:rsidR="007E3411">
        <w:rPr>
          <w:sz w:val="28"/>
          <w:szCs w:val="28"/>
        </w:rPr>
        <w:t>Because of</w:t>
      </w:r>
      <w:r w:rsidR="007F76F8">
        <w:rPr>
          <w:sz w:val="28"/>
          <w:szCs w:val="28"/>
        </w:rPr>
        <w:t xml:space="preserve"> this modification, m</w:t>
      </w:r>
      <w:r w:rsidRPr="002665E0">
        <w:rPr>
          <w:sz w:val="28"/>
          <w:szCs w:val="28"/>
        </w:rPr>
        <w:t xml:space="preserve">embers agreed </w:t>
      </w:r>
      <w:r w:rsidR="007F76F8">
        <w:rPr>
          <w:sz w:val="28"/>
          <w:szCs w:val="28"/>
        </w:rPr>
        <w:t xml:space="preserve">to </w:t>
      </w:r>
      <w:r w:rsidRPr="002665E0">
        <w:rPr>
          <w:sz w:val="28"/>
          <w:szCs w:val="28"/>
        </w:rPr>
        <w:t>change the word “affidavit” in Rules 32.5(a) and 33.5(a) to “declaration.”  Members discussed adding either the word “optional” or a checkbox before the request for an attorney but they declined to do so because self-represented defendants will almost always complete this section regardless of those cues, and the court will appoint an attorney when one is warranted.</w:t>
      </w:r>
    </w:p>
    <w:p w14:paraId="514A0F21" w14:textId="5FAFEFE0" w:rsidR="002665E0" w:rsidRPr="002665E0" w:rsidRDefault="002665E0" w:rsidP="002665E0">
      <w:pPr>
        <w:spacing w:line="480" w:lineRule="auto"/>
        <w:ind w:firstLine="720"/>
        <w:jc w:val="both"/>
        <w:rPr>
          <w:sz w:val="28"/>
          <w:szCs w:val="28"/>
        </w:rPr>
      </w:pPr>
      <w:r w:rsidRPr="002665E0">
        <w:rPr>
          <w:b/>
          <w:i/>
          <w:sz w:val="28"/>
          <w:szCs w:val="28"/>
        </w:rPr>
        <w:t>Form 25(b)</w:t>
      </w:r>
      <w:r w:rsidRPr="002665E0">
        <w:rPr>
          <w:sz w:val="28"/>
          <w:szCs w:val="28"/>
        </w:rPr>
        <w:t xml:space="preserve"> is </w:t>
      </w:r>
      <w:r w:rsidR="00480664">
        <w:rPr>
          <w:sz w:val="28"/>
          <w:szCs w:val="28"/>
        </w:rPr>
        <w:t>a</w:t>
      </w:r>
      <w:r w:rsidRPr="002665E0">
        <w:rPr>
          <w:sz w:val="28"/>
          <w:szCs w:val="28"/>
        </w:rPr>
        <w:t xml:space="preserve"> Checklist for No Colorable Claims</w:t>
      </w:r>
      <w:r w:rsidR="00480664">
        <w:rPr>
          <w:sz w:val="28"/>
          <w:szCs w:val="28"/>
        </w:rPr>
        <w:t xml:space="preserve"> for use by counsel for a pleading defendant</w:t>
      </w:r>
      <w:r w:rsidRPr="002665E0">
        <w:rPr>
          <w:sz w:val="28"/>
          <w:szCs w:val="28"/>
        </w:rPr>
        <w:t xml:space="preserve">. </w:t>
      </w:r>
      <w:r>
        <w:rPr>
          <w:sz w:val="28"/>
          <w:szCs w:val="28"/>
        </w:rPr>
        <w:t xml:space="preserve">Members </w:t>
      </w:r>
      <w:r w:rsidRPr="002665E0">
        <w:rPr>
          <w:sz w:val="28"/>
          <w:szCs w:val="28"/>
        </w:rPr>
        <w:t xml:space="preserve">agreed to add four items to the </w:t>
      </w:r>
      <w:r>
        <w:rPr>
          <w:sz w:val="28"/>
          <w:szCs w:val="28"/>
        </w:rPr>
        <w:t xml:space="preserve">draft </w:t>
      </w:r>
      <w:r w:rsidR="00AD6172">
        <w:rPr>
          <w:sz w:val="28"/>
          <w:szCs w:val="28"/>
        </w:rPr>
        <w:t>checklist:</w:t>
      </w:r>
    </w:p>
    <w:p w14:paraId="21334E7D" w14:textId="77777777" w:rsidR="002665E0" w:rsidRPr="002665E0" w:rsidRDefault="002665E0" w:rsidP="002665E0">
      <w:pPr>
        <w:pStyle w:val="ListParagraph"/>
        <w:numPr>
          <w:ilvl w:val="0"/>
          <w:numId w:val="6"/>
        </w:numPr>
        <w:spacing w:line="480" w:lineRule="auto"/>
        <w:rPr>
          <w:rFonts w:ascii="Times New Roman" w:hAnsi="Times New Roman" w:cs="Times New Roman"/>
          <w:sz w:val="28"/>
          <w:szCs w:val="28"/>
        </w:rPr>
      </w:pPr>
      <w:r w:rsidRPr="002665E0">
        <w:rPr>
          <w:rFonts w:ascii="Times New Roman" w:hAnsi="Times New Roman" w:cs="Times New Roman"/>
          <w:sz w:val="28"/>
          <w:szCs w:val="28"/>
        </w:rPr>
        <w:lastRenderedPageBreak/>
        <w:t>the plea agreement contains the correct classification of offenses and the correct sentencing range of each offense</w:t>
      </w:r>
    </w:p>
    <w:p w14:paraId="4856E1A8" w14:textId="77777777" w:rsidR="002665E0" w:rsidRPr="002665E0" w:rsidRDefault="002665E0" w:rsidP="002665E0">
      <w:pPr>
        <w:pStyle w:val="ListParagraph"/>
        <w:numPr>
          <w:ilvl w:val="0"/>
          <w:numId w:val="6"/>
        </w:numPr>
        <w:spacing w:line="480" w:lineRule="auto"/>
        <w:rPr>
          <w:rFonts w:ascii="Times New Roman" w:hAnsi="Times New Roman" w:cs="Times New Roman"/>
          <w:sz w:val="28"/>
          <w:szCs w:val="28"/>
        </w:rPr>
      </w:pPr>
      <w:r w:rsidRPr="002665E0">
        <w:rPr>
          <w:rFonts w:ascii="Times New Roman" w:hAnsi="Times New Roman" w:cs="Times New Roman"/>
          <w:sz w:val="28"/>
          <w:szCs w:val="28"/>
        </w:rPr>
        <w:t xml:space="preserve">any aggravating factors are supported by the record </w:t>
      </w:r>
    </w:p>
    <w:p w14:paraId="481BD87A" w14:textId="4749C149" w:rsidR="002665E0" w:rsidRPr="002665E0" w:rsidRDefault="002665E0" w:rsidP="002665E0">
      <w:pPr>
        <w:pStyle w:val="ListParagraph"/>
        <w:numPr>
          <w:ilvl w:val="0"/>
          <w:numId w:val="6"/>
        </w:numPr>
        <w:spacing w:line="480" w:lineRule="auto"/>
        <w:rPr>
          <w:rFonts w:ascii="Times New Roman" w:hAnsi="Times New Roman" w:cs="Times New Roman"/>
          <w:sz w:val="28"/>
          <w:szCs w:val="28"/>
        </w:rPr>
      </w:pPr>
      <w:r w:rsidRPr="002665E0">
        <w:rPr>
          <w:rFonts w:ascii="Times New Roman" w:hAnsi="Times New Roman" w:cs="Times New Roman"/>
          <w:sz w:val="28"/>
          <w:szCs w:val="28"/>
        </w:rPr>
        <w:t>the court considered any mitigation</w:t>
      </w:r>
      <w:r w:rsidR="00D95F5D">
        <w:rPr>
          <w:rFonts w:ascii="Times New Roman" w:hAnsi="Times New Roman" w:cs="Times New Roman"/>
          <w:sz w:val="28"/>
          <w:szCs w:val="28"/>
        </w:rPr>
        <w:t xml:space="preserve"> evidence</w:t>
      </w:r>
      <w:r w:rsidRPr="002665E0">
        <w:rPr>
          <w:rFonts w:ascii="Times New Roman" w:hAnsi="Times New Roman" w:cs="Times New Roman"/>
          <w:sz w:val="28"/>
          <w:szCs w:val="28"/>
        </w:rPr>
        <w:t xml:space="preserve"> that was offered</w:t>
      </w:r>
    </w:p>
    <w:p w14:paraId="6F4C901E" w14:textId="77777777" w:rsidR="002665E0" w:rsidRPr="002665E0" w:rsidRDefault="002665E0" w:rsidP="001A73F1">
      <w:pPr>
        <w:pStyle w:val="ListParagraph"/>
        <w:numPr>
          <w:ilvl w:val="0"/>
          <w:numId w:val="6"/>
        </w:numPr>
        <w:spacing w:after="0" w:line="480" w:lineRule="auto"/>
        <w:rPr>
          <w:rFonts w:ascii="Times New Roman" w:hAnsi="Times New Roman" w:cs="Times New Roman"/>
          <w:sz w:val="28"/>
          <w:szCs w:val="28"/>
        </w:rPr>
      </w:pPr>
      <w:r w:rsidRPr="002665E0">
        <w:rPr>
          <w:rFonts w:ascii="Times New Roman" w:hAnsi="Times New Roman" w:cs="Times New Roman"/>
          <w:sz w:val="28"/>
          <w:szCs w:val="28"/>
        </w:rPr>
        <w:t>if a sentence above the presumptive term was imposed, the court relied on at least one proven statutory aggravating factor</w:t>
      </w:r>
    </w:p>
    <w:p w14:paraId="6741B9E5" w14:textId="57958112" w:rsidR="002665E0" w:rsidRPr="002665E0" w:rsidRDefault="002665E0" w:rsidP="001A73F1">
      <w:pPr>
        <w:spacing w:line="480" w:lineRule="auto"/>
        <w:jc w:val="both"/>
        <w:rPr>
          <w:sz w:val="28"/>
          <w:szCs w:val="28"/>
        </w:rPr>
      </w:pPr>
      <w:r w:rsidRPr="002665E0">
        <w:rPr>
          <w:sz w:val="28"/>
          <w:szCs w:val="28"/>
        </w:rPr>
        <w:t xml:space="preserve">Members further agreed to add these items to the list of factors in the text of </w:t>
      </w:r>
      <w:r w:rsidR="001A73F1">
        <w:rPr>
          <w:sz w:val="28"/>
          <w:szCs w:val="28"/>
        </w:rPr>
        <w:t xml:space="preserve">Rule </w:t>
      </w:r>
      <w:r w:rsidRPr="002665E0">
        <w:rPr>
          <w:sz w:val="28"/>
          <w:szCs w:val="28"/>
        </w:rPr>
        <w:t>33.6(c)</w:t>
      </w:r>
      <w:r w:rsidR="001A73F1">
        <w:rPr>
          <w:sz w:val="28"/>
          <w:szCs w:val="28"/>
        </w:rPr>
        <w:t>.</w:t>
      </w:r>
    </w:p>
    <w:bookmarkEnd w:id="1"/>
    <w:p w14:paraId="159723A4" w14:textId="7220FFE4" w:rsidR="00DA2909" w:rsidRPr="00A37884" w:rsidRDefault="00ED41BB" w:rsidP="00775C52">
      <w:pPr>
        <w:pStyle w:val="ListParagraph"/>
        <w:numPr>
          <w:ilvl w:val="0"/>
          <w:numId w:val="8"/>
        </w:numPr>
        <w:spacing w:line="480" w:lineRule="auto"/>
        <w:ind w:left="0" w:firstLine="720"/>
        <w:contextualSpacing w:val="0"/>
        <w:rPr>
          <w:rFonts w:ascii="Times New Roman" w:hAnsi="Times New Roman" w:cs="Times New Roman"/>
          <w:sz w:val="28"/>
          <w:szCs w:val="28"/>
        </w:rPr>
      </w:pPr>
      <w:r w:rsidRPr="00A37884">
        <w:rPr>
          <w:rFonts w:ascii="Times New Roman" w:hAnsi="Times New Roman" w:cs="Times New Roman"/>
          <w:b/>
          <w:sz w:val="28"/>
          <w:szCs w:val="28"/>
          <w:u w:val="single"/>
        </w:rPr>
        <w:t>Conclusion.</w:t>
      </w:r>
      <w:r w:rsidRPr="00A37884">
        <w:rPr>
          <w:rFonts w:ascii="Times New Roman" w:hAnsi="Times New Roman" w:cs="Times New Roman"/>
          <w:sz w:val="28"/>
          <w:szCs w:val="28"/>
        </w:rPr>
        <w:t xml:space="preserve">  </w:t>
      </w:r>
      <w:r w:rsidR="00A37884" w:rsidRPr="00A37884">
        <w:rPr>
          <w:rFonts w:ascii="Times New Roman" w:hAnsi="Times New Roman" w:cs="Times New Roman"/>
          <w:sz w:val="28"/>
          <w:szCs w:val="28"/>
        </w:rPr>
        <w:t>The Task Force has set a meeting on May 10, 2019, to consider the</w:t>
      </w:r>
      <w:r w:rsidR="0095461F" w:rsidRPr="00A37884">
        <w:rPr>
          <w:rFonts w:ascii="Times New Roman" w:hAnsi="Times New Roman" w:cs="Times New Roman"/>
          <w:sz w:val="28"/>
          <w:szCs w:val="28"/>
        </w:rPr>
        <w:t xml:space="preserve"> second round of comments</w:t>
      </w:r>
      <w:r w:rsidR="00480664">
        <w:rPr>
          <w:rFonts w:ascii="Times New Roman" w:hAnsi="Times New Roman" w:cs="Times New Roman"/>
          <w:sz w:val="28"/>
          <w:szCs w:val="28"/>
        </w:rPr>
        <w:t xml:space="preserve">. </w:t>
      </w:r>
      <w:r w:rsidR="0095461F" w:rsidRPr="00A37884">
        <w:rPr>
          <w:rFonts w:ascii="Times New Roman" w:hAnsi="Times New Roman" w:cs="Times New Roman"/>
          <w:sz w:val="28"/>
          <w:szCs w:val="28"/>
        </w:rPr>
        <w:t xml:space="preserve"> Petitioner </w:t>
      </w:r>
      <w:r w:rsidR="00A37884" w:rsidRPr="00A37884">
        <w:rPr>
          <w:rFonts w:ascii="Times New Roman" w:hAnsi="Times New Roman" w:cs="Times New Roman"/>
          <w:sz w:val="28"/>
          <w:szCs w:val="28"/>
        </w:rPr>
        <w:t>will then</w:t>
      </w:r>
      <w:r w:rsidR="0095461F" w:rsidRPr="00A37884">
        <w:rPr>
          <w:rFonts w:ascii="Times New Roman" w:hAnsi="Times New Roman" w:cs="Times New Roman"/>
          <w:sz w:val="28"/>
          <w:szCs w:val="28"/>
        </w:rPr>
        <w:t xml:space="preserve"> file a reply </w:t>
      </w:r>
      <w:r w:rsidR="00480664">
        <w:rPr>
          <w:rFonts w:ascii="Times New Roman" w:hAnsi="Times New Roman" w:cs="Times New Roman"/>
          <w:sz w:val="28"/>
          <w:szCs w:val="28"/>
        </w:rPr>
        <w:t>with</w:t>
      </w:r>
      <w:r w:rsidR="0095461F" w:rsidRPr="00A37884">
        <w:rPr>
          <w:rFonts w:ascii="Times New Roman" w:hAnsi="Times New Roman" w:cs="Times New Roman"/>
          <w:sz w:val="28"/>
          <w:szCs w:val="28"/>
        </w:rPr>
        <w:t xml:space="preserve"> </w:t>
      </w:r>
      <w:r w:rsidR="00DA2909" w:rsidRPr="00A37884">
        <w:rPr>
          <w:rFonts w:ascii="Times New Roman" w:hAnsi="Times New Roman" w:cs="Times New Roman"/>
          <w:sz w:val="28"/>
          <w:szCs w:val="28"/>
        </w:rPr>
        <w:t>any additional</w:t>
      </w:r>
      <w:r w:rsidR="00480664">
        <w:rPr>
          <w:rFonts w:ascii="Times New Roman" w:hAnsi="Times New Roman" w:cs="Times New Roman"/>
          <w:sz w:val="28"/>
          <w:szCs w:val="28"/>
        </w:rPr>
        <w:t xml:space="preserve"> proposed</w:t>
      </w:r>
      <w:r w:rsidR="00DA2909" w:rsidRPr="00A37884">
        <w:rPr>
          <w:rFonts w:ascii="Times New Roman" w:hAnsi="Times New Roman" w:cs="Times New Roman"/>
          <w:sz w:val="28"/>
          <w:szCs w:val="28"/>
        </w:rPr>
        <w:t xml:space="preserve"> changes</w:t>
      </w:r>
      <w:r w:rsidR="00A37884" w:rsidRPr="00A37884">
        <w:rPr>
          <w:rFonts w:ascii="Times New Roman" w:hAnsi="Times New Roman" w:cs="Times New Roman"/>
          <w:sz w:val="28"/>
          <w:szCs w:val="28"/>
        </w:rPr>
        <w:t>, as provided by the Court’s January 15, 2019 Order.</w:t>
      </w:r>
    </w:p>
    <w:p w14:paraId="38781199" w14:textId="29234645" w:rsidR="00EE7D42" w:rsidRDefault="00EE7D42" w:rsidP="00A37884">
      <w:pPr>
        <w:pStyle w:val="ListParagraph"/>
        <w:spacing w:line="480" w:lineRule="auto"/>
        <w:ind w:firstLine="0"/>
        <w:rPr>
          <w:rFonts w:ascii="Times New Roman" w:hAnsi="Times New Roman" w:cs="Times New Roman"/>
          <w:sz w:val="28"/>
          <w:szCs w:val="28"/>
        </w:rPr>
      </w:pPr>
      <w:r w:rsidRPr="006A713A">
        <w:rPr>
          <w:rFonts w:ascii="Times New Roman" w:hAnsi="Times New Roman" w:cs="Times New Roman"/>
          <w:sz w:val="28"/>
          <w:szCs w:val="28"/>
        </w:rPr>
        <w:t xml:space="preserve">RESPECTFULLY SUBMITTED this </w:t>
      </w:r>
      <w:r w:rsidR="00A37884">
        <w:rPr>
          <w:rFonts w:ascii="Times New Roman" w:hAnsi="Times New Roman" w:cs="Times New Roman"/>
          <w:sz w:val="28"/>
          <w:szCs w:val="28"/>
        </w:rPr>
        <w:t>5</w:t>
      </w:r>
      <w:r w:rsidR="00E774D5" w:rsidRPr="00E774D5">
        <w:rPr>
          <w:rFonts w:ascii="Times New Roman" w:hAnsi="Times New Roman" w:cs="Times New Roman"/>
          <w:sz w:val="28"/>
          <w:szCs w:val="28"/>
          <w:vertAlign w:val="superscript"/>
        </w:rPr>
        <w:t>th</w:t>
      </w:r>
      <w:r w:rsidR="00E774D5">
        <w:rPr>
          <w:rFonts w:ascii="Times New Roman" w:hAnsi="Times New Roman" w:cs="Times New Roman"/>
          <w:sz w:val="28"/>
          <w:szCs w:val="28"/>
        </w:rPr>
        <w:t xml:space="preserve"> </w:t>
      </w:r>
      <w:r w:rsidRPr="006A713A">
        <w:rPr>
          <w:rFonts w:ascii="Times New Roman" w:hAnsi="Times New Roman" w:cs="Times New Roman"/>
          <w:sz w:val="28"/>
          <w:szCs w:val="28"/>
        </w:rPr>
        <w:t xml:space="preserve">day of </w:t>
      </w:r>
      <w:r w:rsidR="00A37884">
        <w:rPr>
          <w:rFonts w:ascii="Times New Roman" w:hAnsi="Times New Roman" w:cs="Times New Roman"/>
          <w:sz w:val="28"/>
          <w:szCs w:val="28"/>
        </w:rPr>
        <w:t>April</w:t>
      </w:r>
      <w:r w:rsidR="003B385F" w:rsidRPr="006A713A">
        <w:rPr>
          <w:rFonts w:ascii="Times New Roman" w:hAnsi="Times New Roman" w:cs="Times New Roman"/>
          <w:sz w:val="28"/>
          <w:szCs w:val="28"/>
        </w:rPr>
        <w:t xml:space="preserve"> 2019</w:t>
      </w:r>
      <w:r w:rsidRPr="006A713A">
        <w:rPr>
          <w:rFonts w:ascii="Times New Roman" w:hAnsi="Times New Roman" w:cs="Times New Roman"/>
          <w:sz w:val="28"/>
          <w:szCs w:val="28"/>
        </w:rPr>
        <w:t>.</w:t>
      </w:r>
    </w:p>
    <w:p w14:paraId="7147E56F" w14:textId="17191FCC" w:rsidR="00EE7D42" w:rsidRPr="0095461F" w:rsidRDefault="00EE7D42" w:rsidP="00EE7D42">
      <w:pPr>
        <w:keepNext/>
        <w:ind w:left="2880" w:firstLine="720"/>
        <w:jc w:val="both"/>
        <w:rPr>
          <w:sz w:val="28"/>
          <w:szCs w:val="28"/>
          <w:u w:val="single"/>
        </w:rPr>
      </w:pPr>
      <w:r w:rsidRPr="0095461F">
        <w:rPr>
          <w:sz w:val="28"/>
          <w:szCs w:val="28"/>
        </w:rPr>
        <w:t xml:space="preserve">By </w:t>
      </w:r>
      <w:r w:rsidR="00B80838" w:rsidRPr="0095461F">
        <w:rPr>
          <w:sz w:val="28"/>
          <w:szCs w:val="28"/>
          <w:u w:val="single"/>
        </w:rPr>
        <w:t>_________________________________</w:t>
      </w:r>
    </w:p>
    <w:p w14:paraId="6FA76F88" w14:textId="7B924FD2" w:rsidR="00A06FCD" w:rsidRPr="0095461F" w:rsidRDefault="00EE7D42" w:rsidP="00AD6172">
      <w:pPr>
        <w:keepNext/>
        <w:ind w:left="2880" w:firstLine="720"/>
        <w:jc w:val="both"/>
        <w:rPr>
          <w:sz w:val="28"/>
          <w:szCs w:val="28"/>
        </w:rPr>
      </w:pPr>
      <w:r w:rsidRPr="0095461F">
        <w:rPr>
          <w:sz w:val="28"/>
          <w:szCs w:val="28"/>
        </w:rPr>
        <w:t xml:space="preserve">     </w:t>
      </w:r>
      <w:r w:rsidR="003B385F" w:rsidRPr="0095461F">
        <w:rPr>
          <w:sz w:val="28"/>
          <w:szCs w:val="28"/>
        </w:rPr>
        <w:t>Hon. Joseph Welty,</w:t>
      </w:r>
      <w:r w:rsidRPr="0095461F">
        <w:rPr>
          <w:sz w:val="28"/>
          <w:szCs w:val="28"/>
        </w:rPr>
        <w:t xml:space="preserve"> Chair</w:t>
      </w:r>
      <w:r w:rsidR="0047469D" w:rsidRPr="0095461F">
        <w:rPr>
          <w:sz w:val="28"/>
          <w:szCs w:val="28"/>
        </w:rPr>
        <w:tab/>
      </w:r>
    </w:p>
    <w:sectPr w:rsidR="00A06FCD" w:rsidRPr="0095461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71818" w14:textId="77777777" w:rsidR="00815240" w:rsidRDefault="00815240" w:rsidP="00EE7D42">
      <w:r>
        <w:separator/>
      </w:r>
    </w:p>
  </w:endnote>
  <w:endnote w:type="continuationSeparator" w:id="0">
    <w:p w14:paraId="3CE2C0D8" w14:textId="77777777" w:rsidR="00815240" w:rsidRDefault="00815240"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0960F403" w14:textId="7E37B07F" w:rsidR="00815240" w:rsidRDefault="0081524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677DDA73" w14:textId="77777777" w:rsidR="00815240" w:rsidRDefault="0081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13E20" w14:textId="77777777" w:rsidR="00815240" w:rsidRDefault="00815240" w:rsidP="00EE7D42">
      <w:r>
        <w:separator/>
      </w:r>
    </w:p>
  </w:footnote>
  <w:footnote w:type="continuationSeparator" w:id="0">
    <w:p w14:paraId="060764D5" w14:textId="77777777" w:rsidR="00815240" w:rsidRDefault="00815240" w:rsidP="00EE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FCD"/>
    <w:multiLevelType w:val="hybridMultilevel"/>
    <w:tmpl w:val="12C09D5C"/>
    <w:lvl w:ilvl="0" w:tplc="831C303E">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B90827"/>
    <w:multiLevelType w:val="hybridMultilevel"/>
    <w:tmpl w:val="07745D0A"/>
    <w:lvl w:ilvl="0" w:tplc="D6120662">
      <w:start w:val="5"/>
      <w:numFmt w:val="decimal"/>
      <w:lvlText w:val="%1."/>
      <w:lvlJc w:val="left"/>
      <w:pPr>
        <w:ind w:left="117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F74BB"/>
    <w:multiLevelType w:val="hybridMultilevel"/>
    <w:tmpl w:val="591267EA"/>
    <w:lvl w:ilvl="0" w:tplc="E172506C">
      <w:start w:val="1"/>
      <w:numFmt w:val="decimal"/>
      <w:lvlText w:val="%1."/>
      <w:lvlJc w:val="left"/>
      <w:pPr>
        <w:ind w:left="1170" w:hanging="360"/>
      </w:pPr>
      <w:rPr>
        <w:rFonts w:ascii="Times New Roman" w:hAnsi="Times New Roman" w:cs="Times New Roman" w:hint="default"/>
        <w:b/>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0F7414"/>
    <w:multiLevelType w:val="hybridMultilevel"/>
    <w:tmpl w:val="54B2A98E"/>
    <w:lvl w:ilvl="0" w:tplc="4574EAFC">
      <w:start w:val="1"/>
      <w:numFmt w:val="decimal"/>
      <w:lvlText w:val="%1."/>
      <w:lvlJc w:val="left"/>
      <w:pPr>
        <w:ind w:left="1166" w:hanging="360"/>
      </w:pPr>
      <w:rPr>
        <w:rFonts w:hint="default"/>
        <w:b/>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4DBE4627"/>
    <w:multiLevelType w:val="hybridMultilevel"/>
    <w:tmpl w:val="441AF0BE"/>
    <w:lvl w:ilvl="0" w:tplc="B8C87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CE1666"/>
    <w:multiLevelType w:val="hybridMultilevel"/>
    <w:tmpl w:val="2968EC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616657D2"/>
    <w:multiLevelType w:val="hybridMultilevel"/>
    <w:tmpl w:val="10341148"/>
    <w:lvl w:ilvl="0" w:tplc="C4EE54C2">
      <w:start w:val="4"/>
      <w:numFmt w:val="decimal"/>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7129"/>
    <w:rsid w:val="00011BAF"/>
    <w:rsid w:val="00012B4B"/>
    <w:rsid w:val="00031283"/>
    <w:rsid w:val="00035F8E"/>
    <w:rsid w:val="00036B6A"/>
    <w:rsid w:val="00077E2C"/>
    <w:rsid w:val="00084638"/>
    <w:rsid w:val="00090D52"/>
    <w:rsid w:val="000B12FD"/>
    <w:rsid w:val="000C3E5D"/>
    <w:rsid w:val="000D0D63"/>
    <w:rsid w:val="000D4EB4"/>
    <w:rsid w:val="000D78D4"/>
    <w:rsid w:val="000F01BF"/>
    <w:rsid w:val="000F596A"/>
    <w:rsid w:val="00104F24"/>
    <w:rsid w:val="00106C3A"/>
    <w:rsid w:val="00117C9A"/>
    <w:rsid w:val="001352A1"/>
    <w:rsid w:val="00142F9E"/>
    <w:rsid w:val="00153796"/>
    <w:rsid w:val="00153F82"/>
    <w:rsid w:val="001547C0"/>
    <w:rsid w:val="00161F1D"/>
    <w:rsid w:val="00163148"/>
    <w:rsid w:val="00177E91"/>
    <w:rsid w:val="00180920"/>
    <w:rsid w:val="00184329"/>
    <w:rsid w:val="00192EC5"/>
    <w:rsid w:val="001A0984"/>
    <w:rsid w:val="001A73F1"/>
    <w:rsid w:val="001B08C9"/>
    <w:rsid w:val="001B2626"/>
    <w:rsid w:val="001C04AB"/>
    <w:rsid w:val="001E4DA0"/>
    <w:rsid w:val="001F7CE2"/>
    <w:rsid w:val="00205451"/>
    <w:rsid w:val="00212622"/>
    <w:rsid w:val="00224F0E"/>
    <w:rsid w:val="00233044"/>
    <w:rsid w:val="00240813"/>
    <w:rsid w:val="0025342A"/>
    <w:rsid w:val="002665E0"/>
    <w:rsid w:val="00291788"/>
    <w:rsid w:val="002976E6"/>
    <w:rsid w:val="002B2E28"/>
    <w:rsid w:val="002B35BE"/>
    <w:rsid w:val="002B75B1"/>
    <w:rsid w:val="002E2E2E"/>
    <w:rsid w:val="0030211A"/>
    <w:rsid w:val="00373A8E"/>
    <w:rsid w:val="00387ED6"/>
    <w:rsid w:val="003922AE"/>
    <w:rsid w:val="003A03D3"/>
    <w:rsid w:val="003B203B"/>
    <w:rsid w:val="003B385F"/>
    <w:rsid w:val="003C3466"/>
    <w:rsid w:val="003C469B"/>
    <w:rsid w:val="003D5F08"/>
    <w:rsid w:val="003F00FD"/>
    <w:rsid w:val="003F5F58"/>
    <w:rsid w:val="00404E52"/>
    <w:rsid w:val="00405575"/>
    <w:rsid w:val="00415D39"/>
    <w:rsid w:val="00416176"/>
    <w:rsid w:val="0042279B"/>
    <w:rsid w:val="00430F1C"/>
    <w:rsid w:val="00441B2C"/>
    <w:rsid w:val="004514A7"/>
    <w:rsid w:val="00454737"/>
    <w:rsid w:val="0047469D"/>
    <w:rsid w:val="00480664"/>
    <w:rsid w:val="00492F8B"/>
    <w:rsid w:val="004D4481"/>
    <w:rsid w:val="004D731F"/>
    <w:rsid w:val="004E0BE3"/>
    <w:rsid w:val="00522556"/>
    <w:rsid w:val="00532AD5"/>
    <w:rsid w:val="00533586"/>
    <w:rsid w:val="0053439E"/>
    <w:rsid w:val="005360C8"/>
    <w:rsid w:val="00537649"/>
    <w:rsid w:val="00547A49"/>
    <w:rsid w:val="00580A88"/>
    <w:rsid w:val="00581F30"/>
    <w:rsid w:val="005D51BA"/>
    <w:rsid w:val="006339FD"/>
    <w:rsid w:val="00641B62"/>
    <w:rsid w:val="006508FA"/>
    <w:rsid w:val="00691EAA"/>
    <w:rsid w:val="00692DF1"/>
    <w:rsid w:val="00695FE9"/>
    <w:rsid w:val="006A165A"/>
    <w:rsid w:val="006A1F8F"/>
    <w:rsid w:val="006A713A"/>
    <w:rsid w:val="006C03E0"/>
    <w:rsid w:val="006C299A"/>
    <w:rsid w:val="006D0062"/>
    <w:rsid w:val="006E593F"/>
    <w:rsid w:val="006F7FCB"/>
    <w:rsid w:val="0071490F"/>
    <w:rsid w:val="00715C63"/>
    <w:rsid w:val="00715C7F"/>
    <w:rsid w:val="00724ABE"/>
    <w:rsid w:val="0073306D"/>
    <w:rsid w:val="00744560"/>
    <w:rsid w:val="00750AAC"/>
    <w:rsid w:val="00754454"/>
    <w:rsid w:val="0076395F"/>
    <w:rsid w:val="00773295"/>
    <w:rsid w:val="00775C52"/>
    <w:rsid w:val="00783243"/>
    <w:rsid w:val="00790421"/>
    <w:rsid w:val="00797CDF"/>
    <w:rsid w:val="007C40B7"/>
    <w:rsid w:val="007C418D"/>
    <w:rsid w:val="007C4F84"/>
    <w:rsid w:val="007D16EB"/>
    <w:rsid w:val="007D7A3E"/>
    <w:rsid w:val="007E3411"/>
    <w:rsid w:val="007F76F8"/>
    <w:rsid w:val="008121AF"/>
    <w:rsid w:val="00815240"/>
    <w:rsid w:val="00821F81"/>
    <w:rsid w:val="00842874"/>
    <w:rsid w:val="008537E8"/>
    <w:rsid w:val="00863851"/>
    <w:rsid w:val="00871D37"/>
    <w:rsid w:val="0088054D"/>
    <w:rsid w:val="0088309E"/>
    <w:rsid w:val="00884D0A"/>
    <w:rsid w:val="008E083C"/>
    <w:rsid w:val="008E7F11"/>
    <w:rsid w:val="009078BF"/>
    <w:rsid w:val="0091188E"/>
    <w:rsid w:val="009118E2"/>
    <w:rsid w:val="00922CC5"/>
    <w:rsid w:val="00934F60"/>
    <w:rsid w:val="00950E0A"/>
    <w:rsid w:val="0095461F"/>
    <w:rsid w:val="00961C78"/>
    <w:rsid w:val="009653FE"/>
    <w:rsid w:val="00966089"/>
    <w:rsid w:val="00966BF9"/>
    <w:rsid w:val="0098555E"/>
    <w:rsid w:val="009A12DE"/>
    <w:rsid w:val="009A4B87"/>
    <w:rsid w:val="009B3B9D"/>
    <w:rsid w:val="009D04BB"/>
    <w:rsid w:val="009D0C73"/>
    <w:rsid w:val="009D1689"/>
    <w:rsid w:val="009D503E"/>
    <w:rsid w:val="009E519C"/>
    <w:rsid w:val="009F0EC4"/>
    <w:rsid w:val="009F51F5"/>
    <w:rsid w:val="00A06FCD"/>
    <w:rsid w:val="00A14E00"/>
    <w:rsid w:val="00A157DA"/>
    <w:rsid w:val="00A24388"/>
    <w:rsid w:val="00A25377"/>
    <w:rsid w:val="00A35F90"/>
    <w:rsid w:val="00A37884"/>
    <w:rsid w:val="00A87ABD"/>
    <w:rsid w:val="00A95C92"/>
    <w:rsid w:val="00AA02E4"/>
    <w:rsid w:val="00AB2B5E"/>
    <w:rsid w:val="00AB30D1"/>
    <w:rsid w:val="00AD6172"/>
    <w:rsid w:val="00AF6FBE"/>
    <w:rsid w:val="00B258F6"/>
    <w:rsid w:val="00B355B2"/>
    <w:rsid w:val="00B40CB7"/>
    <w:rsid w:val="00B435F2"/>
    <w:rsid w:val="00B71543"/>
    <w:rsid w:val="00B80838"/>
    <w:rsid w:val="00B93D16"/>
    <w:rsid w:val="00B941C2"/>
    <w:rsid w:val="00B95157"/>
    <w:rsid w:val="00BA4189"/>
    <w:rsid w:val="00BA4E4F"/>
    <w:rsid w:val="00BF0DC9"/>
    <w:rsid w:val="00BF4ED1"/>
    <w:rsid w:val="00C12A62"/>
    <w:rsid w:val="00C248C5"/>
    <w:rsid w:val="00C44B44"/>
    <w:rsid w:val="00C50911"/>
    <w:rsid w:val="00C524F9"/>
    <w:rsid w:val="00C71B64"/>
    <w:rsid w:val="00C80859"/>
    <w:rsid w:val="00C902A6"/>
    <w:rsid w:val="00CA7B1E"/>
    <w:rsid w:val="00CB714B"/>
    <w:rsid w:val="00CE089E"/>
    <w:rsid w:val="00D04E30"/>
    <w:rsid w:val="00D11729"/>
    <w:rsid w:val="00D2107B"/>
    <w:rsid w:val="00D21090"/>
    <w:rsid w:val="00D57FD2"/>
    <w:rsid w:val="00D95F5D"/>
    <w:rsid w:val="00DA2909"/>
    <w:rsid w:val="00DA6F89"/>
    <w:rsid w:val="00DB4F0D"/>
    <w:rsid w:val="00DD0B96"/>
    <w:rsid w:val="00DE08A1"/>
    <w:rsid w:val="00DF4C0E"/>
    <w:rsid w:val="00E01028"/>
    <w:rsid w:val="00E16B85"/>
    <w:rsid w:val="00E21128"/>
    <w:rsid w:val="00E2769F"/>
    <w:rsid w:val="00E47F4B"/>
    <w:rsid w:val="00E6119E"/>
    <w:rsid w:val="00E774D5"/>
    <w:rsid w:val="00E774DC"/>
    <w:rsid w:val="00E809F3"/>
    <w:rsid w:val="00EB137C"/>
    <w:rsid w:val="00EB15C6"/>
    <w:rsid w:val="00EB416E"/>
    <w:rsid w:val="00EC42BA"/>
    <w:rsid w:val="00ED41BB"/>
    <w:rsid w:val="00EE4FEA"/>
    <w:rsid w:val="00EE7D42"/>
    <w:rsid w:val="00F358F6"/>
    <w:rsid w:val="00F40A83"/>
    <w:rsid w:val="00F43AD8"/>
    <w:rsid w:val="00F6005F"/>
    <w:rsid w:val="00F617AC"/>
    <w:rsid w:val="00F81C85"/>
    <w:rsid w:val="00F92794"/>
    <w:rsid w:val="00FA5347"/>
    <w:rsid w:val="00FB3C91"/>
    <w:rsid w:val="00FB44E6"/>
    <w:rsid w:val="00FC4103"/>
    <w:rsid w:val="00FF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05046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customStyle="1" w:styleId="Normal1">
    <w:name w:val="Normal1"/>
    <w:rsid w:val="00D2107B"/>
    <w:pPr>
      <w:spacing w:after="0" w:line="276" w:lineRule="auto"/>
      <w:ind w:firstLine="0"/>
      <w:jc w:val="left"/>
    </w:pPr>
    <w:rPr>
      <w:rFonts w:ascii="Arial" w:eastAsia="Arial" w:hAnsi="Arial" w:cs="Arial"/>
    </w:rPr>
  </w:style>
  <w:style w:type="paragraph" w:styleId="BalloonText">
    <w:name w:val="Balloon Text"/>
    <w:basedOn w:val="Normal"/>
    <w:link w:val="BalloonTextChar"/>
    <w:uiPriority w:val="99"/>
    <w:semiHidden/>
    <w:unhideWhenUsed/>
    <w:rsid w:val="00387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ED6"/>
    <w:rPr>
      <w:rFonts w:ascii="Segoe UI" w:eastAsia="Calibri" w:hAnsi="Segoe UI" w:cs="Segoe UI"/>
      <w:sz w:val="18"/>
      <w:szCs w:val="18"/>
    </w:rPr>
  </w:style>
  <w:style w:type="character" w:styleId="FollowedHyperlink">
    <w:name w:val="FollowedHyperlink"/>
    <w:basedOn w:val="DefaultParagraphFont"/>
    <w:uiPriority w:val="99"/>
    <w:semiHidden/>
    <w:unhideWhenUsed/>
    <w:rsid w:val="00373A8E"/>
    <w:rPr>
      <w:color w:val="954F72" w:themeColor="followedHyperlink"/>
      <w:u w:val="single"/>
    </w:rPr>
  </w:style>
  <w:style w:type="character" w:styleId="CommentReference">
    <w:name w:val="annotation reference"/>
    <w:basedOn w:val="DefaultParagraphFont"/>
    <w:uiPriority w:val="99"/>
    <w:semiHidden/>
    <w:unhideWhenUsed/>
    <w:rsid w:val="00DB4F0D"/>
    <w:rPr>
      <w:sz w:val="16"/>
      <w:szCs w:val="16"/>
    </w:rPr>
  </w:style>
  <w:style w:type="paragraph" w:styleId="CommentText">
    <w:name w:val="annotation text"/>
    <w:basedOn w:val="Normal"/>
    <w:link w:val="CommentTextChar"/>
    <w:uiPriority w:val="99"/>
    <w:semiHidden/>
    <w:unhideWhenUsed/>
    <w:rsid w:val="00DB4F0D"/>
    <w:rPr>
      <w:sz w:val="20"/>
      <w:szCs w:val="20"/>
    </w:rPr>
  </w:style>
  <w:style w:type="character" w:customStyle="1" w:styleId="CommentTextChar">
    <w:name w:val="Comment Text Char"/>
    <w:basedOn w:val="DefaultParagraphFont"/>
    <w:link w:val="CommentText"/>
    <w:uiPriority w:val="99"/>
    <w:semiHidden/>
    <w:rsid w:val="00DB4F0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5BE"/>
    <w:rPr>
      <w:b/>
      <w:bCs/>
    </w:rPr>
  </w:style>
  <w:style w:type="character" w:customStyle="1" w:styleId="CommentSubjectChar">
    <w:name w:val="Comment Subject Char"/>
    <w:basedOn w:val="CommentTextChar"/>
    <w:link w:val="CommentSubject"/>
    <w:uiPriority w:val="99"/>
    <w:semiHidden/>
    <w:rsid w:val="002B35B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Document/I13e83ad0a2e011e7ae06bb6d796f727f/View/FullText.html?transitionType=Default&amp;contextData=(sc.Default)&amp;VR=3.0&amp;RS=da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43881-30A8-4B39-9557-C7A8D84E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Pennington, Angela</cp:lastModifiedBy>
  <cp:revision>12</cp:revision>
  <cp:lastPrinted>2019-04-05T21:44:00Z</cp:lastPrinted>
  <dcterms:created xsi:type="dcterms:W3CDTF">2019-04-03T18:55:00Z</dcterms:created>
  <dcterms:modified xsi:type="dcterms:W3CDTF">2019-04-05T21:45:00Z</dcterms:modified>
</cp:coreProperties>
</file>