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50" w:type="dxa"/>
        <w:tblLayout w:type="fixed"/>
        <w:tblLook w:val="0000" w:firstRow="0" w:lastRow="0" w:firstColumn="0" w:lastColumn="0" w:noHBand="0" w:noVBand="0"/>
      </w:tblPr>
      <w:tblGrid>
        <w:gridCol w:w="4950"/>
        <w:gridCol w:w="4200"/>
      </w:tblGrid>
      <w:tr w:rsidR="00357F4D" w:rsidRPr="000F7A7F" w14:paraId="1F26B169" w14:textId="77777777" w:rsidTr="005B59B5">
        <w:trPr>
          <w:cantSplit/>
          <w:trHeight w:val="1987"/>
        </w:trPr>
        <w:tc>
          <w:tcPr>
            <w:tcW w:w="4950" w:type="dxa"/>
          </w:tcPr>
          <w:p w14:paraId="33E53016" w14:textId="763C63E2"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 xml:space="preserve">Elizabeth </w:t>
            </w:r>
            <w:r w:rsidR="005B59B5">
              <w:rPr>
                <w:sz w:val="28"/>
                <w:szCs w:val="28"/>
              </w:rPr>
              <w:t xml:space="preserve">Burton </w:t>
            </w:r>
            <w:r>
              <w:rPr>
                <w:sz w:val="28"/>
                <w:szCs w:val="28"/>
              </w:rPr>
              <w:t>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14:paraId="7A728113" w14:textId="77777777"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367A13DD" w14:textId="77777777" w:rsidR="005B59B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</w:t>
            </w:r>
          </w:p>
          <w:p w14:paraId="15CEA1E0" w14:textId="20643695" w:rsidR="00494BDF" w:rsidRPr="006F63FD" w:rsidRDefault="005B59B5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02AF3">
              <w:rPr>
                <w:sz w:val="28"/>
                <w:szCs w:val="28"/>
              </w:rPr>
              <w:t xml:space="preserve"> Advisory Council</w:t>
            </w:r>
          </w:p>
          <w:p w14:paraId="3324DE79" w14:textId="77777777" w:rsidR="00357F4D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West Camelback Road, 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14:paraId="2877A877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B02AF3">
              <w:rPr>
                <w:sz w:val="28"/>
                <w:szCs w:val="28"/>
              </w:rPr>
              <w:t>5</w:t>
            </w:r>
            <w:r w:rsidRPr="006F63FD"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3407</w:t>
            </w:r>
          </w:p>
          <w:p w14:paraId="1186B546" w14:textId="77777777"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77E50250" w14:textId="0E47CC3E" w:rsidR="00B02AF3" w:rsidRDefault="005B59B5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rStyle w:val="Hyperlink"/>
                <w:sz w:val="28"/>
                <w:szCs w:val="28"/>
              </w:rPr>
              <w:t>Elizabeth.Ortiz@apaacaz.com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58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4A46119" w14:textId="56B1C0DD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51273D">
              <w:rPr>
                <w:b/>
                <w:sz w:val="28"/>
                <w:szCs w:val="28"/>
              </w:rPr>
              <w:t>ARIZONA RULE OF CRIMINAL PROCEDURE</w:t>
            </w:r>
            <w:r w:rsidR="00C3065F">
              <w:rPr>
                <w:b/>
                <w:sz w:val="28"/>
                <w:szCs w:val="28"/>
              </w:rPr>
              <w:t xml:space="preserve"> 20(b)(1)</w:t>
            </w:r>
          </w:p>
          <w:p w14:paraId="712DCE8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71F3314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B87B69">
              <w:rPr>
                <w:sz w:val="28"/>
                <w:szCs w:val="28"/>
              </w:rPr>
              <w:t>1</w:t>
            </w:r>
            <w:r w:rsidR="00E53783">
              <w:rPr>
                <w:sz w:val="28"/>
                <w:szCs w:val="28"/>
              </w:rPr>
              <w:t>9</w:t>
            </w:r>
            <w:r w:rsidR="00B87B69">
              <w:rPr>
                <w:sz w:val="28"/>
                <w:szCs w:val="28"/>
              </w:rPr>
              <w:t>-00</w:t>
            </w:r>
            <w:r w:rsidR="00C3065F">
              <w:rPr>
                <w:sz w:val="28"/>
                <w:szCs w:val="28"/>
              </w:rPr>
              <w:t>25</w:t>
            </w:r>
          </w:p>
          <w:p w14:paraId="1B99CC13" w14:textId="54AFC8F7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4DDDA038" w14:textId="77777777" w:rsidR="00526087" w:rsidRDefault="00526087" w:rsidP="00DE52B9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14:paraId="4A585A23" w14:textId="77777777" w:rsidR="00526087" w:rsidRDefault="00526087" w:rsidP="00526087">
      <w:pPr>
        <w:pStyle w:val="Body"/>
        <w:widowControl w:val="0"/>
        <w:spacing w:line="240" w:lineRule="auto"/>
        <w:ind w:firstLine="720"/>
        <w:rPr>
          <w:b/>
          <w:sz w:val="28"/>
          <w:szCs w:val="28"/>
        </w:rPr>
      </w:pPr>
    </w:p>
    <w:p w14:paraId="3A86C9BB" w14:textId="3315D48F" w:rsidR="00A0595A" w:rsidRDefault="00A0595A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Arizona </w:t>
      </w:r>
      <w:r w:rsidR="00C3065F">
        <w:rPr>
          <w:sz w:val="28"/>
          <w:szCs w:val="28"/>
        </w:rPr>
        <w:t>Attorneys for Criminal Justice ha</w:t>
      </w:r>
      <w:r w:rsidR="00F75CE5">
        <w:rPr>
          <w:sz w:val="28"/>
          <w:szCs w:val="28"/>
        </w:rPr>
        <w:t>s</w:t>
      </w:r>
      <w:r w:rsidR="00C3065F">
        <w:rPr>
          <w:sz w:val="28"/>
          <w:szCs w:val="28"/>
        </w:rPr>
        <w:t xml:space="preserve"> filed a petition to amend Arizona Rule of Criminal Procedure 20(b).  The petition is designed to address a decision of the Arizona Court of Appeals, Division Two, on which </w:t>
      </w:r>
      <w:r w:rsidR="00F75CE5">
        <w:rPr>
          <w:sz w:val="28"/>
          <w:szCs w:val="28"/>
        </w:rPr>
        <w:t>P</w:t>
      </w:r>
      <w:r w:rsidR="00C3065F">
        <w:rPr>
          <w:sz w:val="28"/>
          <w:szCs w:val="28"/>
        </w:rPr>
        <w:t xml:space="preserve">etitioner disagrees.  </w:t>
      </w:r>
      <w:r w:rsidR="00E00AF4" w:rsidRPr="0023316F">
        <w:rPr>
          <w:sz w:val="28"/>
          <w:szCs w:val="28"/>
        </w:rPr>
        <w:t xml:space="preserve">The </w:t>
      </w:r>
      <w:r w:rsidR="00E00AF4">
        <w:rPr>
          <w:sz w:val="28"/>
          <w:szCs w:val="28"/>
        </w:rPr>
        <w:t xml:space="preserve">Arizona </w:t>
      </w:r>
      <w:r w:rsidR="00FD0C85">
        <w:rPr>
          <w:sz w:val="28"/>
          <w:szCs w:val="28"/>
        </w:rPr>
        <w:t>Prosecuting Attorneys’ Advisory Council (“APAAC”)</w:t>
      </w:r>
      <w:r w:rsidR="00E00AF4" w:rsidRPr="0023316F">
        <w:rPr>
          <w:sz w:val="28"/>
          <w:szCs w:val="28"/>
        </w:rPr>
        <w:t xml:space="preserve"> has considered the proposed </w:t>
      </w:r>
      <w:r w:rsidR="00C3065F">
        <w:rPr>
          <w:sz w:val="28"/>
          <w:szCs w:val="28"/>
        </w:rPr>
        <w:t>amendments</w:t>
      </w:r>
      <w:r w:rsidR="00FE7BE7">
        <w:rPr>
          <w:sz w:val="28"/>
          <w:szCs w:val="28"/>
        </w:rPr>
        <w:t xml:space="preserve"> </w:t>
      </w:r>
      <w:r w:rsidR="003700EE">
        <w:rPr>
          <w:sz w:val="28"/>
          <w:szCs w:val="28"/>
        </w:rPr>
        <w:t>in the petition and</w:t>
      </w:r>
      <w:r w:rsidR="00F115F7">
        <w:rPr>
          <w:sz w:val="28"/>
          <w:szCs w:val="28"/>
        </w:rPr>
        <w:t xml:space="preserve"> </w:t>
      </w:r>
      <w:r w:rsidR="00C3065F">
        <w:rPr>
          <w:sz w:val="28"/>
          <w:szCs w:val="28"/>
        </w:rPr>
        <w:t xml:space="preserve">opposes them.  The </w:t>
      </w:r>
      <w:r w:rsidR="000558F8">
        <w:rPr>
          <w:sz w:val="28"/>
          <w:szCs w:val="28"/>
        </w:rPr>
        <w:t xml:space="preserve">Court of Appeals’ </w:t>
      </w:r>
      <w:r w:rsidR="00C3065F">
        <w:rPr>
          <w:sz w:val="28"/>
          <w:szCs w:val="28"/>
        </w:rPr>
        <w:t>decision correctly decided the issue</w:t>
      </w:r>
      <w:r w:rsidR="006A3115">
        <w:rPr>
          <w:sz w:val="28"/>
          <w:szCs w:val="28"/>
        </w:rPr>
        <w:t xml:space="preserve"> at hand</w:t>
      </w:r>
      <w:r w:rsidR="00C3065F">
        <w:rPr>
          <w:sz w:val="28"/>
          <w:szCs w:val="28"/>
        </w:rPr>
        <w:t xml:space="preserve">, </w:t>
      </w:r>
      <w:r w:rsidR="006A3115">
        <w:rPr>
          <w:sz w:val="28"/>
          <w:szCs w:val="28"/>
        </w:rPr>
        <w:t>and</w:t>
      </w:r>
      <w:r w:rsidR="00314FF9">
        <w:rPr>
          <w:sz w:val="28"/>
          <w:szCs w:val="28"/>
        </w:rPr>
        <w:t xml:space="preserve"> the Arizona Supreme Court denied </w:t>
      </w:r>
      <w:r w:rsidR="00F75CE5">
        <w:rPr>
          <w:sz w:val="28"/>
          <w:szCs w:val="28"/>
        </w:rPr>
        <w:t xml:space="preserve">further </w:t>
      </w:r>
      <w:r w:rsidR="00314FF9">
        <w:rPr>
          <w:sz w:val="28"/>
          <w:szCs w:val="28"/>
        </w:rPr>
        <w:t>review</w:t>
      </w:r>
      <w:r w:rsidR="006A3115">
        <w:rPr>
          <w:sz w:val="28"/>
          <w:szCs w:val="28"/>
        </w:rPr>
        <w:t xml:space="preserve">.  Apart from the </w:t>
      </w:r>
      <w:r w:rsidR="00F75CE5">
        <w:rPr>
          <w:sz w:val="28"/>
          <w:szCs w:val="28"/>
        </w:rPr>
        <w:t>correctness</w:t>
      </w:r>
      <w:r w:rsidR="006A3115">
        <w:rPr>
          <w:sz w:val="28"/>
          <w:szCs w:val="28"/>
        </w:rPr>
        <w:t xml:space="preserve"> of the decided issue, a</w:t>
      </w:r>
      <w:r w:rsidR="00C3065F">
        <w:rPr>
          <w:sz w:val="28"/>
          <w:szCs w:val="28"/>
        </w:rPr>
        <w:t xml:space="preserve"> criminal rule change should not be the avenue</w:t>
      </w:r>
      <w:r w:rsidR="008D7AF0">
        <w:rPr>
          <w:sz w:val="28"/>
          <w:szCs w:val="28"/>
        </w:rPr>
        <w:t xml:space="preserve"> </w:t>
      </w:r>
      <w:r w:rsidR="006A3115">
        <w:rPr>
          <w:sz w:val="28"/>
          <w:szCs w:val="28"/>
        </w:rPr>
        <w:t>on</w:t>
      </w:r>
      <w:r w:rsidR="008D7AF0">
        <w:rPr>
          <w:sz w:val="28"/>
          <w:szCs w:val="28"/>
        </w:rPr>
        <w:t xml:space="preserve"> which an adverse appellate decision is challenged.</w:t>
      </w:r>
    </w:p>
    <w:p w14:paraId="5FF5DCAE" w14:textId="77777777" w:rsidR="00AB1635" w:rsidRDefault="00AB1635" w:rsidP="00AB1635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lastRenderedPageBreak/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14:paraId="0CDD0CA0" w14:textId="1330F08D" w:rsidR="00F21AA9" w:rsidRDefault="007C5EB5" w:rsidP="006957E9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Rule 20 (</w:t>
      </w:r>
      <w:r w:rsidR="00F75CE5">
        <w:rPr>
          <w:sz w:val="28"/>
          <w:szCs w:val="28"/>
        </w:rPr>
        <w:t>“</w:t>
      </w:r>
      <w:r>
        <w:rPr>
          <w:sz w:val="28"/>
          <w:szCs w:val="28"/>
        </w:rPr>
        <w:t>Judgment of Acquittal or Unproven Aggravator</w:t>
      </w:r>
      <w:r w:rsidR="00F75CE5">
        <w:rPr>
          <w:sz w:val="28"/>
          <w:szCs w:val="28"/>
        </w:rPr>
        <w:t>”</w:t>
      </w:r>
      <w:r>
        <w:rPr>
          <w:sz w:val="28"/>
          <w:szCs w:val="28"/>
        </w:rPr>
        <w:t xml:space="preserve">) provides for a judgment of acquittal either before verdict or after verdict “if there is no substantial evidence to support” a conviction, allegation, or verdict.  </w:t>
      </w:r>
      <w:r w:rsidR="006A3115">
        <w:rPr>
          <w:sz w:val="28"/>
          <w:szCs w:val="28"/>
        </w:rPr>
        <w:t xml:space="preserve">Petitioner has cited </w:t>
      </w:r>
      <w:r w:rsidR="006A3115" w:rsidRPr="006A3115">
        <w:rPr>
          <w:i/>
          <w:sz w:val="28"/>
          <w:szCs w:val="28"/>
        </w:rPr>
        <w:t>State v. Godoy (Whitney)</w:t>
      </w:r>
      <w:r w:rsidR="006A3115">
        <w:rPr>
          <w:sz w:val="28"/>
          <w:szCs w:val="28"/>
        </w:rPr>
        <w:t>, 244 Ariz. 327 (App. 2017)</w:t>
      </w:r>
      <w:r w:rsidR="00735F46">
        <w:rPr>
          <w:sz w:val="28"/>
          <w:szCs w:val="28"/>
        </w:rPr>
        <w:t>, rev</w:t>
      </w:r>
      <w:r w:rsidR="00314FF9">
        <w:rPr>
          <w:sz w:val="28"/>
          <w:szCs w:val="28"/>
        </w:rPr>
        <w:t>.</w:t>
      </w:r>
      <w:r w:rsidR="00735F46">
        <w:rPr>
          <w:sz w:val="28"/>
          <w:szCs w:val="28"/>
        </w:rPr>
        <w:t xml:space="preserve"> denied (May 8, 2018)</w:t>
      </w:r>
      <w:r w:rsidR="006A3115">
        <w:rPr>
          <w:sz w:val="28"/>
          <w:szCs w:val="28"/>
        </w:rPr>
        <w:t xml:space="preserve">, as a basis for its requested change to Rule 20.  Notably, </w:t>
      </w:r>
      <w:r w:rsidR="006A3115" w:rsidRPr="006A3115">
        <w:rPr>
          <w:i/>
          <w:sz w:val="28"/>
          <w:szCs w:val="28"/>
        </w:rPr>
        <w:t>Godoy</w:t>
      </w:r>
      <w:r w:rsidR="006A3115">
        <w:rPr>
          <w:sz w:val="28"/>
          <w:szCs w:val="28"/>
        </w:rPr>
        <w:t xml:space="preserve"> did not involve</w:t>
      </w:r>
      <w:r w:rsidR="00F21AA9">
        <w:rPr>
          <w:sz w:val="28"/>
          <w:szCs w:val="28"/>
        </w:rPr>
        <w:t xml:space="preserve"> a</w:t>
      </w:r>
      <w:r>
        <w:rPr>
          <w:sz w:val="28"/>
          <w:szCs w:val="28"/>
        </w:rPr>
        <w:t>n issue of</w:t>
      </w:r>
      <w:r w:rsidR="00F21AA9">
        <w:rPr>
          <w:sz w:val="28"/>
          <w:szCs w:val="28"/>
        </w:rPr>
        <w:t xml:space="preserve"> “substantial evidence</w:t>
      </w:r>
      <w:r w:rsidR="00663523">
        <w:rPr>
          <w:sz w:val="28"/>
          <w:szCs w:val="28"/>
        </w:rPr>
        <w:t>,</w:t>
      </w:r>
      <w:r w:rsidR="00F21AA9">
        <w:rPr>
          <w:sz w:val="28"/>
          <w:szCs w:val="28"/>
        </w:rPr>
        <w:t>” which Rule 20 was designed to address</w:t>
      </w:r>
      <w:r w:rsidR="00663523">
        <w:rPr>
          <w:sz w:val="28"/>
          <w:szCs w:val="28"/>
        </w:rPr>
        <w:t>,</w:t>
      </w:r>
      <w:r w:rsidR="00F21AA9">
        <w:rPr>
          <w:sz w:val="28"/>
          <w:szCs w:val="28"/>
        </w:rPr>
        <w:t xml:space="preserve"> but rather juror misconduct.</w:t>
      </w:r>
      <w:r w:rsidR="006A3115">
        <w:rPr>
          <w:sz w:val="28"/>
          <w:szCs w:val="28"/>
        </w:rPr>
        <w:t xml:space="preserve"> There, a jury was discharged after several jurors consulted</w:t>
      </w:r>
      <w:r w:rsidR="00F21AA9">
        <w:rPr>
          <w:sz w:val="28"/>
          <w:szCs w:val="28"/>
        </w:rPr>
        <w:t>,</w:t>
      </w:r>
      <w:r w:rsidR="006A3115">
        <w:rPr>
          <w:sz w:val="28"/>
          <w:szCs w:val="28"/>
        </w:rPr>
        <w:t xml:space="preserve"> </w:t>
      </w:r>
      <w:r w:rsidR="00F21AA9">
        <w:rPr>
          <w:sz w:val="28"/>
          <w:szCs w:val="28"/>
        </w:rPr>
        <w:t xml:space="preserve">during deliberations, </w:t>
      </w:r>
      <w:r w:rsidR="006A3115">
        <w:rPr>
          <w:sz w:val="28"/>
          <w:szCs w:val="28"/>
        </w:rPr>
        <w:t xml:space="preserve">legal </w:t>
      </w:r>
      <w:r w:rsidR="00B714FC">
        <w:rPr>
          <w:sz w:val="28"/>
          <w:szCs w:val="28"/>
        </w:rPr>
        <w:t>d</w:t>
      </w:r>
      <w:r w:rsidR="006A3115">
        <w:rPr>
          <w:sz w:val="28"/>
          <w:szCs w:val="28"/>
        </w:rPr>
        <w:t>efinitions that were not presented at trial.</w:t>
      </w:r>
      <w:r w:rsidR="00F21AA9">
        <w:rPr>
          <w:sz w:val="28"/>
          <w:szCs w:val="28"/>
        </w:rPr>
        <w:t xml:space="preserve">  After discharge, Godoy sought to raise again </w:t>
      </w:r>
      <w:r w:rsidR="00F75CE5">
        <w:rPr>
          <w:sz w:val="28"/>
          <w:szCs w:val="28"/>
        </w:rPr>
        <w:t>his</w:t>
      </w:r>
      <w:r w:rsidR="00F21AA9">
        <w:rPr>
          <w:sz w:val="28"/>
          <w:szCs w:val="28"/>
        </w:rPr>
        <w:t xml:space="preserve"> Rule 20(a) motion, which the trial court had already denied, or, in the alternative, </w:t>
      </w:r>
      <w:r w:rsidR="00F75CE5">
        <w:rPr>
          <w:sz w:val="28"/>
          <w:szCs w:val="28"/>
        </w:rPr>
        <w:t xml:space="preserve">to </w:t>
      </w:r>
      <w:r w:rsidR="00821778">
        <w:rPr>
          <w:sz w:val="28"/>
          <w:szCs w:val="28"/>
        </w:rPr>
        <w:t xml:space="preserve">bring </w:t>
      </w:r>
      <w:r w:rsidR="00F21AA9">
        <w:rPr>
          <w:sz w:val="28"/>
          <w:szCs w:val="28"/>
        </w:rPr>
        <w:t>the same motion as a 20(b) motion.  The trial court considered the motion as one for reconsideration and granted it.</w:t>
      </w:r>
    </w:p>
    <w:p w14:paraId="660A44ED" w14:textId="11D63D4C" w:rsidR="00D513DC" w:rsidRDefault="00F21AA9" w:rsidP="007C5EB5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Court of Appeals, Division Two, </w:t>
      </w:r>
      <w:r w:rsidR="00F75CE5">
        <w:rPr>
          <w:sz w:val="28"/>
          <w:szCs w:val="28"/>
        </w:rPr>
        <w:t xml:space="preserve">reversed.  It </w:t>
      </w:r>
      <w:r>
        <w:rPr>
          <w:sz w:val="28"/>
          <w:szCs w:val="28"/>
        </w:rPr>
        <w:t>held that the trial court lacked authority to grant the motion under either Rule 20(a) or 20(b) because</w:t>
      </w:r>
      <w:r w:rsidR="007C5EB5">
        <w:rPr>
          <w:sz w:val="28"/>
          <w:szCs w:val="28"/>
        </w:rPr>
        <w:t xml:space="preserve"> the trial court had already ruled at the close of the State’s case </w:t>
      </w:r>
      <w:r w:rsidR="003F59F9">
        <w:rPr>
          <w:sz w:val="28"/>
          <w:szCs w:val="28"/>
        </w:rPr>
        <w:t xml:space="preserve">under Rule 20(a) </w:t>
      </w:r>
      <w:r w:rsidR="007C5EB5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3F59F9">
        <w:rPr>
          <w:sz w:val="28"/>
          <w:szCs w:val="28"/>
        </w:rPr>
        <w:t xml:space="preserve">because </w:t>
      </w:r>
      <w:r>
        <w:rPr>
          <w:sz w:val="28"/>
          <w:szCs w:val="28"/>
        </w:rPr>
        <w:t>no verdict had been returned, as required by</w:t>
      </w:r>
      <w:r w:rsidR="009A3EFC">
        <w:rPr>
          <w:sz w:val="28"/>
          <w:szCs w:val="28"/>
        </w:rPr>
        <w:t xml:space="preserve"> Rule 20(b) and</w:t>
      </w:r>
      <w:r>
        <w:rPr>
          <w:sz w:val="28"/>
          <w:szCs w:val="28"/>
        </w:rPr>
        <w:t xml:space="preserve"> Rule 23.2 (</w:t>
      </w:r>
      <w:r w:rsidR="007C5EB5">
        <w:rPr>
          <w:sz w:val="28"/>
          <w:szCs w:val="28"/>
        </w:rPr>
        <w:t>except for specified situations, “in every case the jury must render a verdict finding the defendant either guilty or not guilty”).</w:t>
      </w:r>
      <w:r w:rsidR="009A3EFC">
        <w:rPr>
          <w:sz w:val="28"/>
          <w:szCs w:val="28"/>
        </w:rPr>
        <w:t xml:space="preserve">  The Court further held that Arizona had explicitly rejected allowing a motion for judgment of acquittal after a mistrial had been declared or jury otherwise discharged when it adopted the provisions of Rule </w:t>
      </w:r>
      <w:r w:rsidR="009A3EFC">
        <w:rPr>
          <w:sz w:val="28"/>
          <w:szCs w:val="28"/>
        </w:rPr>
        <w:lastRenderedPageBreak/>
        <w:t xml:space="preserve">20.  </w:t>
      </w:r>
      <w:r w:rsidR="009A3EFC" w:rsidRPr="009A3EFC">
        <w:rPr>
          <w:i/>
          <w:sz w:val="28"/>
          <w:szCs w:val="28"/>
        </w:rPr>
        <w:t>Godoy</w:t>
      </w:r>
      <w:r w:rsidR="009A3EFC">
        <w:rPr>
          <w:sz w:val="28"/>
          <w:szCs w:val="28"/>
        </w:rPr>
        <w:t>, at</w:t>
      </w:r>
      <w:r w:rsidR="00F75CE5">
        <w:rPr>
          <w:sz w:val="28"/>
          <w:szCs w:val="28"/>
        </w:rPr>
        <w:t xml:space="preserve"> 329,</w:t>
      </w:r>
      <w:r w:rsidR="009A3EFC">
        <w:rPr>
          <w:sz w:val="28"/>
          <w:szCs w:val="28"/>
        </w:rPr>
        <w:t xml:space="preserve"> ¶ 10.  The Court noted that the Arizona rule was derived from the Federal Rules of Criminal Procedure, which provided for a grant of a motion for judgment of acquittal after a mistrial</w:t>
      </w:r>
      <w:r w:rsidR="002D08DA">
        <w:rPr>
          <w:sz w:val="28"/>
          <w:szCs w:val="28"/>
        </w:rPr>
        <w:t xml:space="preserve"> at the time the Arizona rule was adopted.</w:t>
      </w:r>
      <w:r w:rsidR="006926B1">
        <w:rPr>
          <w:sz w:val="28"/>
          <w:szCs w:val="28"/>
        </w:rPr>
        <w:t xml:space="preserve">  </w:t>
      </w:r>
      <w:r w:rsidR="00F75CE5">
        <w:rPr>
          <w:sz w:val="28"/>
          <w:szCs w:val="28"/>
        </w:rPr>
        <w:t>Adoption of t</w:t>
      </w:r>
      <w:r w:rsidR="006926B1">
        <w:rPr>
          <w:sz w:val="28"/>
          <w:szCs w:val="28"/>
        </w:rPr>
        <w:t xml:space="preserve">hat provision was expressly </w:t>
      </w:r>
      <w:r w:rsidR="00F75CE5">
        <w:rPr>
          <w:sz w:val="28"/>
          <w:szCs w:val="28"/>
        </w:rPr>
        <w:t>declined</w:t>
      </w:r>
      <w:r w:rsidR="006926B1">
        <w:rPr>
          <w:sz w:val="28"/>
          <w:szCs w:val="28"/>
        </w:rPr>
        <w:t xml:space="preserve"> by the Arizona Supreme Court.</w:t>
      </w:r>
    </w:p>
    <w:p w14:paraId="025FB71B" w14:textId="52B0B267" w:rsidR="006926B1" w:rsidRDefault="006926B1" w:rsidP="007C5EB5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is no reason to change Rule 20 based on the Court of Appeals’ decision in </w:t>
      </w:r>
      <w:r w:rsidRPr="006926B1">
        <w:rPr>
          <w:i/>
          <w:sz w:val="28"/>
          <w:szCs w:val="28"/>
        </w:rPr>
        <w:t>State v. Godoy</w:t>
      </w:r>
      <w:r>
        <w:rPr>
          <w:sz w:val="28"/>
          <w:szCs w:val="28"/>
        </w:rPr>
        <w:t>.  The issue of juror misconduct during jury deliberations</w:t>
      </w:r>
      <w:r w:rsidR="00335E1A">
        <w:rPr>
          <w:sz w:val="28"/>
          <w:szCs w:val="28"/>
        </w:rPr>
        <w:t xml:space="preserve">, at issue in </w:t>
      </w:r>
      <w:r w:rsidR="00335E1A" w:rsidRPr="00335E1A">
        <w:rPr>
          <w:i/>
          <w:sz w:val="28"/>
          <w:szCs w:val="28"/>
        </w:rPr>
        <w:t>Godoy</w:t>
      </w:r>
      <w:r w:rsidR="00335E1A">
        <w:rPr>
          <w:sz w:val="28"/>
          <w:szCs w:val="28"/>
        </w:rPr>
        <w:t>,</w:t>
      </w:r>
      <w:r>
        <w:rPr>
          <w:sz w:val="28"/>
          <w:szCs w:val="28"/>
        </w:rPr>
        <w:t xml:space="preserve"> is completely unconnected to the quantum of evidence standard that is addressed by Rule 20.</w:t>
      </w:r>
      <w:r w:rsidR="00335E1A">
        <w:rPr>
          <w:sz w:val="28"/>
          <w:szCs w:val="28"/>
        </w:rPr>
        <w:t xml:space="preserve">  </w:t>
      </w:r>
      <w:r w:rsidR="00335E1A" w:rsidRPr="002D08DA">
        <w:rPr>
          <w:i/>
          <w:sz w:val="28"/>
          <w:szCs w:val="28"/>
        </w:rPr>
        <w:t>State v. West</w:t>
      </w:r>
      <w:r w:rsidR="00335E1A">
        <w:rPr>
          <w:sz w:val="28"/>
          <w:szCs w:val="28"/>
        </w:rPr>
        <w:t>, 226 Ariz. 559, ¶¶ 14, 16 (2011) (the standards for ruling on motions for judgment of acquittal under Rule 20 are the same whether pre- and post-verdict motion</w:t>
      </w:r>
      <w:r w:rsidR="0033258A">
        <w:rPr>
          <w:sz w:val="28"/>
          <w:szCs w:val="28"/>
        </w:rPr>
        <w:t>;</w:t>
      </w:r>
      <w:r w:rsidR="00335E1A">
        <w:rPr>
          <w:sz w:val="28"/>
          <w:szCs w:val="28"/>
        </w:rPr>
        <w:t xml:space="preserve"> was there “substantial evidence” to support a conviction)</w:t>
      </w:r>
      <w:r w:rsidR="00735F46">
        <w:rPr>
          <w:sz w:val="28"/>
          <w:szCs w:val="28"/>
        </w:rPr>
        <w:t xml:space="preserve">; </w:t>
      </w:r>
      <w:r w:rsidR="0098277E">
        <w:rPr>
          <w:i/>
          <w:sz w:val="28"/>
          <w:szCs w:val="28"/>
        </w:rPr>
        <w:t xml:space="preserve">see also </w:t>
      </w:r>
      <w:r w:rsidR="00735F46" w:rsidRPr="00735F46">
        <w:rPr>
          <w:i/>
          <w:sz w:val="28"/>
          <w:szCs w:val="28"/>
        </w:rPr>
        <w:t>State v. Goudeau</w:t>
      </w:r>
      <w:r w:rsidR="00735F46">
        <w:rPr>
          <w:sz w:val="28"/>
          <w:szCs w:val="28"/>
        </w:rPr>
        <w:t>, 239 Ariz. 421,</w:t>
      </w:r>
      <w:r w:rsidR="00F75CE5">
        <w:rPr>
          <w:sz w:val="28"/>
          <w:szCs w:val="28"/>
        </w:rPr>
        <w:t xml:space="preserve"> 461,</w:t>
      </w:r>
      <w:r w:rsidR="00735F46" w:rsidRPr="00735F46">
        <w:rPr>
          <w:sz w:val="28"/>
          <w:szCs w:val="28"/>
        </w:rPr>
        <w:t xml:space="preserve"> </w:t>
      </w:r>
      <w:r w:rsidR="00735F46">
        <w:rPr>
          <w:sz w:val="28"/>
          <w:szCs w:val="28"/>
        </w:rPr>
        <w:t>¶ 169 (2016)</w:t>
      </w:r>
      <w:r w:rsidR="00F75CE5">
        <w:rPr>
          <w:sz w:val="28"/>
          <w:szCs w:val="28"/>
        </w:rPr>
        <w:t xml:space="preserve"> (acquittal is required under Rule 20 if there is no substantial evidence to warrant a conviction).</w:t>
      </w:r>
      <w:r w:rsidR="00335E1A">
        <w:rPr>
          <w:sz w:val="28"/>
          <w:szCs w:val="28"/>
        </w:rPr>
        <w:t xml:space="preserve">  </w:t>
      </w:r>
      <w:r w:rsidR="00335E1A" w:rsidRPr="00335E1A">
        <w:rPr>
          <w:i/>
          <w:sz w:val="28"/>
          <w:szCs w:val="28"/>
        </w:rPr>
        <w:t>Godoy</w:t>
      </w:r>
      <w:r w:rsidR="00335E1A">
        <w:rPr>
          <w:sz w:val="28"/>
          <w:szCs w:val="28"/>
        </w:rPr>
        <w:t xml:space="preserve"> does not address the substantial evidence standard.</w:t>
      </w:r>
    </w:p>
    <w:p w14:paraId="753A8176" w14:textId="00FE6D7A" w:rsidR="002D08DA" w:rsidRDefault="003D7884" w:rsidP="007C5EB5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D08DA">
        <w:rPr>
          <w:sz w:val="28"/>
          <w:szCs w:val="28"/>
        </w:rPr>
        <w:t xml:space="preserve">etitioner argues that the Court of Appeals’ decision is “absurd” and results in bad public policy, </w:t>
      </w:r>
      <w:r>
        <w:rPr>
          <w:sz w:val="28"/>
          <w:szCs w:val="28"/>
        </w:rPr>
        <w:t xml:space="preserve">citing </w:t>
      </w:r>
      <w:r w:rsidRPr="002D08DA">
        <w:rPr>
          <w:i/>
          <w:sz w:val="28"/>
          <w:szCs w:val="28"/>
        </w:rPr>
        <w:t>State v. West</w:t>
      </w:r>
      <w:r>
        <w:rPr>
          <w:sz w:val="28"/>
          <w:szCs w:val="28"/>
        </w:rPr>
        <w:t xml:space="preserve"> as a basis for this claim.  However, </w:t>
      </w:r>
      <w:r w:rsidR="00F75CE5">
        <w:rPr>
          <w:sz w:val="28"/>
          <w:szCs w:val="28"/>
        </w:rPr>
        <w:t>P</w:t>
      </w:r>
      <w:r>
        <w:rPr>
          <w:sz w:val="28"/>
          <w:szCs w:val="28"/>
        </w:rPr>
        <w:t>etitioner</w:t>
      </w:r>
      <w:r w:rsidR="002D08DA">
        <w:rPr>
          <w:sz w:val="28"/>
          <w:szCs w:val="28"/>
        </w:rPr>
        <w:t xml:space="preserve"> fails to address the quantum of evidence issue</w:t>
      </w:r>
      <w:r>
        <w:rPr>
          <w:sz w:val="28"/>
          <w:szCs w:val="28"/>
        </w:rPr>
        <w:t xml:space="preserve"> that was the </w:t>
      </w:r>
      <w:r w:rsidR="000853C4">
        <w:rPr>
          <w:sz w:val="28"/>
          <w:szCs w:val="28"/>
        </w:rPr>
        <w:t>crux of</w:t>
      </w:r>
      <w:r>
        <w:rPr>
          <w:sz w:val="28"/>
          <w:szCs w:val="28"/>
        </w:rPr>
        <w:t xml:space="preserve"> </w:t>
      </w:r>
      <w:r w:rsidRPr="003D7884">
        <w:rPr>
          <w:i/>
          <w:sz w:val="28"/>
          <w:szCs w:val="28"/>
        </w:rPr>
        <w:t>West</w:t>
      </w:r>
      <w:r w:rsidR="002D0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2D08DA">
        <w:rPr>
          <w:sz w:val="28"/>
          <w:szCs w:val="28"/>
        </w:rPr>
        <w:t xml:space="preserve">that Rule 20 was designed to address.  </w:t>
      </w:r>
      <w:r w:rsidR="00134C3C">
        <w:rPr>
          <w:sz w:val="28"/>
          <w:szCs w:val="28"/>
        </w:rPr>
        <w:t xml:space="preserve">In fact, contrary to </w:t>
      </w:r>
      <w:r w:rsidR="00F75CE5">
        <w:rPr>
          <w:sz w:val="28"/>
          <w:szCs w:val="28"/>
        </w:rPr>
        <w:t>P</w:t>
      </w:r>
      <w:r w:rsidR="00134C3C">
        <w:rPr>
          <w:sz w:val="28"/>
          <w:szCs w:val="28"/>
        </w:rPr>
        <w:t xml:space="preserve">etitioner’s argument, </w:t>
      </w:r>
      <w:r w:rsidR="00134C3C" w:rsidRPr="00134C3C">
        <w:rPr>
          <w:i/>
          <w:sz w:val="28"/>
          <w:szCs w:val="28"/>
        </w:rPr>
        <w:t>West</w:t>
      </w:r>
      <w:r w:rsidR="00134C3C">
        <w:rPr>
          <w:sz w:val="28"/>
          <w:szCs w:val="28"/>
        </w:rPr>
        <w:t xml:space="preserve"> </w:t>
      </w:r>
      <w:proofErr w:type="gramStart"/>
      <w:r w:rsidR="00134C3C">
        <w:rPr>
          <w:sz w:val="28"/>
          <w:szCs w:val="28"/>
        </w:rPr>
        <w:t>actually removed</w:t>
      </w:r>
      <w:proofErr w:type="gramEnd"/>
      <w:r w:rsidR="00134C3C">
        <w:rPr>
          <w:sz w:val="28"/>
          <w:szCs w:val="28"/>
        </w:rPr>
        <w:t xml:space="preserve"> </w:t>
      </w:r>
      <w:r w:rsidR="00134C3C" w:rsidRPr="00F75CE5">
        <w:rPr>
          <w:i/>
          <w:sz w:val="28"/>
          <w:szCs w:val="28"/>
        </w:rPr>
        <w:t>restrictions</w:t>
      </w:r>
      <w:r w:rsidR="00134C3C">
        <w:rPr>
          <w:sz w:val="28"/>
          <w:szCs w:val="28"/>
        </w:rPr>
        <w:t xml:space="preserve"> </w:t>
      </w:r>
      <w:r w:rsidR="0092355D">
        <w:rPr>
          <w:sz w:val="28"/>
          <w:szCs w:val="28"/>
        </w:rPr>
        <w:t>o</w:t>
      </w:r>
      <w:r w:rsidR="00134C3C">
        <w:rPr>
          <w:sz w:val="28"/>
          <w:szCs w:val="28"/>
        </w:rPr>
        <w:t xml:space="preserve">n the trial court’s ability to grant a Rule 20(b) motion based on insufficient evidence when it disproved of the </w:t>
      </w:r>
      <w:r w:rsidR="00F75CE5">
        <w:rPr>
          <w:sz w:val="28"/>
          <w:szCs w:val="28"/>
        </w:rPr>
        <w:t>limiting</w:t>
      </w:r>
      <w:r w:rsidR="00134C3C">
        <w:rPr>
          <w:sz w:val="28"/>
          <w:szCs w:val="28"/>
        </w:rPr>
        <w:t xml:space="preserve"> language of </w:t>
      </w:r>
      <w:r w:rsidR="00134C3C" w:rsidRPr="00134C3C">
        <w:rPr>
          <w:i/>
          <w:sz w:val="28"/>
          <w:szCs w:val="28"/>
        </w:rPr>
        <w:t xml:space="preserve">State ex rel. </w:t>
      </w:r>
      <w:proofErr w:type="spellStart"/>
      <w:r w:rsidR="00134C3C" w:rsidRPr="00134C3C">
        <w:rPr>
          <w:i/>
          <w:sz w:val="28"/>
          <w:szCs w:val="28"/>
        </w:rPr>
        <w:t>Hyder</w:t>
      </w:r>
      <w:proofErr w:type="spellEnd"/>
      <w:r w:rsidR="00134C3C" w:rsidRPr="00134C3C">
        <w:rPr>
          <w:i/>
          <w:sz w:val="28"/>
          <w:szCs w:val="28"/>
        </w:rPr>
        <w:t xml:space="preserve"> v. Superior Court</w:t>
      </w:r>
      <w:r w:rsidR="00134C3C">
        <w:rPr>
          <w:sz w:val="28"/>
          <w:szCs w:val="28"/>
        </w:rPr>
        <w:t>, 128 Ariz. 216 (1981).</w:t>
      </w:r>
      <w:r w:rsidR="009A2D8F">
        <w:rPr>
          <w:sz w:val="28"/>
          <w:szCs w:val="28"/>
        </w:rPr>
        <w:t xml:space="preserve">  </w:t>
      </w:r>
      <w:r w:rsidR="009A2D8F" w:rsidRPr="009A2D8F">
        <w:rPr>
          <w:i/>
          <w:sz w:val="28"/>
          <w:szCs w:val="28"/>
        </w:rPr>
        <w:t>West</w:t>
      </w:r>
      <w:r w:rsidR="009A2D8F">
        <w:rPr>
          <w:sz w:val="28"/>
          <w:szCs w:val="28"/>
        </w:rPr>
        <w:t xml:space="preserve">, at ¶ 14.  Before </w:t>
      </w:r>
      <w:r w:rsidR="009A2D8F" w:rsidRPr="009A2D8F">
        <w:rPr>
          <w:i/>
          <w:sz w:val="28"/>
          <w:szCs w:val="28"/>
        </w:rPr>
        <w:lastRenderedPageBreak/>
        <w:t>West</w:t>
      </w:r>
      <w:r w:rsidR="009A2D8F">
        <w:rPr>
          <w:sz w:val="28"/>
          <w:szCs w:val="28"/>
        </w:rPr>
        <w:t xml:space="preserve">, </w:t>
      </w:r>
      <w:proofErr w:type="spellStart"/>
      <w:r w:rsidR="009A2D8F" w:rsidRPr="009A2D8F">
        <w:rPr>
          <w:i/>
          <w:sz w:val="28"/>
          <w:szCs w:val="28"/>
        </w:rPr>
        <w:t>Hyder</w:t>
      </w:r>
      <w:proofErr w:type="spellEnd"/>
      <w:r w:rsidR="009A2D8F">
        <w:rPr>
          <w:sz w:val="28"/>
          <w:szCs w:val="28"/>
        </w:rPr>
        <w:t xml:space="preserve"> required that a trial court could only grant a Rule 20(b) motion if it concluded it had considered “improper evidence” and changed its position on prior evidentiary rulings.  </w:t>
      </w:r>
      <w:r w:rsidR="009A2D8F" w:rsidRPr="009A2D8F">
        <w:rPr>
          <w:i/>
          <w:sz w:val="28"/>
          <w:szCs w:val="28"/>
        </w:rPr>
        <w:t>Id</w:t>
      </w:r>
      <w:r w:rsidR="009A2D8F">
        <w:rPr>
          <w:sz w:val="28"/>
          <w:szCs w:val="28"/>
        </w:rPr>
        <w:t xml:space="preserve">.  </w:t>
      </w:r>
      <w:r w:rsidR="00F75CE5">
        <w:rPr>
          <w:sz w:val="28"/>
          <w:szCs w:val="28"/>
        </w:rPr>
        <w:t>Because t</w:t>
      </w:r>
      <w:r w:rsidR="009A2D8F">
        <w:rPr>
          <w:sz w:val="28"/>
          <w:szCs w:val="28"/>
        </w:rPr>
        <w:t xml:space="preserve">hose restrictions were removed by </w:t>
      </w:r>
      <w:r w:rsidR="009A2D8F" w:rsidRPr="009A2D8F">
        <w:rPr>
          <w:i/>
          <w:sz w:val="28"/>
          <w:szCs w:val="28"/>
        </w:rPr>
        <w:t>West</w:t>
      </w:r>
      <w:r w:rsidR="00F75CE5">
        <w:rPr>
          <w:sz w:val="28"/>
          <w:szCs w:val="28"/>
        </w:rPr>
        <w:t>, that case does not support Petitioner’s argument</w:t>
      </w:r>
      <w:r w:rsidR="009702E2">
        <w:rPr>
          <w:sz w:val="28"/>
          <w:szCs w:val="28"/>
        </w:rPr>
        <w:t xml:space="preserve"> that the </w:t>
      </w:r>
      <w:r w:rsidR="009702E2" w:rsidRPr="0053685F">
        <w:rPr>
          <w:i/>
          <w:sz w:val="28"/>
          <w:szCs w:val="28"/>
        </w:rPr>
        <w:t>Godoy</w:t>
      </w:r>
      <w:r w:rsidR="009702E2">
        <w:rPr>
          <w:sz w:val="28"/>
          <w:szCs w:val="28"/>
        </w:rPr>
        <w:t xml:space="preserve"> decision results in bad public policy</w:t>
      </w:r>
      <w:r w:rsidR="009A2D8F">
        <w:rPr>
          <w:sz w:val="28"/>
          <w:szCs w:val="28"/>
        </w:rPr>
        <w:t>.</w:t>
      </w:r>
    </w:p>
    <w:p w14:paraId="0A6B3B8B" w14:textId="77777777" w:rsidR="00526087" w:rsidRPr="00104F4E" w:rsidRDefault="00526087" w:rsidP="007361D0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14:paraId="5E864E3F" w14:textId="2A5A3094" w:rsidR="0033258A" w:rsidRPr="00CF58A1" w:rsidRDefault="00E00AF4" w:rsidP="0033258A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>
        <w:rPr>
          <w:sz w:val="28"/>
          <w:szCs w:val="28"/>
        </w:rPr>
        <w:t xml:space="preserve"> </w:t>
      </w:r>
      <w:r w:rsidR="0033258A">
        <w:rPr>
          <w:sz w:val="28"/>
          <w:szCs w:val="28"/>
        </w:rPr>
        <w:t xml:space="preserve">respectfully opposes the amendments to Rule 20(b), Ariz. R. Crim. P., as set forth in petition R-19-0025.  </w:t>
      </w:r>
      <w:r w:rsidR="0053685F">
        <w:rPr>
          <w:sz w:val="28"/>
          <w:szCs w:val="28"/>
        </w:rPr>
        <w:br/>
      </w:r>
      <w:r w:rsidR="0053685F" w:rsidRPr="0053685F">
        <w:rPr>
          <w:i/>
          <w:sz w:val="28"/>
          <w:szCs w:val="28"/>
        </w:rPr>
        <w:t>State v. Godoy</w:t>
      </w:r>
      <w:r w:rsidR="0053685F">
        <w:rPr>
          <w:sz w:val="28"/>
          <w:szCs w:val="28"/>
        </w:rPr>
        <w:t>, t</w:t>
      </w:r>
      <w:r w:rsidR="0033258A">
        <w:rPr>
          <w:sz w:val="28"/>
          <w:szCs w:val="28"/>
        </w:rPr>
        <w:t>he appellate decision on which the petition is based</w:t>
      </w:r>
      <w:r w:rsidR="0053685F">
        <w:rPr>
          <w:sz w:val="28"/>
          <w:szCs w:val="28"/>
        </w:rPr>
        <w:t>,</w:t>
      </w:r>
      <w:r w:rsidR="0033258A">
        <w:rPr>
          <w:sz w:val="28"/>
          <w:szCs w:val="28"/>
        </w:rPr>
        <w:t xml:space="preserve"> does not support a need for the rule change, and </w:t>
      </w:r>
      <w:r w:rsidR="0053685F">
        <w:rPr>
          <w:sz w:val="28"/>
          <w:szCs w:val="28"/>
        </w:rPr>
        <w:t xml:space="preserve">the </w:t>
      </w:r>
      <w:r w:rsidR="0033258A">
        <w:rPr>
          <w:sz w:val="28"/>
          <w:szCs w:val="28"/>
        </w:rPr>
        <w:t>Arizona</w:t>
      </w:r>
      <w:r w:rsidR="0053685F">
        <w:rPr>
          <w:sz w:val="28"/>
          <w:szCs w:val="28"/>
        </w:rPr>
        <w:t xml:space="preserve"> Supreme Court</w:t>
      </w:r>
      <w:r w:rsidR="0033258A">
        <w:rPr>
          <w:sz w:val="28"/>
          <w:szCs w:val="28"/>
        </w:rPr>
        <w:t xml:space="preserve"> has already expressly rejected adoption of the change </w:t>
      </w:r>
      <w:r w:rsidR="00F75CE5">
        <w:rPr>
          <w:sz w:val="28"/>
          <w:szCs w:val="28"/>
        </w:rPr>
        <w:t>P</w:t>
      </w:r>
      <w:r w:rsidR="0033258A">
        <w:rPr>
          <w:sz w:val="28"/>
          <w:szCs w:val="28"/>
        </w:rPr>
        <w:t>etitioner seeks.</w:t>
      </w:r>
    </w:p>
    <w:p w14:paraId="734C19C4" w14:textId="63D15B38" w:rsidR="005C5067" w:rsidRDefault="00526087" w:rsidP="005C5067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Cs w:val="26"/>
        </w:rPr>
        <w:t xml:space="preserve">       </w:t>
      </w:r>
      <w:r w:rsidR="0053685F">
        <w:rPr>
          <w:szCs w:val="26"/>
        </w:rPr>
        <w:tab/>
      </w:r>
      <w:r w:rsidR="005C5067" w:rsidRPr="006F63FD">
        <w:rPr>
          <w:sz w:val="28"/>
          <w:szCs w:val="28"/>
        </w:rPr>
        <w:t xml:space="preserve">RESPECTFULLY SUBMITTED this </w:t>
      </w:r>
      <w:r w:rsidR="005C5067">
        <w:rPr>
          <w:sz w:val="28"/>
          <w:szCs w:val="28"/>
          <w:u w:val="single"/>
        </w:rPr>
        <w:t xml:space="preserve"> 18</w:t>
      </w:r>
      <w:r w:rsidR="005C5067" w:rsidRPr="001A0E99">
        <w:rPr>
          <w:sz w:val="28"/>
          <w:szCs w:val="28"/>
          <w:u w:val="single"/>
          <w:vertAlign w:val="superscript"/>
        </w:rPr>
        <w:t>th</w:t>
      </w:r>
      <w:r w:rsidR="005C5067">
        <w:rPr>
          <w:sz w:val="28"/>
          <w:szCs w:val="28"/>
          <w:u w:val="single"/>
        </w:rPr>
        <w:t xml:space="preserve"> </w:t>
      </w:r>
      <w:r w:rsidR="005C5067" w:rsidRPr="001A0E99">
        <w:rPr>
          <w:sz w:val="28"/>
          <w:szCs w:val="28"/>
        </w:rPr>
        <w:t xml:space="preserve"> </w:t>
      </w:r>
      <w:r w:rsidR="005C5067" w:rsidRPr="006F63FD">
        <w:rPr>
          <w:sz w:val="28"/>
          <w:szCs w:val="28"/>
        </w:rPr>
        <w:t>day of</w:t>
      </w:r>
      <w:r w:rsidR="005C5067">
        <w:rPr>
          <w:sz w:val="28"/>
          <w:szCs w:val="28"/>
        </w:rPr>
        <w:t xml:space="preserve"> </w:t>
      </w:r>
      <w:proofErr w:type="gramStart"/>
      <w:r w:rsidR="005C5067">
        <w:rPr>
          <w:sz w:val="28"/>
          <w:szCs w:val="28"/>
        </w:rPr>
        <w:t>March</w:t>
      </w:r>
      <w:r w:rsidR="005C5067" w:rsidRPr="006F63FD">
        <w:rPr>
          <w:sz w:val="28"/>
          <w:szCs w:val="28"/>
        </w:rPr>
        <w:t>,</w:t>
      </w:r>
      <w:proofErr w:type="gramEnd"/>
      <w:r w:rsidR="005C5067" w:rsidRPr="006F63FD">
        <w:rPr>
          <w:sz w:val="28"/>
          <w:szCs w:val="28"/>
        </w:rPr>
        <w:t xml:space="preserve"> 201</w:t>
      </w:r>
      <w:r w:rsidR="005C5067">
        <w:rPr>
          <w:sz w:val="28"/>
          <w:szCs w:val="28"/>
        </w:rPr>
        <w:t>9</w:t>
      </w:r>
      <w:r w:rsidR="005C5067" w:rsidRPr="006F63FD">
        <w:rPr>
          <w:sz w:val="28"/>
          <w:szCs w:val="28"/>
        </w:rPr>
        <w:t>.</w:t>
      </w:r>
    </w:p>
    <w:p w14:paraId="49857621" w14:textId="77777777" w:rsidR="005C5067" w:rsidRDefault="005C5067" w:rsidP="005C5067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11A8A1" w14:textId="77777777" w:rsidR="005C5067" w:rsidRPr="001A0E99" w:rsidRDefault="005C5067" w:rsidP="005C5067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/s/  </w:t>
      </w:r>
      <w:r>
        <w:rPr>
          <w:rFonts w:ascii="Lucida Handwriting" w:hAnsi="Lucida Handwriting"/>
          <w:sz w:val="28"/>
          <w:szCs w:val="28"/>
          <w:u w:val="single"/>
        </w:rPr>
        <w:t>Elizabeth Burton Ortiz</w:t>
      </w:r>
      <w:r>
        <w:rPr>
          <w:rFonts w:ascii="Lucida Handwriting" w:hAnsi="Lucida Handwriting"/>
          <w:sz w:val="28"/>
          <w:szCs w:val="28"/>
          <w:u w:val="single"/>
        </w:rPr>
        <w:tab/>
      </w:r>
      <w:r>
        <w:rPr>
          <w:rFonts w:ascii="Lucida Handwriting" w:hAnsi="Lucida Handwriting"/>
          <w:sz w:val="28"/>
          <w:szCs w:val="28"/>
          <w:u w:val="single"/>
        </w:rPr>
        <w:tab/>
      </w:r>
    </w:p>
    <w:p w14:paraId="607EFDC1" w14:textId="77777777" w:rsidR="005C5067" w:rsidRPr="006F63FD" w:rsidRDefault="005C5067" w:rsidP="005C5067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Elizabeth Burton Ortiz, #012838</w:t>
      </w:r>
    </w:p>
    <w:p w14:paraId="02D9CA15" w14:textId="77777777" w:rsidR="005C5067" w:rsidRDefault="005C5067" w:rsidP="005C5067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782A297E" w14:textId="77777777" w:rsidR="005C5067" w:rsidRDefault="005C5067" w:rsidP="005C5067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0486CAE1" w14:textId="77777777" w:rsidR="005C5067" w:rsidRPr="006F63FD" w:rsidRDefault="005C5067" w:rsidP="005C5067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Advisory Council</w:t>
      </w:r>
    </w:p>
    <w:p w14:paraId="4221C6C5" w14:textId="77777777" w:rsidR="005C5067" w:rsidRPr="000F7A7F" w:rsidRDefault="005C5067" w:rsidP="005C5067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24D353C7" w14:textId="77777777" w:rsidR="005C5067" w:rsidRDefault="005C5067" w:rsidP="005C5067">
      <w:pPr>
        <w:widowControl w:val="0"/>
        <w:spacing w:line="240" w:lineRule="auto"/>
        <w:ind w:right="4140"/>
        <w:rPr>
          <w:sz w:val="28"/>
          <w:szCs w:val="28"/>
        </w:rPr>
      </w:pPr>
    </w:p>
    <w:p w14:paraId="5A41B576" w14:textId="77777777" w:rsidR="005C5067" w:rsidRPr="00C52E56" w:rsidRDefault="005C5067" w:rsidP="005C5067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25DB443D" w14:textId="77777777" w:rsidR="005C5067" w:rsidRPr="00C52E56" w:rsidRDefault="005C5067" w:rsidP="005C5067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67D59FDD" w14:textId="77777777" w:rsidR="005C5067" w:rsidRPr="00C52E56" w:rsidRDefault="005C5067" w:rsidP="005C5067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18</w:t>
      </w:r>
      <w:r w:rsidRPr="001A0E99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March</w:t>
      </w:r>
      <w:r w:rsidRPr="00C52E56">
        <w:rPr>
          <w:sz w:val="28"/>
          <w:szCs w:val="28"/>
        </w:rPr>
        <w:t>,</w:t>
      </w:r>
      <w:proofErr w:type="gramEnd"/>
      <w:r w:rsidRPr="00C52E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C52E56">
        <w:rPr>
          <w:sz w:val="28"/>
          <w:szCs w:val="28"/>
        </w:rPr>
        <w:t>.</w:t>
      </w:r>
    </w:p>
    <w:p w14:paraId="0962DAF9" w14:textId="77777777" w:rsidR="005C5067" w:rsidRDefault="005C5067" w:rsidP="005C5067">
      <w:pPr>
        <w:spacing w:line="240" w:lineRule="auto"/>
        <w:ind w:right="4572"/>
        <w:rPr>
          <w:sz w:val="28"/>
          <w:szCs w:val="28"/>
        </w:rPr>
      </w:pPr>
    </w:p>
    <w:p w14:paraId="30773556" w14:textId="77777777" w:rsidR="005C5067" w:rsidRDefault="005C5067" w:rsidP="005C5067">
      <w:pPr>
        <w:spacing w:line="240" w:lineRule="auto"/>
        <w:ind w:right="4572"/>
        <w:rPr>
          <w:sz w:val="28"/>
          <w:szCs w:val="28"/>
        </w:rPr>
      </w:pPr>
      <w:bookmarkStart w:id="2" w:name="_Hlk3808272"/>
    </w:p>
    <w:p w14:paraId="7A652556" w14:textId="03A105F2" w:rsidR="00052372" w:rsidRPr="000F7A7F" w:rsidRDefault="005C5067" w:rsidP="005C5067">
      <w:pPr>
        <w:spacing w:line="240" w:lineRule="auto"/>
        <w:ind w:right="4572"/>
        <w:rPr>
          <w:sz w:val="26"/>
          <w:szCs w:val="26"/>
        </w:rPr>
      </w:pPr>
      <w:r>
        <w:rPr>
          <w:sz w:val="28"/>
          <w:szCs w:val="28"/>
        </w:rPr>
        <w:t>B</w:t>
      </w:r>
      <w:r w:rsidRPr="00C52E56">
        <w:rPr>
          <w:sz w:val="28"/>
          <w:szCs w:val="28"/>
        </w:rPr>
        <w:t>y:</w:t>
      </w:r>
      <w:r>
        <w:rPr>
          <w:sz w:val="28"/>
          <w:szCs w:val="28"/>
          <w:u w:val="single"/>
        </w:rPr>
        <w:t xml:space="preserve">  /s/    </w:t>
      </w:r>
      <w:r w:rsidRPr="001A0E99">
        <w:rPr>
          <w:rFonts w:ascii="Bradley Hand ITC" w:hAnsi="Bradley Hand ITC"/>
          <w:sz w:val="32"/>
          <w:szCs w:val="28"/>
          <w:u w:val="single"/>
        </w:rPr>
        <w:t>Diana Cooney</w:t>
      </w:r>
      <w:r w:rsidRPr="001A0E99">
        <w:rPr>
          <w:rFonts w:ascii="Bradley Hand ITC" w:hAnsi="Bradley Hand ITC"/>
          <w:sz w:val="32"/>
          <w:szCs w:val="28"/>
          <w:u w:val="single"/>
        </w:rPr>
        <w:tab/>
      </w:r>
      <w:r>
        <w:rPr>
          <w:rFonts w:ascii="Bradley Hand ITC" w:hAnsi="Bradley Hand ITC"/>
          <w:sz w:val="32"/>
          <w:szCs w:val="28"/>
          <w:u w:val="single"/>
        </w:rPr>
        <w:tab/>
      </w:r>
      <w:bookmarkStart w:id="3" w:name="_GoBack"/>
      <w:bookmarkEnd w:id="2"/>
      <w:bookmarkEnd w:id="3"/>
    </w:p>
    <w:sectPr w:rsidR="00052372" w:rsidRPr="000F7A7F" w:rsidSect="006F63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7EFD" w14:textId="77777777" w:rsidR="00CA6DF8" w:rsidRDefault="00CA6DF8">
      <w:r>
        <w:separator/>
      </w:r>
    </w:p>
  </w:endnote>
  <w:endnote w:type="continuationSeparator" w:id="0">
    <w:p w14:paraId="472A17F8" w14:textId="77777777" w:rsidR="00CA6DF8" w:rsidRDefault="00CA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4592" w14:textId="77777777" w:rsidR="00967F61" w:rsidRDefault="00967F61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967F61" w:rsidRDefault="00967F61" w:rsidP="00861563">
    <w:pPr>
      <w:pStyle w:val="Footer"/>
      <w:ind w:right="360"/>
    </w:pPr>
  </w:p>
  <w:p w14:paraId="1E6CF164" w14:textId="77777777" w:rsidR="00967F61" w:rsidRDefault="009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967F61" w:rsidRPr="006B4F9A" w:rsidRDefault="00967F6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75606F">
          <w:rPr>
            <w:noProof/>
            <w:sz w:val="26"/>
            <w:szCs w:val="26"/>
          </w:rPr>
          <w:t>15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967F61" w:rsidRDefault="00967F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E87EC" w14:textId="77777777" w:rsidR="005B59B5" w:rsidRDefault="005B5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1AC4B" w14:textId="77777777" w:rsidR="00CA6DF8" w:rsidRDefault="00CA6DF8">
      <w:r>
        <w:separator/>
      </w:r>
    </w:p>
  </w:footnote>
  <w:footnote w:type="continuationSeparator" w:id="0">
    <w:p w14:paraId="71513D0C" w14:textId="77777777" w:rsidR="00CA6DF8" w:rsidRDefault="00CA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00219" w14:textId="77777777" w:rsidR="005B59B5" w:rsidRDefault="005B5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CE94" w14:textId="15D4C867" w:rsidR="00967F61" w:rsidRDefault="00967F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1FD7F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1166C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1EA902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6C95D955" w14:textId="77777777" w:rsidR="00967F61" w:rsidRDefault="00967F6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102E0D1A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A197C" w14:textId="77777777" w:rsidR="005B59B5" w:rsidRDefault="005B5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2"/>
  </w:num>
  <w:num w:numId="9">
    <w:abstractNumId w:val="19"/>
  </w:num>
  <w:num w:numId="10">
    <w:abstractNumId w:val="24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0"/>
  </w:num>
  <w:num w:numId="17">
    <w:abstractNumId w:val="25"/>
  </w:num>
  <w:num w:numId="18">
    <w:abstractNumId w:val="4"/>
  </w:num>
  <w:num w:numId="19">
    <w:abstractNumId w:val="12"/>
  </w:num>
  <w:num w:numId="20">
    <w:abstractNumId w:val="31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29"/>
  </w:num>
  <w:num w:numId="29">
    <w:abstractNumId w:val="28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05824"/>
    <w:rsid w:val="00012531"/>
    <w:rsid w:val="00013CE0"/>
    <w:rsid w:val="00025B19"/>
    <w:rsid w:val="00035056"/>
    <w:rsid w:val="000410B3"/>
    <w:rsid w:val="00043D4D"/>
    <w:rsid w:val="0004786F"/>
    <w:rsid w:val="00052372"/>
    <w:rsid w:val="000558F8"/>
    <w:rsid w:val="00056CA0"/>
    <w:rsid w:val="0006397E"/>
    <w:rsid w:val="000666D1"/>
    <w:rsid w:val="00072E08"/>
    <w:rsid w:val="00076747"/>
    <w:rsid w:val="000829A0"/>
    <w:rsid w:val="000853C4"/>
    <w:rsid w:val="000868BC"/>
    <w:rsid w:val="000917C0"/>
    <w:rsid w:val="000A1D6B"/>
    <w:rsid w:val="000C48A9"/>
    <w:rsid w:val="000C58DC"/>
    <w:rsid w:val="000D5D16"/>
    <w:rsid w:val="000D7E6C"/>
    <w:rsid w:val="000F54A9"/>
    <w:rsid w:val="000F690F"/>
    <w:rsid w:val="000F71D8"/>
    <w:rsid w:val="000F7A7F"/>
    <w:rsid w:val="000F7C13"/>
    <w:rsid w:val="001003C3"/>
    <w:rsid w:val="00107707"/>
    <w:rsid w:val="0011313D"/>
    <w:rsid w:val="00116D61"/>
    <w:rsid w:val="0012408C"/>
    <w:rsid w:val="001242B6"/>
    <w:rsid w:val="00131578"/>
    <w:rsid w:val="00133760"/>
    <w:rsid w:val="00134B99"/>
    <w:rsid w:val="00134C3C"/>
    <w:rsid w:val="00135326"/>
    <w:rsid w:val="001374FA"/>
    <w:rsid w:val="00156D8F"/>
    <w:rsid w:val="00177417"/>
    <w:rsid w:val="0018360F"/>
    <w:rsid w:val="0019690A"/>
    <w:rsid w:val="001A2520"/>
    <w:rsid w:val="001A741A"/>
    <w:rsid w:val="001B054C"/>
    <w:rsid w:val="001B25E1"/>
    <w:rsid w:val="001C5E17"/>
    <w:rsid w:val="001D0AAA"/>
    <w:rsid w:val="001E6473"/>
    <w:rsid w:val="001F591C"/>
    <w:rsid w:val="00203A04"/>
    <w:rsid w:val="00213ABC"/>
    <w:rsid w:val="00245270"/>
    <w:rsid w:val="00262BE7"/>
    <w:rsid w:val="00267532"/>
    <w:rsid w:val="0027359D"/>
    <w:rsid w:val="00274D6A"/>
    <w:rsid w:val="00291360"/>
    <w:rsid w:val="00297773"/>
    <w:rsid w:val="002B0C94"/>
    <w:rsid w:val="002D08DA"/>
    <w:rsid w:val="002D2738"/>
    <w:rsid w:val="002D2E4D"/>
    <w:rsid w:val="002E6D70"/>
    <w:rsid w:val="002F318F"/>
    <w:rsid w:val="003024C2"/>
    <w:rsid w:val="00303F08"/>
    <w:rsid w:val="00303F65"/>
    <w:rsid w:val="00304F60"/>
    <w:rsid w:val="00305B80"/>
    <w:rsid w:val="00314FF9"/>
    <w:rsid w:val="003160E1"/>
    <w:rsid w:val="00325B56"/>
    <w:rsid w:val="00327BB4"/>
    <w:rsid w:val="00331ECE"/>
    <w:rsid w:val="0033258A"/>
    <w:rsid w:val="00335E1A"/>
    <w:rsid w:val="00341028"/>
    <w:rsid w:val="00352347"/>
    <w:rsid w:val="003566D6"/>
    <w:rsid w:val="00357F4D"/>
    <w:rsid w:val="003617D1"/>
    <w:rsid w:val="003617F7"/>
    <w:rsid w:val="00364150"/>
    <w:rsid w:val="0036551C"/>
    <w:rsid w:val="003700EE"/>
    <w:rsid w:val="003755A5"/>
    <w:rsid w:val="00377199"/>
    <w:rsid w:val="00397E14"/>
    <w:rsid w:val="003A28AC"/>
    <w:rsid w:val="003B402A"/>
    <w:rsid w:val="003B699A"/>
    <w:rsid w:val="003B706E"/>
    <w:rsid w:val="003C2FDA"/>
    <w:rsid w:val="003C33ED"/>
    <w:rsid w:val="003C4B1B"/>
    <w:rsid w:val="003D1B33"/>
    <w:rsid w:val="003D7884"/>
    <w:rsid w:val="003E6A88"/>
    <w:rsid w:val="003F59F9"/>
    <w:rsid w:val="00401FE1"/>
    <w:rsid w:val="00407E2D"/>
    <w:rsid w:val="00415FD2"/>
    <w:rsid w:val="00422F15"/>
    <w:rsid w:val="00427673"/>
    <w:rsid w:val="00431CB5"/>
    <w:rsid w:val="004331B2"/>
    <w:rsid w:val="00440E4C"/>
    <w:rsid w:val="00443C91"/>
    <w:rsid w:val="0044693C"/>
    <w:rsid w:val="00447944"/>
    <w:rsid w:val="00460947"/>
    <w:rsid w:val="00460E63"/>
    <w:rsid w:val="00463734"/>
    <w:rsid w:val="0046578F"/>
    <w:rsid w:val="004833CE"/>
    <w:rsid w:val="00484BAB"/>
    <w:rsid w:val="004918F5"/>
    <w:rsid w:val="004927FD"/>
    <w:rsid w:val="00492B42"/>
    <w:rsid w:val="00492F69"/>
    <w:rsid w:val="00494BDF"/>
    <w:rsid w:val="0049776A"/>
    <w:rsid w:val="00497CE7"/>
    <w:rsid w:val="004A7A9D"/>
    <w:rsid w:val="004B6016"/>
    <w:rsid w:val="004C1B73"/>
    <w:rsid w:val="004C3AE3"/>
    <w:rsid w:val="004D303F"/>
    <w:rsid w:val="004D6622"/>
    <w:rsid w:val="004D6C64"/>
    <w:rsid w:val="00504E1E"/>
    <w:rsid w:val="00504E81"/>
    <w:rsid w:val="00506803"/>
    <w:rsid w:val="00506859"/>
    <w:rsid w:val="005074BE"/>
    <w:rsid w:val="00510EAE"/>
    <w:rsid w:val="0051273D"/>
    <w:rsid w:val="00520F93"/>
    <w:rsid w:val="00522009"/>
    <w:rsid w:val="0052337B"/>
    <w:rsid w:val="00526087"/>
    <w:rsid w:val="005275CC"/>
    <w:rsid w:val="005303B6"/>
    <w:rsid w:val="00532975"/>
    <w:rsid w:val="0053685F"/>
    <w:rsid w:val="00540770"/>
    <w:rsid w:val="00550D25"/>
    <w:rsid w:val="00564D07"/>
    <w:rsid w:val="00566856"/>
    <w:rsid w:val="00592FD8"/>
    <w:rsid w:val="00594E2D"/>
    <w:rsid w:val="005971F4"/>
    <w:rsid w:val="00597A0F"/>
    <w:rsid w:val="005A1A7A"/>
    <w:rsid w:val="005A21B0"/>
    <w:rsid w:val="005A5C62"/>
    <w:rsid w:val="005A6282"/>
    <w:rsid w:val="005B1356"/>
    <w:rsid w:val="005B2DC1"/>
    <w:rsid w:val="005B3B5D"/>
    <w:rsid w:val="005B5161"/>
    <w:rsid w:val="005B59B5"/>
    <w:rsid w:val="005C5067"/>
    <w:rsid w:val="005C58BA"/>
    <w:rsid w:val="005C59C8"/>
    <w:rsid w:val="005D598D"/>
    <w:rsid w:val="005D699A"/>
    <w:rsid w:val="005D6AD4"/>
    <w:rsid w:val="005D6E38"/>
    <w:rsid w:val="005F02F8"/>
    <w:rsid w:val="005F457C"/>
    <w:rsid w:val="006027AB"/>
    <w:rsid w:val="00621727"/>
    <w:rsid w:val="0062695B"/>
    <w:rsid w:val="00630F92"/>
    <w:rsid w:val="006338C1"/>
    <w:rsid w:val="00636F5E"/>
    <w:rsid w:val="00640CC4"/>
    <w:rsid w:val="006410A6"/>
    <w:rsid w:val="006435A1"/>
    <w:rsid w:val="00656EA2"/>
    <w:rsid w:val="00660556"/>
    <w:rsid w:val="00661732"/>
    <w:rsid w:val="00663523"/>
    <w:rsid w:val="00664CB9"/>
    <w:rsid w:val="00665CCF"/>
    <w:rsid w:val="006666D1"/>
    <w:rsid w:val="006721EC"/>
    <w:rsid w:val="00673192"/>
    <w:rsid w:val="00677063"/>
    <w:rsid w:val="00682EA7"/>
    <w:rsid w:val="006926B1"/>
    <w:rsid w:val="006932BA"/>
    <w:rsid w:val="006957E9"/>
    <w:rsid w:val="006A1DDB"/>
    <w:rsid w:val="006A3115"/>
    <w:rsid w:val="006B4F9A"/>
    <w:rsid w:val="006B65D1"/>
    <w:rsid w:val="006C1366"/>
    <w:rsid w:val="006C1BCE"/>
    <w:rsid w:val="006C5CE4"/>
    <w:rsid w:val="006D6031"/>
    <w:rsid w:val="006F5ECA"/>
    <w:rsid w:val="006F63FD"/>
    <w:rsid w:val="00703AE1"/>
    <w:rsid w:val="00722B0F"/>
    <w:rsid w:val="007265D8"/>
    <w:rsid w:val="00727D5D"/>
    <w:rsid w:val="00732169"/>
    <w:rsid w:val="007326C8"/>
    <w:rsid w:val="00735659"/>
    <w:rsid w:val="00735F46"/>
    <w:rsid w:val="007361D0"/>
    <w:rsid w:val="00744130"/>
    <w:rsid w:val="007479DC"/>
    <w:rsid w:val="00751E69"/>
    <w:rsid w:val="00752B4C"/>
    <w:rsid w:val="00753914"/>
    <w:rsid w:val="0075606F"/>
    <w:rsid w:val="00757E5B"/>
    <w:rsid w:val="007639B5"/>
    <w:rsid w:val="007658D4"/>
    <w:rsid w:val="0077110E"/>
    <w:rsid w:val="00775B02"/>
    <w:rsid w:val="007870CB"/>
    <w:rsid w:val="007A2140"/>
    <w:rsid w:val="007A24CC"/>
    <w:rsid w:val="007A3F0F"/>
    <w:rsid w:val="007B12B3"/>
    <w:rsid w:val="007B5BD9"/>
    <w:rsid w:val="007C4A3E"/>
    <w:rsid w:val="007C5EB5"/>
    <w:rsid w:val="007D5C49"/>
    <w:rsid w:val="007D73FF"/>
    <w:rsid w:val="007F0A6F"/>
    <w:rsid w:val="008006ED"/>
    <w:rsid w:val="00806B52"/>
    <w:rsid w:val="0081185D"/>
    <w:rsid w:val="00814DCF"/>
    <w:rsid w:val="00821778"/>
    <w:rsid w:val="00822598"/>
    <w:rsid w:val="00822C54"/>
    <w:rsid w:val="0083469E"/>
    <w:rsid w:val="008360A1"/>
    <w:rsid w:val="0084227D"/>
    <w:rsid w:val="008540F9"/>
    <w:rsid w:val="00861563"/>
    <w:rsid w:val="00871AAA"/>
    <w:rsid w:val="00877C59"/>
    <w:rsid w:val="00891AAA"/>
    <w:rsid w:val="00896CBF"/>
    <w:rsid w:val="008B2BBE"/>
    <w:rsid w:val="008B31DD"/>
    <w:rsid w:val="008D6D4C"/>
    <w:rsid w:val="008D7AF0"/>
    <w:rsid w:val="008F64B4"/>
    <w:rsid w:val="008F67E6"/>
    <w:rsid w:val="00901A7B"/>
    <w:rsid w:val="00902557"/>
    <w:rsid w:val="00910EF5"/>
    <w:rsid w:val="009160E9"/>
    <w:rsid w:val="0092355D"/>
    <w:rsid w:val="00933723"/>
    <w:rsid w:val="00933EA1"/>
    <w:rsid w:val="00945929"/>
    <w:rsid w:val="00947DB1"/>
    <w:rsid w:val="00951416"/>
    <w:rsid w:val="00960D21"/>
    <w:rsid w:val="00967F61"/>
    <w:rsid w:val="009702E2"/>
    <w:rsid w:val="00970A6F"/>
    <w:rsid w:val="00971F3A"/>
    <w:rsid w:val="00974566"/>
    <w:rsid w:val="00981D29"/>
    <w:rsid w:val="00981E11"/>
    <w:rsid w:val="0098277E"/>
    <w:rsid w:val="00986498"/>
    <w:rsid w:val="009A2D8F"/>
    <w:rsid w:val="009A3EFC"/>
    <w:rsid w:val="009A647F"/>
    <w:rsid w:val="009C1CAA"/>
    <w:rsid w:val="009E153B"/>
    <w:rsid w:val="009F4B43"/>
    <w:rsid w:val="00A0595A"/>
    <w:rsid w:val="00A07874"/>
    <w:rsid w:val="00A11510"/>
    <w:rsid w:val="00A11E3F"/>
    <w:rsid w:val="00A133C4"/>
    <w:rsid w:val="00A14B4F"/>
    <w:rsid w:val="00A1564B"/>
    <w:rsid w:val="00A27EB9"/>
    <w:rsid w:val="00A37211"/>
    <w:rsid w:val="00A4629B"/>
    <w:rsid w:val="00A50A82"/>
    <w:rsid w:val="00A5194F"/>
    <w:rsid w:val="00A57220"/>
    <w:rsid w:val="00A622FD"/>
    <w:rsid w:val="00A62C72"/>
    <w:rsid w:val="00A641B3"/>
    <w:rsid w:val="00A77B16"/>
    <w:rsid w:val="00A871D6"/>
    <w:rsid w:val="00AA768E"/>
    <w:rsid w:val="00AB1635"/>
    <w:rsid w:val="00AB401C"/>
    <w:rsid w:val="00AC5069"/>
    <w:rsid w:val="00AD4B21"/>
    <w:rsid w:val="00AD6948"/>
    <w:rsid w:val="00AE30C2"/>
    <w:rsid w:val="00AE75A0"/>
    <w:rsid w:val="00AF005F"/>
    <w:rsid w:val="00AF282C"/>
    <w:rsid w:val="00AF3FF7"/>
    <w:rsid w:val="00AF4649"/>
    <w:rsid w:val="00AF7028"/>
    <w:rsid w:val="00B02AF3"/>
    <w:rsid w:val="00B0715E"/>
    <w:rsid w:val="00B11617"/>
    <w:rsid w:val="00B12FD4"/>
    <w:rsid w:val="00B137E3"/>
    <w:rsid w:val="00B14571"/>
    <w:rsid w:val="00B1491D"/>
    <w:rsid w:val="00B1673F"/>
    <w:rsid w:val="00B3627A"/>
    <w:rsid w:val="00B41664"/>
    <w:rsid w:val="00B43995"/>
    <w:rsid w:val="00B47B7D"/>
    <w:rsid w:val="00B5499E"/>
    <w:rsid w:val="00B65963"/>
    <w:rsid w:val="00B714FC"/>
    <w:rsid w:val="00B87B69"/>
    <w:rsid w:val="00B92950"/>
    <w:rsid w:val="00B92D7E"/>
    <w:rsid w:val="00BA0826"/>
    <w:rsid w:val="00BB54FE"/>
    <w:rsid w:val="00BB5AD1"/>
    <w:rsid w:val="00BC0ABB"/>
    <w:rsid w:val="00BF0E36"/>
    <w:rsid w:val="00C03E0F"/>
    <w:rsid w:val="00C17C29"/>
    <w:rsid w:val="00C20779"/>
    <w:rsid w:val="00C3065F"/>
    <w:rsid w:val="00C33B68"/>
    <w:rsid w:val="00C34AB4"/>
    <w:rsid w:val="00C35DE3"/>
    <w:rsid w:val="00C37715"/>
    <w:rsid w:val="00C42E3B"/>
    <w:rsid w:val="00C52E56"/>
    <w:rsid w:val="00C5407A"/>
    <w:rsid w:val="00C662B0"/>
    <w:rsid w:val="00C7106E"/>
    <w:rsid w:val="00C84FD4"/>
    <w:rsid w:val="00C958EE"/>
    <w:rsid w:val="00CA1515"/>
    <w:rsid w:val="00CA6DF8"/>
    <w:rsid w:val="00CC2E2B"/>
    <w:rsid w:val="00CD21FB"/>
    <w:rsid w:val="00CE6871"/>
    <w:rsid w:val="00CF7E14"/>
    <w:rsid w:val="00D0470C"/>
    <w:rsid w:val="00D05018"/>
    <w:rsid w:val="00D0655B"/>
    <w:rsid w:val="00D2753B"/>
    <w:rsid w:val="00D41134"/>
    <w:rsid w:val="00D423FE"/>
    <w:rsid w:val="00D442E4"/>
    <w:rsid w:val="00D45473"/>
    <w:rsid w:val="00D4799C"/>
    <w:rsid w:val="00D513DC"/>
    <w:rsid w:val="00D51D03"/>
    <w:rsid w:val="00D6666E"/>
    <w:rsid w:val="00D706B1"/>
    <w:rsid w:val="00D70DC1"/>
    <w:rsid w:val="00D72D57"/>
    <w:rsid w:val="00D76C9A"/>
    <w:rsid w:val="00D80EDC"/>
    <w:rsid w:val="00D95EA0"/>
    <w:rsid w:val="00DA2F45"/>
    <w:rsid w:val="00DC4F14"/>
    <w:rsid w:val="00DD0E34"/>
    <w:rsid w:val="00DD4973"/>
    <w:rsid w:val="00DE52B9"/>
    <w:rsid w:val="00DE7701"/>
    <w:rsid w:val="00DF4F15"/>
    <w:rsid w:val="00E00AF4"/>
    <w:rsid w:val="00E0220D"/>
    <w:rsid w:val="00E047D3"/>
    <w:rsid w:val="00E21F02"/>
    <w:rsid w:val="00E22BA5"/>
    <w:rsid w:val="00E23326"/>
    <w:rsid w:val="00E2485C"/>
    <w:rsid w:val="00E266B7"/>
    <w:rsid w:val="00E321C5"/>
    <w:rsid w:val="00E37197"/>
    <w:rsid w:val="00E42028"/>
    <w:rsid w:val="00E53783"/>
    <w:rsid w:val="00E5772B"/>
    <w:rsid w:val="00E66FCC"/>
    <w:rsid w:val="00E67511"/>
    <w:rsid w:val="00E734CC"/>
    <w:rsid w:val="00E7565F"/>
    <w:rsid w:val="00E82D0F"/>
    <w:rsid w:val="00E950B5"/>
    <w:rsid w:val="00EA2B76"/>
    <w:rsid w:val="00EA44EA"/>
    <w:rsid w:val="00EA57BF"/>
    <w:rsid w:val="00EB7FE0"/>
    <w:rsid w:val="00EC4CEE"/>
    <w:rsid w:val="00ED62C5"/>
    <w:rsid w:val="00EF175F"/>
    <w:rsid w:val="00EF31D8"/>
    <w:rsid w:val="00F05879"/>
    <w:rsid w:val="00F06F5B"/>
    <w:rsid w:val="00F115F7"/>
    <w:rsid w:val="00F21AA9"/>
    <w:rsid w:val="00F22037"/>
    <w:rsid w:val="00F2485D"/>
    <w:rsid w:val="00F33926"/>
    <w:rsid w:val="00F423D9"/>
    <w:rsid w:val="00F54DF7"/>
    <w:rsid w:val="00F56C5C"/>
    <w:rsid w:val="00F60C61"/>
    <w:rsid w:val="00F64B52"/>
    <w:rsid w:val="00F66881"/>
    <w:rsid w:val="00F75CE5"/>
    <w:rsid w:val="00F86C53"/>
    <w:rsid w:val="00FA177C"/>
    <w:rsid w:val="00FA2940"/>
    <w:rsid w:val="00FA711A"/>
    <w:rsid w:val="00FB0EF5"/>
    <w:rsid w:val="00FB5291"/>
    <w:rsid w:val="00FB615D"/>
    <w:rsid w:val="00FD0C85"/>
    <w:rsid w:val="00FD3D4E"/>
    <w:rsid w:val="00FD583A"/>
    <w:rsid w:val="00FE2A7E"/>
    <w:rsid w:val="00FE7BE7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8" ma:contentTypeDescription="Create a new document." ma:contentTypeScope="" ma:versionID="c5e3fe85224c9ab247f2d48931da034f">
  <xsd:schema xmlns:xsd="http://www.w3.org/2001/XMLSchema" xmlns:xs="http://www.w3.org/2001/XMLSchema" xmlns:p="http://schemas.microsoft.com/office/2006/metadata/properties" xmlns:ns2="bf70374b-5ede-4d07-a6d4-3a8a64b98b0b" targetNamespace="http://schemas.microsoft.com/office/2006/metadata/properties" ma:root="true" ma:fieldsID="0bc16e4bba9fb977b648d87e3d141c4b" ns2:_="">
    <xsd:import namespace="bf70374b-5ede-4d07-a6d4-3a8a64b98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A3FC-824E-4134-B8C0-B00ED081C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C132C-76D4-4583-BFD7-1A446224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7AB46-C0D5-4DD6-AAE5-5ECEBE08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9A0AB5-1A77-4AB4-BD31-6BA56805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3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APAAC Shared</cp:lastModifiedBy>
  <cp:revision>4</cp:revision>
  <cp:lastPrinted>2019-03-18T15:38:00Z</cp:lastPrinted>
  <dcterms:created xsi:type="dcterms:W3CDTF">2019-03-18T15:37:00Z</dcterms:created>
  <dcterms:modified xsi:type="dcterms:W3CDTF">2019-03-18T20:48:00Z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