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0" w:type="dxa"/>
        <w:tblLayout w:type="fixed"/>
        <w:tblLook w:val="0000" w:firstRow="0" w:lastRow="0" w:firstColumn="0" w:lastColumn="0" w:noHBand="0" w:noVBand="0"/>
      </w:tblPr>
      <w:tblGrid>
        <w:gridCol w:w="4950"/>
        <w:gridCol w:w="4200"/>
      </w:tblGrid>
      <w:tr w:rsidR="00357F4D" w:rsidRPr="000F7A7F" w14:paraId="1F26B169" w14:textId="77777777" w:rsidTr="00EE7F6A">
        <w:trPr>
          <w:cantSplit/>
          <w:trHeight w:val="1987"/>
        </w:trPr>
        <w:tc>
          <w:tcPr>
            <w:tcW w:w="4950" w:type="dxa"/>
          </w:tcPr>
          <w:p w14:paraId="33E53016" w14:textId="4FE2C295" w:rsidR="00B02AF3" w:rsidRDefault="00B02AF3" w:rsidP="00000C35">
            <w:pPr>
              <w:pStyle w:val="FirmInformation"/>
              <w:spacing w:line="240" w:lineRule="auto"/>
              <w:rPr>
                <w:sz w:val="28"/>
                <w:szCs w:val="28"/>
              </w:rPr>
            </w:pPr>
            <w:bookmarkStart w:id="0" w:name="_zzmpFIXED_CounselTable"/>
            <w:r>
              <w:rPr>
                <w:sz w:val="28"/>
                <w:szCs w:val="28"/>
              </w:rPr>
              <w:t xml:space="preserve">Elizabeth </w:t>
            </w:r>
            <w:r w:rsidR="00EE7F6A">
              <w:rPr>
                <w:sz w:val="28"/>
                <w:szCs w:val="28"/>
              </w:rPr>
              <w:t xml:space="preserve">Burton </w:t>
            </w:r>
            <w:r>
              <w:rPr>
                <w:sz w:val="28"/>
                <w:szCs w:val="28"/>
              </w:rPr>
              <w:t>Ortiz</w:t>
            </w:r>
            <w:r w:rsidR="00732169">
              <w:rPr>
                <w:sz w:val="28"/>
                <w:szCs w:val="28"/>
              </w:rPr>
              <w:t xml:space="preserve">, </w:t>
            </w:r>
            <w:r>
              <w:rPr>
                <w:sz w:val="28"/>
                <w:szCs w:val="28"/>
              </w:rPr>
              <w:t>Bar No. 012838</w:t>
            </w:r>
          </w:p>
          <w:p w14:paraId="7A728113" w14:textId="77777777" w:rsidR="00000C35" w:rsidRDefault="00B02AF3" w:rsidP="00000C35">
            <w:pPr>
              <w:pStyle w:val="FirmInformation"/>
              <w:spacing w:line="240" w:lineRule="auto"/>
              <w:rPr>
                <w:sz w:val="28"/>
                <w:szCs w:val="28"/>
              </w:rPr>
            </w:pPr>
            <w:r>
              <w:rPr>
                <w:sz w:val="28"/>
                <w:szCs w:val="28"/>
              </w:rPr>
              <w:t>Executive Director</w:t>
            </w:r>
          </w:p>
          <w:p w14:paraId="15CEA1E0"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3324DE79"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2877A877"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1186B546"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7E50250" w14:textId="53592DED" w:rsidR="00B02AF3" w:rsidRDefault="007E703A" w:rsidP="00735659">
            <w:pPr>
              <w:pStyle w:val="FirmInformation"/>
              <w:spacing w:line="240" w:lineRule="auto"/>
              <w:rPr>
                <w:sz w:val="28"/>
                <w:szCs w:val="28"/>
              </w:rPr>
            </w:pPr>
            <w:hyperlink r:id="rId11" w:history="1">
              <w:r w:rsidR="00EE7F6A">
                <w:rPr>
                  <w:rStyle w:val="Hyperlink"/>
                  <w:sz w:val="28"/>
                  <w:szCs w:val="28"/>
                </w:rPr>
                <w:t>Elizabeth.Ortiz@apaacaz.com</w:t>
              </w:r>
            </w:hyperlink>
          </w:p>
          <w:p w14:paraId="2796A6A2" w14:textId="77777777" w:rsidR="00B02AF3" w:rsidRPr="00735659" w:rsidRDefault="00B02AF3" w:rsidP="00735659">
            <w:pPr>
              <w:pStyle w:val="FirmInformation"/>
              <w:spacing w:line="240" w:lineRule="auto"/>
              <w:rPr>
                <w:sz w:val="28"/>
                <w:szCs w:val="28"/>
              </w:rPr>
            </w:pPr>
          </w:p>
        </w:tc>
        <w:tc>
          <w:tcPr>
            <w:tcW w:w="4200"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44A46119"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51273D">
              <w:rPr>
                <w:b/>
                <w:sz w:val="28"/>
                <w:szCs w:val="28"/>
              </w:rPr>
              <w:t>THE ARIZONA RULES OF CRIMINAL PROCEDURE</w:t>
            </w:r>
          </w:p>
          <w:p w14:paraId="712DCE80"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0557FD37" w14:textId="1C2CBD5B"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7A644C">
              <w:rPr>
                <w:sz w:val="28"/>
                <w:szCs w:val="28"/>
              </w:rPr>
              <w:t>9-0016</w:t>
            </w:r>
          </w:p>
          <w:p w14:paraId="1B99CC13" w14:textId="65E62461"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DDDA038"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4A585A23" w14:textId="77777777" w:rsidR="00526087" w:rsidRDefault="00526087" w:rsidP="00526087">
      <w:pPr>
        <w:pStyle w:val="Body"/>
        <w:widowControl w:val="0"/>
        <w:spacing w:line="240" w:lineRule="auto"/>
        <w:ind w:firstLine="720"/>
        <w:rPr>
          <w:b/>
          <w:sz w:val="28"/>
          <w:szCs w:val="28"/>
        </w:rPr>
      </w:pPr>
    </w:p>
    <w:p w14:paraId="5BA6973F" w14:textId="77777777" w:rsidR="00D706BD" w:rsidRDefault="00D85EC2" w:rsidP="00E00AF4">
      <w:pPr>
        <w:pStyle w:val="Body"/>
        <w:widowControl w:val="0"/>
        <w:spacing w:line="480" w:lineRule="auto"/>
        <w:ind w:firstLine="720"/>
        <w:jc w:val="both"/>
        <w:rPr>
          <w:sz w:val="28"/>
          <w:szCs w:val="28"/>
        </w:rPr>
      </w:pPr>
      <w:r w:rsidRPr="00D85EC2">
        <w:rPr>
          <w:sz w:val="28"/>
          <w:szCs w:val="28"/>
        </w:rPr>
        <w:t>The Arizona Voice for Crime Victims has again petitioned the Supreme Court</w:t>
      </w:r>
      <w:r w:rsidRPr="00D85EC2">
        <w:rPr>
          <w:sz w:val="28"/>
          <w:szCs w:val="28"/>
          <w:vertAlign w:val="superscript"/>
        </w:rPr>
        <w:footnoteReference w:id="1"/>
      </w:r>
      <w:r w:rsidRPr="00D85EC2">
        <w:rPr>
          <w:sz w:val="28"/>
          <w:szCs w:val="28"/>
        </w:rPr>
        <w:t xml:space="preserve"> to amend the Arizona Rules of Criminal Procedure by integrating existing victims’ rights provisions </w:t>
      </w:r>
      <w:r w:rsidR="004524DB">
        <w:rPr>
          <w:sz w:val="28"/>
          <w:szCs w:val="28"/>
        </w:rPr>
        <w:t>from</w:t>
      </w:r>
      <w:r w:rsidRPr="00D85EC2">
        <w:rPr>
          <w:sz w:val="28"/>
          <w:szCs w:val="28"/>
        </w:rPr>
        <w:t xml:space="preserve"> the Arizona Constitution and its implementing legislation </w:t>
      </w:r>
      <w:r w:rsidR="004524DB">
        <w:rPr>
          <w:sz w:val="28"/>
          <w:szCs w:val="28"/>
        </w:rPr>
        <w:t>into</w:t>
      </w:r>
      <w:r w:rsidRPr="00D85EC2">
        <w:rPr>
          <w:sz w:val="28"/>
          <w:szCs w:val="28"/>
        </w:rPr>
        <w:t xml:space="preserve"> each applicable </w:t>
      </w:r>
      <w:r w:rsidR="004524DB">
        <w:rPr>
          <w:sz w:val="28"/>
          <w:szCs w:val="28"/>
        </w:rPr>
        <w:t xml:space="preserve">rule throughout the </w:t>
      </w:r>
      <w:r w:rsidRPr="00D85EC2">
        <w:rPr>
          <w:sz w:val="28"/>
          <w:szCs w:val="28"/>
        </w:rPr>
        <w:t>criminal rule</w:t>
      </w:r>
      <w:r w:rsidR="004524DB">
        <w:rPr>
          <w:sz w:val="28"/>
          <w:szCs w:val="28"/>
        </w:rPr>
        <w:t>s</w:t>
      </w:r>
      <w:r w:rsidRPr="00D85EC2">
        <w:rPr>
          <w:sz w:val="28"/>
          <w:szCs w:val="28"/>
        </w:rPr>
        <w:t xml:space="preserve">.  In conjunction with this integration, the petition </w:t>
      </w:r>
      <w:r w:rsidR="0062580F">
        <w:rPr>
          <w:sz w:val="28"/>
          <w:szCs w:val="28"/>
        </w:rPr>
        <w:t xml:space="preserve">again </w:t>
      </w:r>
      <w:r w:rsidRPr="00D85EC2">
        <w:rPr>
          <w:sz w:val="28"/>
          <w:szCs w:val="28"/>
        </w:rPr>
        <w:t xml:space="preserve">proposes the repeal of existing Rule 39 (“Victims’ Rights”).  Because of the overhaul of the Rules of Criminal Procedure, adopted in R-17-0002, effective January 1, 2018, the proposed amendments </w:t>
      </w:r>
      <w:r w:rsidRPr="00D85EC2">
        <w:rPr>
          <w:sz w:val="28"/>
          <w:szCs w:val="28"/>
        </w:rPr>
        <w:lastRenderedPageBreak/>
        <w:t>contained in the Appendix to the petition</w:t>
      </w:r>
      <w:r w:rsidR="0062580F">
        <w:rPr>
          <w:sz w:val="28"/>
          <w:szCs w:val="28"/>
        </w:rPr>
        <w:t xml:space="preserve"> are vastly improved from the previous petition.  </w:t>
      </w:r>
      <w:r w:rsidR="004524DB">
        <w:rPr>
          <w:sz w:val="28"/>
          <w:szCs w:val="28"/>
        </w:rPr>
        <w:t xml:space="preserve">Notably, those provisions of Rule 39(b)-(g) which were omitted from the proposed integration in R-18-0001 have been included in the proposed integration in this petition.  </w:t>
      </w:r>
      <w:r w:rsidR="00D706BD">
        <w:rPr>
          <w:sz w:val="28"/>
          <w:szCs w:val="28"/>
        </w:rPr>
        <w:t>Other objectionable provisions that were contained in R-18-0001 have been addressed or removed in the new petition.</w:t>
      </w:r>
    </w:p>
    <w:p w14:paraId="3A86C9BB" w14:textId="58B27107" w:rsidR="00A0595A" w:rsidRDefault="00D85EC2" w:rsidP="00E00AF4">
      <w:pPr>
        <w:pStyle w:val="Body"/>
        <w:widowControl w:val="0"/>
        <w:spacing w:line="480" w:lineRule="auto"/>
        <w:ind w:firstLine="720"/>
        <w:jc w:val="both"/>
        <w:rPr>
          <w:sz w:val="28"/>
          <w:szCs w:val="28"/>
        </w:rPr>
      </w:pPr>
      <w:r w:rsidRPr="00D85EC2">
        <w:rPr>
          <w:sz w:val="28"/>
          <w:szCs w:val="28"/>
        </w:rPr>
        <w:t xml:space="preserve">The Arizona Prosecuting Attorneys’ Advisory Council (“APAAC”) has </w:t>
      </w:r>
      <w:r w:rsidR="00E00AF4" w:rsidRPr="0023316F">
        <w:rPr>
          <w:sz w:val="28"/>
          <w:szCs w:val="28"/>
        </w:rPr>
        <w:t>considered the proposed change</w:t>
      </w:r>
      <w:r w:rsidR="00F115F7">
        <w:rPr>
          <w:sz w:val="28"/>
          <w:szCs w:val="28"/>
        </w:rPr>
        <w:t>s</w:t>
      </w:r>
      <w:r w:rsidR="00FE7BE7">
        <w:rPr>
          <w:sz w:val="28"/>
          <w:szCs w:val="28"/>
        </w:rPr>
        <w:t xml:space="preserve"> </w:t>
      </w:r>
      <w:r w:rsidR="003700EE">
        <w:rPr>
          <w:sz w:val="28"/>
          <w:szCs w:val="28"/>
        </w:rPr>
        <w:t xml:space="preserve">in the </w:t>
      </w:r>
      <w:r w:rsidR="004524DB">
        <w:rPr>
          <w:sz w:val="28"/>
          <w:szCs w:val="28"/>
        </w:rPr>
        <w:t xml:space="preserve">new </w:t>
      </w:r>
      <w:r w:rsidR="003700EE">
        <w:rPr>
          <w:sz w:val="28"/>
          <w:szCs w:val="28"/>
        </w:rPr>
        <w:t>petition and</w:t>
      </w:r>
      <w:r w:rsidR="004524DB">
        <w:rPr>
          <w:sz w:val="28"/>
          <w:szCs w:val="28"/>
        </w:rPr>
        <w:t>, as it did with R-18-0001,</w:t>
      </w:r>
      <w:r w:rsidR="00F115F7">
        <w:rPr>
          <w:sz w:val="28"/>
          <w:szCs w:val="28"/>
        </w:rPr>
        <w:t xml:space="preserve"> generally</w:t>
      </w:r>
      <w:r w:rsidR="00A0595A">
        <w:rPr>
          <w:sz w:val="28"/>
          <w:szCs w:val="28"/>
        </w:rPr>
        <w:t xml:space="preserve"> support</w:t>
      </w:r>
      <w:r w:rsidR="00F115F7">
        <w:rPr>
          <w:sz w:val="28"/>
          <w:szCs w:val="28"/>
        </w:rPr>
        <w:t>s them</w:t>
      </w:r>
      <w:r w:rsidR="00DE52B9">
        <w:rPr>
          <w:sz w:val="28"/>
          <w:szCs w:val="28"/>
        </w:rPr>
        <w:t>,</w:t>
      </w:r>
      <w:r w:rsidR="00F115F7">
        <w:rPr>
          <w:sz w:val="28"/>
          <w:szCs w:val="28"/>
        </w:rPr>
        <w:t xml:space="preserve"> with some ca</w:t>
      </w:r>
      <w:r w:rsidR="004524DB">
        <w:rPr>
          <w:sz w:val="28"/>
          <w:szCs w:val="28"/>
        </w:rPr>
        <w:t>utionary comments</w:t>
      </w:r>
      <w:r w:rsidR="003700EE">
        <w:rPr>
          <w:sz w:val="28"/>
          <w:szCs w:val="28"/>
        </w:rPr>
        <w:t>.</w:t>
      </w:r>
      <w:r w:rsidR="004524DB">
        <w:rPr>
          <w:sz w:val="28"/>
          <w:szCs w:val="28"/>
        </w:rPr>
        <w:t xml:space="preserve">  W</w:t>
      </w:r>
      <w:r w:rsidR="006957E9">
        <w:rPr>
          <w:sz w:val="28"/>
          <w:szCs w:val="28"/>
        </w:rPr>
        <w:t xml:space="preserve">hile </w:t>
      </w:r>
      <w:r w:rsidR="00664CB9">
        <w:rPr>
          <w:sz w:val="28"/>
          <w:szCs w:val="28"/>
        </w:rPr>
        <w:t>APAAC</w:t>
      </w:r>
      <w:r w:rsidR="004524DB">
        <w:rPr>
          <w:sz w:val="28"/>
          <w:szCs w:val="28"/>
        </w:rPr>
        <w:t xml:space="preserve"> again</w:t>
      </w:r>
      <w:r w:rsidR="00664CB9">
        <w:rPr>
          <w:sz w:val="28"/>
          <w:szCs w:val="28"/>
        </w:rPr>
        <w:t xml:space="preserve"> agrees that </w:t>
      </w:r>
      <w:r w:rsidR="00F115F7">
        <w:rPr>
          <w:sz w:val="28"/>
          <w:szCs w:val="28"/>
        </w:rPr>
        <w:t xml:space="preserve">integrating victims’ rights into the various criminal rules </w:t>
      </w:r>
      <w:r w:rsidR="00076747">
        <w:rPr>
          <w:sz w:val="28"/>
          <w:szCs w:val="28"/>
        </w:rPr>
        <w:t>can</w:t>
      </w:r>
      <w:r w:rsidR="00D2753B">
        <w:rPr>
          <w:sz w:val="28"/>
          <w:szCs w:val="28"/>
        </w:rPr>
        <w:t xml:space="preserve"> have a meaningful </w:t>
      </w:r>
      <w:r w:rsidR="00506803">
        <w:rPr>
          <w:sz w:val="28"/>
          <w:szCs w:val="28"/>
        </w:rPr>
        <w:t>impact</w:t>
      </w:r>
      <w:r w:rsidR="00D2753B">
        <w:rPr>
          <w:sz w:val="28"/>
          <w:szCs w:val="28"/>
        </w:rPr>
        <w:t xml:space="preserve"> on</w:t>
      </w:r>
      <w:r w:rsidR="00DE52B9">
        <w:rPr>
          <w:sz w:val="28"/>
          <w:szCs w:val="28"/>
        </w:rPr>
        <w:t xml:space="preserve"> protecting </w:t>
      </w:r>
      <w:r w:rsidR="00664CB9">
        <w:rPr>
          <w:sz w:val="28"/>
          <w:szCs w:val="28"/>
        </w:rPr>
        <w:t xml:space="preserve">and </w:t>
      </w:r>
      <w:r w:rsidR="00540770">
        <w:rPr>
          <w:sz w:val="28"/>
          <w:szCs w:val="28"/>
        </w:rPr>
        <w:t>improving</w:t>
      </w:r>
      <w:r w:rsidR="00664CB9">
        <w:rPr>
          <w:sz w:val="28"/>
          <w:szCs w:val="28"/>
        </w:rPr>
        <w:t xml:space="preserve"> </w:t>
      </w:r>
      <w:r w:rsidR="00DE52B9">
        <w:rPr>
          <w:sz w:val="28"/>
          <w:szCs w:val="28"/>
        </w:rPr>
        <w:t>rights of crime victims</w:t>
      </w:r>
      <w:r w:rsidR="00F115F7">
        <w:rPr>
          <w:sz w:val="28"/>
          <w:szCs w:val="28"/>
        </w:rPr>
        <w:t xml:space="preserve">, </w:t>
      </w:r>
      <w:r w:rsidR="0062580F">
        <w:rPr>
          <w:sz w:val="28"/>
          <w:szCs w:val="28"/>
        </w:rPr>
        <w:t>APAAC</w:t>
      </w:r>
      <w:r w:rsidR="00D706BD">
        <w:rPr>
          <w:sz w:val="28"/>
          <w:szCs w:val="28"/>
        </w:rPr>
        <w:t xml:space="preserve"> has identified some recurring provisions in need of clarification, and</w:t>
      </w:r>
      <w:r w:rsidR="0062580F">
        <w:rPr>
          <w:sz w:val="28"/>
          <w:szCs w:val="28"/>
        </w:rPr>
        <w:t xml:space="preserve"> </w:t>
      </w:r>
      <w:r w:rsidR="006957E9">
        <w:rPr>
          <w:sz w:val="28"/>
          <w:szCs w:val="28"/>
        </w:rPr>
        <w:t xml:space="preserve">Council members </w:t>
      </w:r>
      <w:r w:rsidR="0062580F">
        <w:rPr>
          <w:sz w:val="28"/>
          <w:szCs w:val="28"/>
        </w:rPr>
        <w:t xml:space="preserve">continue to </w:t>
      </w:r>
      <w:r w:rsidR="009F4B43">
        <w:rPr>
          <w:sz w:val="28"/>
          <w:szCs w:val="28"/>
        </w:rPr>
        <w:t>express c</w:t>
      </w:r>
      <w:r w:rsidR="004524DB">
        <w:rPr>
          <w:sz w:val="28"/>
          <w:szCs w:val="28"/>
        </w:rPr>
        <w:t>oncern</w:t>
      </w:r>
      <w:r w:rsidR="006957E9">
        <w:rPr>
          <w:sz w:val="28"/>
          <w:szCs w:val="28"/>
        </w:rPr>
        <w:t xml:space="preserve"> over the</w:t>
      </w:r>
      <w:r w:rsidR="00245270">
        <w:rPr>
          <w:sz w:val="28"/>
          <w:szCs w:val="28"/>
        </w:rPr>
        <w:t xml:space="preserve"> </w:t>
      </w:r>
      <w:r w:rsidR="009F4B43">
        <w:rPr>
          <w:sz w:val="28"/>
          <w:szCs w:val="28"/>
        </w:rPr>
        <w:t>full repeal of</w:t>
      </w:r>
      <w:r w:rsidR="00F115F7">
        <w:rPr>
          <w:sz w:val="28"/>
          <w:szCs w:val="28"/>
        </w:rPr>
        <w:t xml:space="preserve"> Rule 39.</w:t>
      </w:r>
    </w:p>
    <w:p w14:paraId="5FF5DCAE" w14:textId="77777777" w:rsidR="00AB1635" w:rsidRDefault="00AB1635" w:rsidP="00AB1635">
      <w:pPr>
        <w:pStyle w:val="Body"/>
        <w:widowControl w:val="0"/>
        <w:spacing w:line="480" w:lineRule="auto"/>
        <w:ind w:firstLine="0"/>
        <w:rPr>
          <w:b/>
          <w:sz w:val="28"/>
          <w:szCs w:val="28"/>
        </w:rPr>
      </w:pPr>
      <w:r w:rsidRPr="009D7A5B">
        <w:rPr>
          <w:b/>
          <w:sz w:val="28"/>
          <w:szCs w:val="28"/>
        </w:rPr>
        <w:t>II.</w:t>
      </w:r>
      <w:r>
        <w:rPr>
          <w:b/>
          <w:sz w:val="28"/>
          <w:szCs w:val="28"/>
        </w:rPr>
        <w:tab/>
      </w:r>
      <w:r w:rsidRPr="009D7A5B">
        <w:rPr>
          <w:b/>
          <w:sz w:val="28"/>
          <w:szCs w:val="28"/>
        </w:rPr>
        <w:t>DISCUSSION/ANALYSIS</w:t>
      </w:r>
    </w:p>
    <w:p w14:paraId="2F731D1B" w14:textId="44D76B52" w:rsidR="00FB6374" w:rsidRDefault="004524DB" w:rsidP="00FB6374">
      <w:pPr>
        <w:pStyle w:val="Body"/>
        <w:widowControl w:val="0"/>
        <w:spacing w:line="480" w:lineRule="auto"/>
        <w:ind w:firstLine="720"/>
        <w:jc w:val="both"/>
        <w:rPr>
          <w:sz w:val="28"/>
          <w:szCs w:val="28"/>
        </w:rPr>
      </w:pPr>
      <w:r>
        <w:rPr>
          <w:sz w:val="28"/>
          <w:szCs w:val="28"/>
        </w:rPr>
        <w:t>In 1990, Arizona voters approved Prop 104 which amended the Arizona Constitution to add a Victims’ Bill of Rights (“VBR”).  Ariz. Const. art. 2,</w:t>
      </w:r>
      <w:r w:rsidRPr="004524DB">
        <w:rPr>
          <w:sz w:val="28"/>
          <w:szCs w:val="28"/>
        </w:rPr>
        <w:t xml:space="preserve"> </w:t>
      </w:r>
      <w:r>
        <w:rPr>
          <w:sz w:val="28"/>
          <w:szCs w:val="28"/>
        </w:rPr>
        <w:t>§ 2.1.</w:t>
      </w:r>
      <w:r w:rsidR="00F42938">
        <w:rPr>
          <w:sz w:val="28"/>
          <w:szCs w:val="28"/>
        </w:rPr>
        <w:t xml:space="preserve">  The following year, the Arizona Legislature passed the Victims’ Rights Implementation Act (“VRIA”) which was codified as A.R.S. §§ 13-4401 </w:t>
      </w:r>
      <w:r w:rsidR="00F42938" w:rsidRPr="00F42938">
        <w:rPr>
          <w:i/>
          <w:sz w:val="28"/>
          <w:szCs w:val="28"/>
        </w:rPr>
        <w:t>et seq</w:t>
      </w:r>
      <w:r w:rsidR="00F42938">
        <w:rPr>
          <w:sz w:val="28"/>
          <w:szCs w:val="28"/>
        </w:rPr>
        <w:t>.</w:t>
      </w:r>
      <w:r w:rsidR="006957E9">
        <w:rPr>
          <w:sz w:val="28"/>
          <w:szCs w:val="28"/>
        </w:rPr>
        <w:t xml:space="preserve">  Ch. 229, 1991 Ariz. Sess. Laws 1137</w:t>
      </w:r>
      <w:r w:rsidR="006957E9" w:rsidRPr="006957E9">
        <w:rPr>
          <w:bCs/>
          <w:sz w:val="28"/>
          <w:szCs w:val="28"/>
        </w:rPr>
        <w:t>.</w:t>
      </w:r>
      <w:r w:rsidR="00FB6374" w:rsidRPr="00FB6374">
        <w:rPr>
          <w:sz w:val="28"/>
          <w:szCs w:val="28"/>
        </w:rPr>
        <w:t xml:space="preserve"> </w:t>
      </w:r>
      <w:r w:rsidR="00FB6374">
        <w:rPr>
          <w:sz w:val="28"/>
          <w:szCs w:val="28"/>
        </w:rPr>
        <w:t xml:space="preserve"> In its review of the proposed rule changes in this new petition, APAAC has identified certain areas for suggested clarification in the integration of victims’ rights into the rules.</w:t>
      </w:r>
    </w:p>
    <w:p w14:paraId="173D0255" w14:textId="64FC927D" w:rsidR="00FB6374" w:rsidRPr="00FB6374" w:rsidRDefault="00FB6374" w:rsidP="00FB6374">
      <w:pPr>
        <w:pStyle w:val="Body"/>
        <w:widowControl w:val="0"/>
        <w:spacing w:line="480" w:lineRule="auto"/>
        <w:ind w:firstLine="720"/>
        <w:jc w:val="both"/>
        <w:rPr>
          <w:b/>
          <w:sz w:val="28"/>
          <w:szCs w:val="28"/>
        </w:rPr>
      </w:pPr>
      <w:r w:rsidRPr="00FB6374">
        <w:rPr>
          <w:b/>
          <w:sz w:val="28"/>
          <w:szCs w:val="28"/>
        </w:rPr>
        <w:lastRenderedPageBreak/>
        <w:t>A.</w:t>
      </w:r>
      <w:r w:rsidRPr="00FB6374">
        <w:rPr>
          <w:b/>
          <w:sz w:val="28"/>
          <w:szCs w:val="28"/>
        </w:rPr>
        <w:tab/>
      </w:r>
      <w:r w:rsidRPr="00FB6374">
        <w:rPr>
          <w:b/>
          <w:sz w:val="28"/>
          <w:szCs w:val="28"/>
          <w:u w:val="single"/>
        </w:rPr>
        <w:t>Suggested Integration Clarifications</w:t>
      </w:r>
    </w:p>
    <w:p w14:paraId="68C31432" w14:textId="77777777" w:rsidR="00FB6374" w:rsidRPr="00FB6374" w:rsidRDefault="00FB6374" w:rsidP="006957E9">
      <w:pPr>
        <w:pStyle w:val="Body"/>
        <w:widowControl w:val="0"/>
        <w:spacing w:line="480" w:lineRule="auto"/>
        <w:ind w:firstLine="720"/>
        <w:jc w:val="both"/>
        <w:rPr>
          <w:b/>
          <w:bCs/>
          <w:sz w:val="28"/>
          <w:szCs w:val="28"/>
        </w:rPr>
      </w:pPr>
      <w:r>
        <w:rPr>
          <w:bCs/>
          <w:sz w:val="28"/>
          <w:szCs w:val="28"/>
        </w:rPr>
        <w:tab/>
      </w:r>
      <w:r w:rsidRPr="00FB6374">
        <w:rPr>
          <w:b/>
          <w:bCs/>
          <w:sz w:val="28"/>
          <w:szCs w:val="28"/>
        </w:rPr>
        <w:t>1.</w:t>
      </w:r>
      <w:r w:rsidRPr="00FB6374">
        <w:rPr>
          <w:b/>
          <w:bCs/>
          <w:sz w:val="28"/>
          <w:szCs w:val="28"/>
        </w:rPr>
        <w:tab/>
        <w:t>Redundancies</w:t>
      </w:r>
    </w:p>
    <w:p w14:paraId="3D5EC7F5" w14:textId="32DB6137" w:rsidR="00F42938" w:rsidRDefault="00F42938" w:rsidP="006957E9">
      <w:pPr>
        <w:pStyle w:val="Body"/>
        <w:widowControl w:val="0"/>
        <w:spacing w:line="480" w:lineRule="auto"/>
        <w:ind w:firstLine="720"/>
        <w:jc w:val="both"/>
        <w:rPr>
          <w:sz w:val="28"/>
          <w:szCs w:val="28"/>
        </w:rPr>
      </w:pPr>
      <w:r>
        <w:rPr>
          <w:bCs/>
          <w:sz w:val="28"/>
          <w:szCs w:val="28"/>
        </w:rPr>
        <w:t xml:space="preserve">As it did in its previous petition, Petitioner has taken some provisions of Rule 39 which are otherwise covered by the VBR and VRIA and eliminated them, removing those redundancies between the various laws.  However, some other provisions of the VRIA have been rewritten into the proposed amended rules, creating new redundancies.  </w:t>
      </w:r>
      <w:r w:rsidRPr="00F42938">
        <w:rPr>
          <w:bCs/>
          <w:i/>
          <w:sz w:val="28"/>
          <w:szCs w:val="28"/>
        </w:rPr>
        <w:t>See</w:t>
      </w:r>
      <w:r w:rsidR="004275A8">
        <w:rPr>
          <w:bCs/>
          <w:i/>
          <w:sz w:val="28"/>
          <w:szCs w:val="28"/>
        </w:rPr>
        <w:t xml:space="preserve"> </w:t>
      </w:r>
      <w:r>
        <w:rPr>
          <w:bCs/>
          <w:sz w:val="28"/>
          <w:szCs w:val="28"/>
        </w:rPr>
        <w:t xml:space="preserve">proposed Rule 15.3(g), containing </w:t>
      </w:r>
      <w:r w:rsidR="00FB6374">
        <w:rPr>
          <w:bCs/>
          <w:sz w:val="28"/>
          <w:szCs w:val="28"/>
        </w:rPr>
        <w:t xml:space="preserve">nearly </w:t>
      </w:r>
      <w:r>
        <w:rPr>
          <w:bCs/>
          <w:sz w:val="28"/>
          <w:szCs w:val="28"/>
        </w:rPr>
        <w:t xml:space="preserve">identical language to A.R.S. </w:t>
      </w:r>
      <w:r>
        <w:rPr>
          <w:sz w:val="28"/>
          <w:szCs w:val="28"/>
        </w:rPr>
        <w:t xml:space="preserve">§ 13-4433; proposed Rule 18.1(c), </w:t>
      </w:r>
      <w:r>
        <w:rPr>
          <w:bCs/>
          <w:sz w:val="28"/>
          <w:szCs w:val="28"/>
        </w:rPr>
        <w:t xml:space="preserve">containing </w:t>
      </w:r>
      <w:r w:rsidR="00FB6374">
        <w:rPr>
          <w:bCs/>
          <w:sz w:val="28"/>
          <w:szCs w:val="28"/>
        </w:rPr>
        <w:t xml:space="preserve">nearly </w:t>
      </w:r>
      <w:r>
        <w:rPr>
          <w:bCs/>
          <w:sz w:val="28"/>
          <w:szCs w:val="28"/>
        </w:rPr>
        <w:t xml:space="preserve">identical language to A.R.S. </w:t>
      </w:r>
      <w:r>
        <w:rPr>
          <w:sz w:val="28"/>
          <w:szCs w:val="28"/>
        </w:rPr>
        <w:t xml:space="preserve">§ 13-4419(B); proposed Rule 19.7, </w:t>
      </w:r>
      <w:r>
        <w:rPr>
          <w:bCs/>
          <w:sz w:val="28"/>
          <w:szCs w:val="28"/>
        </w:rPr>
        <w:t xml:space="preserve">containing </w:t>
      </w:r>
      <w:r w:rsidR="00FB6374">
        <w:rPr>
          <w:bCs/>
          <w:sz w:val="28"/>
          <w:szCs w:val="28"/>
        </w:rPr>
        <w:t xml:space="preserve">nearly </w:t>
      </w:r>
      <w:r>
        <w:rPr>
          <w:bCs/>
          <w:sz w:val="28"/>
          <w:szCs w:val="28"/>
        </w:rPr>
        <w:t xml:space="preserve">identical language to A.R.S. </w:t>
      </w:r>
      <w:r>
        <w:rPr>
          <w:sz w:val="28"/>
          <w:szCs w:val="28"/>
        </w:rPr>
        <w:t xml:space="preserve">§ 13-4442; proposed Rule 19.8(a), </w:t>
      </w:r>
      <w:r>
        <w:rPr>
          <w:bCs/>
          <w:sz w:val="28"/>
          <w:szCs w:val="28"/>
        </w:rPr>
        <w:t xml:space="preserve">containing </w:t>
      </w:r>
      <w:r w:rsidR="00FB6374">
        <w:rPr>
          <w:bCs/>
          <w:sz w:val="28"/>
          <w:szCs w:val="28"/>
        </w:rPr>
        <w:t xml:space="preserve">nearly </w:t>
      </w:r>
      <w:r>
        <w:rPr>
          <w:bCs/>
          <w:sz w:val="28"/>
          <w:szCs w:val="28"/>
        </w:rPr>
        <w:t xml:space="preserve">identical language to A.R.S. </w:t>
      </w:r>
      <w:r>
        <w:rPr>
          <w:sz w:val="28"/>
          <w:szCs w:val="28"/>
        </w:rPr>
        <w:t>§ 13-4434(A); and proposed Rule 27.3(c)(1)(A),</w:t>
      </w:r>
      <w:r w:rsidRPr="00F42938">
        <w:rPr>
          <w:bCs/>
          <w:sz w:val="28"/>
          <w:szCs w:val="28"/>
        </w:rPr>
        <w:t xml:space="preserve"> </w:t>
      </w:r>
      <w:r>
        <w:rPr>
          <w:bCs/>
          <w:sz w:val="28"/>
          <w:szCs w:val="28"/>
        </w:rPr>
        <w:t>containing</w:t>
      </w:r>
      <w:r w:rsidR="00FB6374">
        <w:rPr>
          <w:bCs/>
          <w:sz w:val="28"/>
          <w:szCs w:val="28"/>
        </w:rPr>
        <w:t xml:space="preserve"> nearly</w:t>
      </w:r>
      <w:r>
        <w:rPr>
          <w:bCs/>
          <w:sz w:val="28"/>
          <w:szCs w:val="28"/>
        </w:rPr>
        <w:t xml:space="preserve"> identical language to A.R.S. </w:t>
      </w:r>
      <w:r>
        <w:rPr>
          <w:sz w:val="28"/>
          <w:szCs w:val="28"/>
        </w:rPr>
        <w:t>§ 13-4415(B).  APAAC recommends eliminating these redundancies.</w:t>
      </w:r>
    </w:p>
    <w:p w14:paraId="40B7750C" w14:textId="4BA38968" w:rsidR="00F42938" w:rsidRPr="00FB6374" w:rsidRDefault="00FB6374" w:rsidP="006957E9">
      <w:pPr>
        <w:pStyle w:val="Body"/>
        <w:widowControl w:val="0"/>
        <w:spacing w:line="480" w:lineRule="auto"/>
        <w:ind w:firstLine="720"/>
        <w:jc w:val="both"/>
        <w:rPr>
          <w:b/>
          <w:sz w:val="28"/>
          <w:szCs w:val="28"/>
        </w:rPr>
      </w:pPr>
      <w:r>
        <w:rPr>
          <w:sz w:val="28"/>
          <w:szCs w:val="28"/>
        </w:rPr>
        <w:tab/>
      </w:r>
      <w:r w:rsidRPr="00FB6374">
        <w:rPr>
          <w:b/>
          <w:sz w:val="28"/>
          <w:szCs w:val="28"/>
        </w:rPr>
        <w:t>2</w:t>
      </w:r>
      <w:r w:rsidR="00F42938" w:rsidRPr="00FB6374">
        <w:rPr>
          <w:b/>
          <w:sz w:val="28"/>
          <w:szCs w:val="28"/>
        </w:rPr>
        <w:t>.</w:t>
      </w:r>
      <w:r w:rsidR="00F42938" w:rsidRPr="00FB6374">
        <w:rPr>
          <w:b/>
          <w:sz w:val="28"/>
          <w:szCs w:val="28"/>
        </w:rPr>
        <w:tab/>
        <w:t>Discrepancies</w:t>
      </w:r>
    </w:p>
    <w:p w14:paraId="6E9BC3E3" w14:textId="5BB1D21F" w:rsidR="004275A8" w:rsidRDefault="004275A8" w:rsidP="004275A8">
      <w:pPr>
        <w:pStyle w:val="Body"/>
        <w:widowControl w:val="0"/>
        <w:spacing w:line="480" w:lineRule="auto"/>
        <w:ind w:firstLine="720"/>
        <w:jc w:val="both"/>
        <w:rPr>
          <w:sz w:val="28"/>
          <w:szCs w:val="28"/>
        </w:rPr>
      </w:pPr>
      <w:r>
        <w:rPr>
          <w:sz w:val="28"/>
          <w:szCs w:val="28"/>
        </w:rPr>
        <w:t xml:space="preserve">In other instances, there are duplications and discrepancies in the proposed amended rules.  </w:t>
      </w:r>
      <w:r>
        <w:rPr>
          <w:bCs/>
          <w:sz w:val="28"/>
          <w:szCs w:val="28"/>
        </w:rPr>
        <w:t xml:space="preserve">Proposed Rule 1.2(a) contains duplicate language to proposed Rule 1.4(j).  Proposed Rule 1.10(b)(5) contains duplicate language to proposed Rule 1.10(f).  </w:t>
      </w:r>
      <w:r w:rsidR="00F42938">
        <w:rPr>
          <w:sz w:val="28"/>
          <w:szCs w:val="28"/>
        </w:rPr>
        <w:t>Proposed Rule 26.4 (“Presentence Report”) mirrors current Rule 39(b)(15) giving a victim the right to have a “copy” of the presentence report.  However, A.R.S.</w:t>
      </w:r>
      <w:r w:rsidR="00F42938">
        <w:rPr>
          <w:bCs/>
          <w:sz w:val="28"/>
          <w:szCs w:val="28"/>
        </w:rPr>
        <w:t xml:space="preserve"> </w:t>
      </w:r>
      <w:r w:rsidR="00F42938">
        <w:rPr>
          <w:sz w:val="28"/>
          <w:szCs w:val="28"/>
        </w:rPr>
        <w:t>§ 13-4425 gives a victim the right “to inspect” the presentence report.</w:t>
      </w:r>
      <w:r w:rsidR="00D706BD">
        <w:rPr>
          <w:sz w:val="28"/>
          <w:szCs w:val="28"/>
        </w:rPr>
        <w:t xml:space="preserve">  </w:t>
      </w:r>
      <w:r w:rsidR="00D706BD">
        <w:rPr>
          <w:sz w:val="28"/>
          <w:szCs w:val="28"/>
        </w:rPr>
        <w:lastRenderedPageBreak/>
        <w:t>APAAC recommends that this discrepancy be addressed in the petition.</w:t>
      </w:r>
      <w:r>
        <w:rPr>
          <w:sz w:val="28"/>
          <w:szCs w:val="28"/>
        </w:rPr>
        <w:tab/>
      </w:r>
    </w:p>
    <w:p w14:paraId="2707C25E" w14:textId="1586B1EC" w:rsidR="00AB1635" w:rsidRPr="004275A8" w:rsidRDefault="004275A8" w:rsidP="004275A8">
      <w:pPr>
        <w:pStyle w:val="Body"/>
        <w:widowControl w:val="0"/>
        <w:spacing w:line="480" w:lineRule="auto"/>
        <w:ind w:firstLine="720"/>
        <w:jc w:val="both"/>
        <w:rPr>
          <w:b/>
          <w:sz w:val="28"/>
          <w:szCs w:val="28"/>
        </w:rPr>
      </w:pPr>
      <w:r>
        <w:rPr>
          <w:sz w:val="28"/>
          <w:szCs w:val="28"/>
        </w:rPr>
        <w:tab/>
      </w:r>
      <w:r w:rsidRPr="004275A8">
        <w:rPr>
          <w:b/>
          <w:sz w:val="28"/>
          <w:szCs w:val="28"/>
        </w:rPr>
        <w:t>3.</w:t>
      </w:r>
      <w:r w:rsidRPr="004275A8">
        <w:rPr>
          <w:b/>
          <w:sz w:val="28"/>
          <w:szCs w:val="28"/>
        </w:rPr>
        <w:tab/>
        <w:t>Elevating Victims to Party Status</w:t>
      </w:r>
    </w:p>
    <w:p w14:paraId="0E207F1B" w14:textId="177FF0B9" w:rsidR="00AB1635" w:rsidRDefault="00D706BD" w:rsidP="00AB1635">
      <w:pPr>
        <w:pStyle w:val="Body"/>
        <w:widowControl w:val="0"/>
        <w:spacing w:line="480" w:lineRule="auto"/>
        <w:ind w:firstLine="720"/>
        <w:jc w:val="both"/>
        <w:rPr>
          <w:sz w:val="28"/>
          <w:szCs w:val="28"/>
        </w:rPr>
      </w:pPr>
      <w:r>
        <w:rPr>
          <w:sz w:val="28"/>
          <w:szCs w:val="28"/>
        </w:rPr>
        <w:t xml:space="preserve">Some provisions of the proposed rule changes in the petition can be read to elevate victims to a “party” status.  </w:t>
      </w:r>
      <w:r w:rsidR="00AB1635">
        <w:rPr>
          <w:sz w:val="28"/>
          <w:szCs w:val="28"/>
        </w:rPr>
        <w:t>Rule 1.3</w:t>
      </w:r>
      <w:r w:rsidR="007F0475">
        <w:rPr>
          <w:sz w:val="28"/>
          <w:szCs w:val="28"/>
        </w:rPr>
        <w:t xml:space="preserve"> </w:t>
      </w:r>
      <w:r w:rsidR="00AB1635">
        <w:rPr>
          <w:sz w:val="28"/>
          <w:szCs w:val="28"/>
        </w:rPr>
        <w:t>(</w:t>
      </w:r>
      <w:r w:rsidR="007F0475">
        <w:rPr>
          <w:sz w:val="28"/>
          <w:szCs w:val="28"/>
        </w:rPr>
        <w:t>“Computation of Time”</w:t>
      </w:r>
      <w:r w:rsidR="00AB1635">
        <w:rPr>
          <w:sz w:val="28"/>
          <w:szCs w:val="28"/>
        </w:rPr>
        <w:t>) computes certain time limitations for when a party may or must act</w:t>
      </w:r>
      <w:r w:rsidR="003617F7">
        <w:rPr>
          <w:sz w:val="28"/>
          <w:szCs w:val="28"/>
        </w:rPr>
        <w:t>.  T</w:t>
      </w:r>
      <w:r w:rsidR="00AB1635">
        <w:rPr>
          <w:sz w:val="28"/>
          <w:szCs w:val="28"/>
        </w:rPr>
        <w:t xml:space="preserve">he petition </w:t>
      </w:r>
      <w:r w:rsidR="007F0475">
        <w:rPr>
          <w:sz w:val="28"/>
          <w:szCs w:val="28"/>
        </w:rPr>
        <w:t xml:space="preserve">again </w:t>
      </w:r>
      <w:r w:rsidR="00AB1635">
        <w:rPr>
          <w:sz w:val="28"/>
          <w:szCs w:val="28"/>
        </w:rPr>
        <w:t>proposes adding “</w:t>
      </w:r>
      <w:r w:rsidR="00AB1635" w:rsidRPr="00BF0E36">
        <w:rPr>
          <w:i/>
          <w:sz w:val="28"/>
          <w:szCs w:val="28"/>
        </w:rPr>
        <w:t>or crime victim</w:t>
      </w:r>
      <w:r w:rsidR="00AB1635">
        <w:rPr>
          <w:sz w:val="28"/>
          <w:szCs w:val="28"/>
        </w:rPr>
        <w:t>” as an actor</w:t>
      </w:r>
      <w:r w:rsidR="00BA0826">
        <w:rPr>
          <w:sz w:val="28"/>
          <w:szCs w:val="28"/>
        </w:rPr>
        <w:t xml:space="preserve"> under the r</w:t>
      </w:r>
      <w:r w:rsidR="00597A0F">
        <w:rPr>
          <w:sz w:val="28"/>
          <w:szCs w:val="28"/>
        </w:rPr>
        <w:t>u</w:t>
      </w:r>
      <w:r w:rsidR="00BA0826">
        <w:rPr>
          <w:sz w:val="28"/>
          <w:szCs w:val="28"/>
        </w:rPr>
        <w:t>le</w:t>
      </w:r>
      <w:r w:rsidR="00AB1635">
        <w:rPr>
          <w:sz w:val="28"/>
          <w:szCs w:val="28"/>
        </w:rPr>
        <w:t xml:space="preserve">. </w:t>
      </w:r>
      <w:r w:rsidR="007F0475">
        <w:rPr>
          <w:sz w:val="28"/>
          <w:szCs w:val="28"/>
        </w:rPr>
        <w:t>Proposed Rule 1.3(a)(5).</w:t>
      </w:r>
      <w:r w:rsidR="00AB1635">
        <w:rPr>
          <w:sz w:val="28"/>
          <w:szCs w:val="28"/>
        </w:rPr>
        <w:t xml:space="preserve"> </w:t>
      </w:r>
      <w:r w:rsidR="007F0475">
        <w:rPr>
          <w:sz w:val="28"/>
          <w:szCs w:val="28"/>
        </w:rPr>
        <w:t xml:space="preserve"> </w:t>
      </w:r>
      <w:r w:rsidR="00AB1635">
        <w:rPr>
          <w:sz w:val="28"/>
          <w:szCs w:val="28"/>
        </w:rPr>
        <w:t xml:space="preserve">Similarly, </w:t>
      </w:r>
      <w:r w:rsidR="007F0475">
        <w:rPr>
          <w:sz w:val="28"/>
          <w:szCs w:val="28"/>
        </w:rPr>
        <w:t>Rule 1.7 (“Filing and Service of Documents”) provides for how and when documents are filed with the court.  The petition proposes that every person filing a document with any court must serve a copy of the document with the “</w:t>
      </w:r>
      <w:r w:rsidR="007F0475" w:rsidRPr="007F0475">
        <w:rPr>
          <w:i/>
          <w:sz w:val="28"/>
          <w:szCs w:val="28"/>
        </w:rPr>
        <w:t>victim’s attorney</w:t>
      </w:r>
      <w:r w:rsidR="007F0475">
        <w:rPr>
          <w:sz w:val="28"/>
          <w:szCs w:val="28"/>
        </w:rPr>
        <w:t>.”  Proposed Rule 1.7(c).  Rule 1.8 (“Clerk’s Distribution of Minute Entries and Other Documents”) provides for the distribution of minute entry rulings.  The petition proposes that every minute entry must be distributed “</w:t>
      </w:r>
      <w:r w:rsidR="007F0475" w:rsidRPr="007F0475">
        <w:rPr>
          <w:i/>
          <w:sz w:val="28"/>
          <w:szCs w:val="28"/>
        </w:rPr>
        <w:t>to any victim’s attorney</w:t>
      </w:r>
      <w:r w:rsidR="007F0475">
        <w:rPr>
          <w:sz w:val="28"/>
          <w:szCs w:val="28"/>
        </w:rPr>
        <w:t>.”  Proposed Rule 1.8(a).  Finally, Rule 1.9 (“Motions, Oral Argument, and Proposed Orders”) addresses the content, format and service of motions.  The petition proposes that a</w:t>
      </w:r>
      <w:r w:rsidR="007F0475" w:rsidRPr="007F0475">
        <w:rPr>
          <w:i/>
          <w:sz w:val="28"/>
          <w:szCs w:val="28"/>
        </w:rPr>
        <w:t xml:space="preserve"> </w:t>
      </w:r>
      <w:r w:rsidR="007F0475">
        <w:rPr>
          <w:i/>
          <w:sz w:val="28"/>
          <w:szCs w:val="28"/>
        </w:rPr>
        <w:t>“</w:t>
      </w:r>
      <w:r w:rsidR="007F0475" w:rsidRPr="007F0475">
        <w:rPr>
          <w:i/>
          <w:sz w:val="28"/>
          <w:szCs w:val="28"/>
        </w:rPr>
        <w:t>victim’s attorney</w:t>
      </w:r>
      <w:r w:rsidR="007F0475">
        <w:rPr>
          <w:sz w:val="28"/>
          <w:szCs w:val="28"/>
        </w:rPr>
        <w:t xml:space="preserve">” be served with every proposed order.  Proposed </w:t>
      </w:r>
      <w:r w:rsidR="003617F7">
        <w:rPr>
          <w:sz w:val="28"/>
          <w:szCs w:val="28"/>
        </w:rPr>
        <w:t>Rule 1.9</w:t>
      </w:r>
      <w:r w:rsidR="007F0475">
        <w:rPr>
          <w:sz w:val="28"/>
          <w:szCs w:val="28"/>
        </w:rPr>
        <w:t>(f).</w:t>
      </w:r>
      <w:r w:rsidR="00EA44EA">
        <w:rPr>
          <w:sz w:val="28"/>
          <w:szCs w:val="28"/>
        </w:rPr>
        <w:t xml:space="preserve">  </w:t>
      </w:r>
      <w:r w:rsidR="00BA0826">
        <w:rPr>
          <w:sz w:val="28"/>
          <w:szCs w:val="28"/>
        </w:rPr>
        <w:t xml:space="preserve">APAAC </w:t>
      </w:r>
      <w:r w:rsidR="00C94B1B">
        <w:rPr>
          <w:sz w:val="28"/>
          <w:szCs w:val="28"/>
        </w:rPr>
        <w:t xml:space="preserve">again </w:t>
      </w:r>
      <w:r w:rsidR="00BA0826">
        <w:rPr>
          <w:sz w:val="28"/>
          <w:szCs w:val="28"/>
        </w:rPr>
        <w:t>suggests a clarification.</w:t>
      </w:r>
    </w:p>
    <w:p w14:paraId="770C5B27" w14:textId="7C03C9EB" w:rsidR="00D0035C" w:rsidRDefault="003617F7" w:rsidP="00AB1635">
      <w:pPr>
        <w:pStyle w:val="Body"/>
        <w:widowControl w:val="0"/>
        <w:spacing w:line="480" w:lineRule="auto"/>
        <w:ind w:firstLine="0"/>
        <w:jc w:val="both"/>
        <w:rPr>
          <w:sz w:val="28"/>
          <w:szCs w:val="28"/>
        </w:rPr>
      </w:pPr>
      <w:r>
        <w:rPr>
          <w:sz w:val="28"/>
          <w:szCs w:val="28"/>
        </w:rPr>
        <w:tab/>
      </w:r>
      <w:r w:rsidR="00BA22FC">
        <w:rPr>
          <w:sz w:val="28"/>
          <w:szCs w:val="28"/>
        </w:rPr>
        <w:t>Crime victims have “the right to participate and be notified of certain criminal proceedings.</w:t>
      </w:r>
      <w:r w:rsidR="00D0035C">
        <w:rPr>
          <w:sz w:val="28"/>
          <w:szCs w:val="28"/>
        </w:rPr>
        <w:t>”</w:t>
      </w:r>
      <w:r w:rsidR="00BA22FC">
        <w:rPr>
          <w:sz w:val="28"/>
          <w:szCs w:val="28"/>
        </w:rPr>
        <w:t xml:space="preserve">  </w:t>
      </w:r>
      <w:r w:rsidR="00BA22FC" w:rsidRPr="00BA22FC">
        <w:rPr>
          <w:i/>
          <w:sz w:val="28"/>
          <w:szCs w:val="28"/>
        </w:rPr>
        <w:t>State v. Lamberton</w:t>
      </w:r>
      <w:r w:rsidR="00BA22FC">
        <w:rPr>
          <w:sz w:val="28"/>
          <w:szCs w:val="28"/>
        </w:rPr>
        <w:t>, 183 Ariz. 47, 49 (1995).  However, c</w:t>
      </w:r>
      <w:r w:rsidR="00C94B1B">
        <w:rPr>
          <w:sz w:val="28"/>
          <w:szCs w:val="28"/>
        </w:rPr>
        <w:t xml:space="preserve">rime victims are </w:t>
      </w:r>
      <w:r>
        <w:rPr>
          <w:sz w:val="28"/>
          <w:szCs w:val="28"/>
        </w:rPr>
        <w:t>not “parties”</w:t>
      </w:r>
      <w:r w:rsidR="00D0035C">
        <w:rPr>
          <w:sz w:val="28"/>
          <w:szCs w:val="28"/>
        </w:rPr>
        <w:t xml:space="preserve"> and have no right to “control the proceedings, to plead defenses, or to examine or cross-examine witnesses.”  </w:t>
      </w:r>
      <w:r w:rsidR="00D0035C" w:rsidRPr="00D0035C">
        <w:rPr>
          <w:i/>
          <w:sz w:val="28"/>
          <w:szCs w:val="28"/>
        </w:rPr>
        <w:t>Id</w:t>
      </w:r>
      <w:r w:rsidR="00D0035C">
        <w:rPr>
          <w:sz w:val="28"/>
          <w:szCs w:val="28"/>
        </w:rPr>
        <w:t>. at 49</w:t>
      </w:r>
      <w:r w:rsidR="004F5916">
        <w:rPr>
          <w:sz w:val="28"/>
          <w:szCs w:val="28"/>
        </w:rPr>
        <w:t xml:space="preserve">; </w:t>
      </w:r>
      <w:r w:rsidR="004F5916" w:rsidRPr="004F5916">
        <w:rPr>
          <w:i/>
          <w:sz w:val="28"/>
          <w:szCs w:val="28"/>
        </w:rPr>
        <w:t>s</w:t>
      </w:r>
      <w:r w:rsidR="00D0035C" w:rsidRPr="00D0035C">
        <w:rPr>
          <w:i/>
          <w:sz w:val="28"/>
          <w:szCs w:val="28"/>
        </w:rPr>
        <w:t>ee also</w:t>
      </w:r>
      <w:r>
        <w:rPr>
          <w:sz w:val="28"/>
          <w:szCs w:val="28"/>
        </w:rPr>
        <w:t xml:space="preserve"> </w:t>
      </w:r>
      <w:r w:rsidRPr="00EA44EA">
        <w:rPr>
          <w:i/>
          <w:sz w:val="28"/>
          <w:szCs w:val="28"/>
        </w:rPr>
        <w:t>Lindsay R. v. Cohen</w:t>
      </w:r>
      <w:r>
        <w:rPr>
          <w:sz w:val="28"/>
          <w:szCs w:val="28"/>
        </w:rPr>
        <w:t xml:space="preserve">, </w:t>
      </w:r>
      <w:r>
        <w:rPr>
          <w:sz w:val="28"/>
          <w:szCs w:val="28"/>
        </w:rPr>
        <w:lastRenderedPageBreak/>
        <w:t>236 Ariz. 565,</w:t>
      </w:r>
      <w:r w:rsidR="00C94B1B">
        <w:rPr>
          <w:sz w:val="28"/>
          <w:szCs w:val="28"/>
        </w:rPr>
        <w:t xml:space="preserve"> 567,</w:t>
      </w:r>
      <w:r>
        <w:rPr>
          <w:sz w:val="28"/>
          <w:szCs w:val="28"/>
        </w:rPr>
        <w:t xml:space="preserve"> ¶ 8</w:t>
      </w:r>
      <w:r w:rsidR="00EA44EA">
        <w:rPr>
          <w:sz w:val="28"/>
          <w:szCs w:val="28"/>
        </w:rPr>
        <w:t xml:space="preserve"> (App. 2015)</w:t>
      </w:r>
      <w:r w:rsidR="00597A0F">
        <w:rPr>
          <w:sz w:val="28"/>
          <w:szCs w:val="28"/>
        </w:rPr>
        <w:t xml:space="preserve"> (“The VBR does not make victims ‘parties’ to the prosecution[.]”)</w:t>
      </w:r>
      <w:r w:rsidR="00EA44EA">
        <w:rPr>
          <w:sz w:val="28"/>
          <w:szCs w:val="28"/>
        </w:rPr>
        <w:t xml:space="preserve">; </w:t>
      </w:r>
      <w:r w:rsidRPr="00EA44EA">
        <w:rPr>
          <w:i/>
          <w:sz w:val="28"/>
          <w:szCs w:val="28"/>
        </w:rPr>
        <w:t>Lynn v. Reinstein</w:t>
      </w:r>
      <w:r>
        <w:rPr>
          <w:sz w:val="28"/>
          <w:szCs w:val="28"/>
        </w:rPr>
        <w:t>, 205 Ariz. 186,</w:t>
      </w:r>
      <w:r w:rsidR="00C94B1B">
        <w:rPr>
          <w:sz w:val="28"/>
          <w:szCs w:val="28"/>
        </w:rPr>
        <w:t xml:space="preserve"> 191</w:t>
      </w:r>
      <w:r>
        <w:rPr>
          <w:sz w:val="28"/>
          <w:szCs w:val="28"/>
        </w:rPr>
        <w:t xml:space="preserve"> ¶ 15 (2003) (“[n]o statute or rule confers party status upon a victim[.]”).</w:t>
      </w:r>
    </w:p>
    <w:p w14:paraId="2D48C025" w14:textId="77777777" w:rsidR="00213EDD" w:rsidRDefault="00D0035C" w:rsidP="00213EDD">
      <w:pPr>
        <w:pStyle w:val="Body"/>
        <w:widowControl w:val="0"/>
        <w:spacing w:line="480" w:lineRule="auto"/>
        <w:ind w:firstLine="0"/>
        <w:jc w:val="both"/>
        <w:rPr>
          <w:sz w:val="28"/>
          <w:szCs w:val="28"/>
        </w:rPr>
      </w:pPr>
      <w:r>
        <w:rPr>
          <w:sz w:val="28"/>
          <w:szCs w:val="28"/>
        </w:rPr>
        <w:tab/>
        <w:t>A</w:t>
      </w:r>
      <w:r w:rsidR="00B41664">
        <w:rPr>
          <w:sz w:val="28"/>
          <w:szCs w:val="28"/>
        </w:rPr>
        <w:t xml:space="preserve"> victim</w:t>
      </w:r>
      <w:r>
        <w:rPr>
          <w:sz w:val="28"/>
          <w:szCs w:val="28"/>
        </w:rPr>
        <w:t xml:space="preserve"> does have</w:t>
      </w:r>
      <w:r w:rsidR="00B41664">
        <w:rPr>
          <w:sz w:val="28"/>
          <w:szCs w:val="28"/>
        </w:rPr>
        <w:t xml:space="preserve"> “standing to seek an order, to bring a special action or to file a notice of appearance in an appellate proceeding” in order to enforce a right or challenge a denial of a right.  </w:t>
      </w:r>
      <w:r w:rsidR="00C94B1B">
        <w:rPr>
          <w:sz w:val="28"/>
          <w:szCs w:val="28"/>
        </w:rPr>
        <w:t>A.R.S. § 13-4437.A.  And a</w:t>
      </w:r>
      <w:r w:rsidR="00B41664">
        <w:rPr>
          <w:sz w:val="28"/>
          <w:szCs w:val="28"/>
        </w:rPr>
        <w:t xml:space="preserve"> victim</w:t>
      </w:r>
      <w:r w:rsidR="00401FE1">
        <w:rPr>
          <w:sz w:val="28"/>
          <w:szCs w:val="28"/>
        </w:rPr>
        <w:t xml:space="preserve"> </w:t>
      </w:r>
      <w:r w:rsidR="00B41664">
        <w:rPr>
          <w:sz w:val="28"/>
          <w:szCs w:val="28"/>
        </w:rPr>
        <w:t>has the right to be represented by counsel in asserting any right.</w:t>
      </w:r>
      <w:r>
        <w:rPr>
          <w:sz w:val="28"/>
          <w:szCs w:val="28"/>
        </w:rPr>
        <w:t xml:space="preserve">  </w:t>
      </w:r>
      <w:r w:rsidRPr="00D0035C">
        <w:rPr>
          <w:i/>
          <w:sz w:val="28"/>
          <w:szCs w:val="28"/>
        </w:rPr>
        <w:t>Id</w:t>
      </w:r>
      <w:r>
        <w:rPr>
          <w:sz w:val="28"/>
          <w:szCs w:val="28"/>
        </w:rPr>
        <w:t>.</w:t>
      </w:r>
      <w:r w:rsidR="00B41664">
        <w:rPr>
          <w:sz w:val="28"/>
          <w:szCs w:val="28"/>
        </w:rPr>
        <w:t xml:space="preserve"> </w:t>
      </w:r>
      <w:r>
        <w:rPr>
          <w:sz w:val="28"/>
          <w:szCs w:val="28"/>
        </w:rPr>
        <w:t xml:space="preserve"> </w:t>
      </w:r>
      <w:r w:rsidR="00C94B1B">
        <w:rPr>
          <w:sz w:val="28"/>
          <w:szCs w:val="28"/>
        </w:rPr>
        <w:t>I</w:t>
      </w:r>
      <w:r w:rsidR="00A4629B">
        <w:rPr>
          <w:sz w:val="28"/>
          <w:szCs w:val="28"/>
        </w:rPr>
        <w:t xml:space="preserve">n </w:t>
      </w:r>
      <w:r w:rsidR="00A4629B" w:rsidRPr="00A4629B">
        <w:rPr>
          <w:i/>
          <w:sz w:val="28"/>
          <w:szCs w:val="28"/>
        </w:rPr>
        <w:t>State ex rel. Montgomery v. Padilla</w:t>
      </w:r>
      <w:r w:rsidR="00A4629B">
        <w:rPr>
          <w:sz w:val="28"/>
          <w:szCs w:val="28"/>
        </w:rPr>
        <w:t xml:space="preserve">, 238 Ariz. 560 (App. 2015), </w:t>
      </w:r>
      <w:r w:rsidR="00C94B1B">
        <w:rPr>
          <w:sz w:val="28"/>
          <w:szCs w:val="28"/>
        </w:rPr>
        <w:t xml:space="preserve">Division One </w:t>
      </w:r>
      <w:r w:rsidR="002D1BC2">
        <w:rPr>
          <w:sz w:val="28"/>
          <w:szCs w:val="28"/>
        </w:rPr>
        <w:t xml:space="preserve">interpreted the statute and </w:t>
      </w:r>
      <w:r w:rsidR="00C94B1B">
        <w:rPr>
          <w:sz w:val="28"/>
          <w:szCs w:val="28"/>
        </w:rPr>
        <w:t>held that</w:t>
      </w:r>
      <w:r>
        <w:rPr>
          <w:sz w:val="28"/>
          <w:szCs w:val="28"/>
        </w:rPr>
        <w:t xml:space="preserve"> the subject matter of requests by victims in a criminal case is limited and “must be directed to ‘</w:t>
      </w:r>
      <w:proofErr w:type="spellStart"/>
      <w:r>
        <w:rPr>
          <w:sz w:val="28"/>
          <w:szCs w:val="28"/>
        </w:rPr>
        <w:t>enforc</w:t>
      </w:r>
      <w:proofErr w:type="spellEnd"/>
      <w:r>
        <w:rPr>
          <w:sz w:val="28"/>
          <w:szCs w:val="28"/>
        </w:rPr>
        <w:t>[</w:t>
      </w:r>
      <w:proofErr w:type="spellStart"/>
      <w:r>
        <w:rPr>
          <w:sz w:val="28"/>
          <w:szCs w:val="28"/>
        </w:rPr>
        <w:t>ing</w:t>
      </w:r>
      <w:proofErr w:type="spellEnd"/>
      <w:r>
        <w:rPr>
          <w:sz w:val="28"/>
          <w:szCs w:val="28"/>
        </w:rPr>
        <w:t xml:space="preserve">] any right or to </w:t>
      </w:r>
      <w:proofErr w:type="spellStart"/>
      <w:r>
        <w:rPr>
          <w:sz w:val="28"/>
          <w:szCs w:val="28"/>
        </w:rPr>
        <w:t>challeng</w:t>
      </w:r>
      <w:proofErr w:type="spellEnd"/>
      <w:r>
        <w:rPr>
          <w:sz w:val="28"/>
          <w:szCs w:val="28"/>
        </w:rPr>
        <w:t>[</w:t>
      </w:r>
      <w:proofErr w:type="spellStart"/>
      <w:r>
        <w:rPr>
          <w:sz w:val="28"/>
          <w:szCs w:val="28"/>
        </w:rPr>
        <w:t>ing</w:t>
      </w:r>
      <w:proofErr w:type="spellEnd"/>
      <w:r>
        <w:rPr>
          <w:sz w:val="28"/>
          <w:szCs w:val="28"/>
        </w:rPr>
        <w:t xml:space="preserve">] an order denying any right guaranteed to victims.’”  </w:t>
      </w:r>
      <w:r w:rsidRPr="00D0035C">
        <w:rPr>
          <w:i/>
          <w:sz w:val="28"/>
          <w:szCs w:val="28"/>
        </w:rPr>
        <w:t>Padilla</w:t>
      </w:r>
      <w:r>
        <w:rPr>
          <w:sz w:val="28"/>
          <w:szCs w:val="28"/>
        </w:rPr>
        <w:t>, at 566, ¶ 22.</w:t>
      </w:r>
      <w:r w:rsidR="00BA0826">
        <w:rPr>
          <w:sz w:val="28"/>
          <w:szCs w:val="28"/>
        </w:rPr>
        <w:t xml:space="preserve">  </w:t>
      </w:r>
      <w:r w:rsidR="004F5916">
        <w:rPr>
          <w:sz w:val="28"/>
          <w:szCs w:val="28"/>
        </w:rPr>
        <w:t>A</w:t>
      </w:r>
      <w:r w:rsidR="00BA0826">
        <w:rPr>
          <w:sz w:val="28"/>
          <w:szCs w:val="28"/>
        </w:rPr>
        <w:t>PAAC</w:t>
      </w:r>
      <w:r w:rsidR="00B41664">
        <w:rPr>
          <w:sz w:val="28"/>
          <w:szCs w:val="28"/>
        </w:rPr>
        <w:t xml:space="preserve"> recommends that </w:t>
      </w:r>
      <w:r w:rsidR="004F5916">
        <w:rPr>
          <w:sz w:val="28"/>
          <w:szCs w:val="28"/>
        </w:rPr>
        <w:t xml:space="preserve">Petitioner clarify that </w:t>
      </w:r>
      <w:r w:rsidR="00B41664">
        <w:rPr>
          <w:sz w:val="28"/>
          <w:szCs w:val="28"/>
        </w:rPr>
        <w:t xml:space="preserve">the proposed changes to </w:t>
      </w:r>
      <w:r w:rsidR="004F5916">
        <w:rPr>
          <w:sz w:val="28"/>
          <w:szCs w:val="28"/>
        </w:rPr>
        <w:t>the rules enumerated here</w:t>
      </w:r>
      <w:r w:rsidR="00B41664">
        <w:rPr>
          <w:sz w:val="28"/>
          <w:szCs w:val="28"/>
        </w:rPr>
        <w:t xml:space="preserve"> apply to </w:t>
      </w:r>
      <w:r w:rsidR="004F5916">
        <w:rPr>
          <w:sz w:val="28"/>
          <w:szCs w:val="28"/>
        </w:rPr>
        <w:t xml:space="preserve">only </w:t>
      </w:r>
      <w:r w:rsidR="00B41664">
        <w:rPr>
          <w:sz w:val="28"/>
          <w:szCs w:val="28"/>
        </w:rPr>
        <w:t xml:space="preserve">those </w:t>
      </w:r>
      <w:r>
        <w:rPr>
          <w:sz w:val="28"/>
          <w:szCs w:val="28"/>
        </w:rPr>
        <w:t>matters that directly involve</w:t>
      </w:r>
      <w:r w:rsidR="004F5916">
        <w:rPr>
          <w:sz w:val="28"/>
          <w:szCs w:val="28"/>
        </w:rPr>
        <w:t xml:space="preserve"> </w:t>
      </w:r>
      <w:r>
        <w:rPr>
          <w:sz w:val="28"/>
          <w:szCs w:val="28"/>
        </w:rPr>
        <w:t>a victim</w:t>
      </w:r>
      <w:r w:rsidR="004F5916">
        <w:rPr>
          <w:sz w:val="28"/>
          <w:szCs w:val="28"/>
        </w:rPr>
        <w:t xml:space="preserve"> enforcing a right or challenging a denial of a right</w:t>
      </w:r>
      <w:r w:rsidR="00B41664">
        <w:rPr>
          <w:sz w:val="28"/>
          <w:szCs w:val="28"/>
        </w:rPr>
        <w:t>.</w:t>
      </w:r>
    </w:p>
    <w:p w14:paraId="4BE896DC" w14:textId="59CA74AE" w:rsidR="00656EA2" w:rsidRPr="00213EDD" w:rsidRDefault="00213EDD" w:rsidP="00213EDD">
      <w:pPr>
        <w:pStyle w:val="Body"/>
        <w:widowControl w:val="0"/>
        <w:spacing w:line="480" w:lineRule="auto"/>
        <w:ind w:firstLine="0"/>
        <w:jc w:val="both"/>
        <w:rPr>
          <w:sz w:val="28"/>
          <w:szCs w:val="28"/>
        </w:rPr>
      </w:pPr>
      <w:r>
        <w:rPr>
          <w:sz w:val="28"/>
          <w:szCs w:val="28"/>
        </w:rPr>
        <w:tab/>
      </w:r>
      <w:r>
        <w:rPr>
          <w:sz w:val="28"/>
          <w:szCs w:val="28"/>
        </w:rPr>
        <w:tab/>
      </w:r>
      <w:r w:rsidRPr="00213EDD">
        <w:rPr>
          <w:b/>
          <w:sz w:val="28"/>
          <w:szCs w:val="28"/>
        </w:rPr>
        <w:t>4.</w:t>
      </w:r>
      <w:r>
        <w:rPr>
          <w:sz w:val="28"/>
          <w:szCs w:val="28"/>
        </w:rPr>
        <w:tab/>
      </w:r>
      <w:r w:rsidR="00656EA2" w:rsidRPr="00DD0E34">
        <w:rPr>
          <w:b/>
          <w:sz w:val="28"/>
          <w:szCs w:val="28"/>
        </w:rPr>
        <w:t xml:space="preserve">Rule </w:t>
      </w:r>
      <w:r w:rsidR="00945929">
        <w:rPr>
          <w:b/>
          <w:sz w:val="28"/>
          <w:szCs w:val="28"/>
        </w:rPr>
        <w:t>15</w:t>
      </w:r>
      <w:r w:rsidR="00656EA2" w:rsidRPr="00DD0E34">
        <w:rPr>
          <w:b/>
          <w:sz w:val="28"/>
          <w:szCs w:val="28"/>
        </w:rPr>
        <w:t>.</w:t>
      </w:r>
      <w:r w:rsidR="00945929">
        <w:rPr>
          <w:b/>
          <w:sz w:val="28"/>
          <w:szCs w:val="28"/>
        </w:rPr>
        <w:t>1</w:t>
      </w:r>
      <w:r w:rsidR="00656EA2" w:rsidRPr="00DD0E34">
        <w:rPr>
          <w:b/>
          <w:sz w:val="28"/>
          <w:szCs w:val="28"/>
        </w:rPr>
        <w:t xml:space="preserve"> </w:t>
      </w:r>
      <w:r>
        <w:rPr>
          <w:b/>
          <w:sz w:val="28"/>
          <w:szCs w:val="28"/>
        </w:rPr>
        <w:t>(</w:t>
      </w:r>
      <w:r w:rsidR="00704C02">
        <w:rPr>
          <w:b/>
          <w:sz w:val="28"/>
          <w:szCs w:val="28"/>
        </w:rPr>
        <w:t>Disclosure</w:t>
      </w:r>
      <w:r>
        <w:rPr>
          <w:b/>
          <w:sz w:val="28"/>
          <w:szCs w:val="28"/>
        </w:rPr>
        <w:t>)</w:t>
      </w:r>
    </w:p>
    <w:p w14:paraId="6F5C5319" w14:textId="08C0A4CA" w:rsidR="00213EDD" w:rsidRDefault="00704C02" w:rsidP="00213EDD">
      <w:pPr>
        <w:pStyle w:val="Body"/>
        <w:widowControl w:val="0"/>
        <w:spacing w:line="480" w:lineRule="auto"/>
        <w:ind w:firstLine="720"/>
        <w:jc w:val="both"/>
        <w:rPr>
          <w:sz w:val="28"/>
          <w:szCs w:val="28"/>
        </w:rPr>
      </w:pPr>
      <w:r>
        <w:rPr>
          <w:sz w:val="28"/>
          <w:szCs w:val="28"/>
        </w:rPr>
        <w:t xml:space="preserve">As it did in R-18-0001, Petitioner proposes limitations on a court’s </w:t>
      </w:r>
      <w:r w:rsidR="00213EDD">
        <w:rPr>
          <w:sz w:val="28"/>
          <w:szCs w:val="28"/>
        </w:rPr>
        <w:t xml:space="preserve">ability to order </w:t>
      </w:r>
      <w:r>
        <w:rPr>
          <w:sz w:val="28"/>
          <w:szCs w:val="28"/>
        </w:rPr>
        <w:t xml:space="preserve">disclosure.  </w:t>
      </w:r>
      <w:r w:rsidR="000F54A9">
        <w:rPr>
          <w:sz w:val="28"/>
          <w:szCs w:val="28"/>
        </w:rPr>
        <w:t xml:space="preserve">Rule 15.1(g)(1) allows a court, on a defendant’s motion, to order any person to make available material or information if the court finds substantial need and undue hardship </w:t>
      </w:r>
      <w:r w:rsidR="00CA1515">
        <w:rPr>
          <w:sz w:val="28"/>
          <w:szCs w:val="28"/>
        </w:rPr>
        <w:t xml:space="preserve">to gain that information </w:t>
      </w:r>
      <w:r w:rsidR="000F54A9">
        <w:rPr>
          <w:sz w:val="28"/>
          <w:szCs w:val="28"/>
        </w:rPr>
        <w:t>by other means.  Th</w:t>
      </w:r>
      <w:r w:rsidR="00F56C5C">
        <w:rPr>
          <w:sz w:val="28"/>
          <w:szCs w:val="28"/>
        </w:rPr>
        <w:t>e petition proposes limiting this</w:t>
      </w:r>
      <w:r w:rsidR="000F54A9">
        <w:rPr>
          <w:sz w:val="28"/>
          <w:szCs w:val="28"/>
        </w:rPr>
        <w:t xml:space="preserve"> disclos</w:t>
      </w:r>
      <w:r w:rsidR="00F56C5C">
        <w:rPr>
          <w:sz w:val="28"/>
          <w:szCs w:val="28"/>
        </w:rPr>
        <w:t>ure provision</w:t>
      </w:r>
      <w:r w:rsidR="000F54A9">
        <w:rPr>
          <w:sz w:val="28"/>
          <w:szCs w:val="28"/>
        </w:rPr>
        <w:t xml:space="preserve"> to any person “</w:t>
      </w:r>
      <w:r w:rsidR="000F54A9" w:rsidRPr="000F54A9">
        <w:rPr>
          <w:i/>
          <w:sz w:val="28"/>
          <w:szCs w:val="28"/>
        </w:rPr>
        <w:t>other than the victim.</w:t>
      </w:r>
      <w:r w:rsidR="000F54A9">
        <w:rPr>
          <w:sz w:val="28"/>
          <w:szCs w:val="28"/>
        </w:rPr>
        <w:t xml:space="preserve">”  </w:t>
      </w:r>
      <w:r w:rsidR="000F54A9">
        <w:rPr>
          <w:sz w:val="28"/>
          <w:szCs w:val="28"/>
        </w:rPr>
        <w:lastRenderedPageBreak/>
        <w:t xml:space="preserve">Ariz. Const. art. 2, § 2.1.(A).5 gives a victim the right to refuse a “discovery request by the defendant[.]”  However, in </w:t>
      </w:r>
      <w:r w:rsidR="000F54A9" w:rsidRPr="00CA1515">
        <w:rPr>
          <w:i/>
          <w:sz w:val="28"/>
          <w:szCs w:val="28"/>
        </w:rPr>
        <w:t>State ex rel. Romley v. Superior Court</w:t>
      </w:r>
      <w:r w:rsidR="00967F61">
        <w:rPr>
          <w:i/>
          <w:sz w:val="28"/>
          <w:szCs w:val="28"/>
        </w:rPr>
        <w:t xml:space="preserve"> (Roper)</w:t>
      </w:r>
      <w:r w:rsidR="000F54A9">
        <w:rPr>
          <w:sz w:val="28"/>
          <w:szCs w:val="28"/>
        </w:rPr>
        <w:t xml:space="preserve">, 172 Ariz. 232 (App. 1992), the court ruled that </w:t>
      </w:r>
      <w:r w:rsidR="00CA1515">
        <w:rPr>
          <w:sz w:val="28"/>
          <w:szCs w:val="28"/>
        </w:rPr>
        <w:t xml:space="preserve">while the VBR </w:t>
      </w:r>
      <w:r w:rsidR="000F54A9">
        <w:rPr>
          <w:sz w:val="28"/>
          <w:szCs w:val="28"/>
        </w:rPr>
        <w:t>a</w:t>
      </w:r>
      <w:r w:rsidR="00CA1515">
        <w:rPr>
          <w:sz w:val="28"/>
          <w:szCs w:val="28"/>
        </w:rPr>
        <w:t>llows a</w:t>
      </w:r>
      <w:r w:rsidR="000F54A9">
        <w:rPr>
          <w:sz w:val="28"/>
          <w:szCs w:val="28"/>
        </w:rPr>
        <w:t xml:space="preserve"> </w:t>
      </w:r>
      <w:r w:rsidR="00CA1515">
        <w:rPr>
          <w:sz w:val="28"/>
          <w:szCs w:val="28"/>
        </w:rPr>
        <w:t>victim to refuse a discovery</w:t>
      </w:r>
      <w:r w:rsidR="000F54A9">
        <w:rPr>
          <w:sz w:val="28"/>
          <w:szCs w:val="28"/>
        </w:rPr>
        <w:t xml:space="preserve"> request by the defendant</w:t>
      </w:r>
      <w:r w:rsidR="00CA1515">
        <w:rPr>
          <w:sz w:val="28"/>
          <w:szCs w:val="28"/>
        </w:rPr>
        <w:t xml:space="preserve">, the VBR “must yield to the federal and state constitutions’ mandates of due process of law” in order for a defendant to have a fair trial and present an adequate theory of the case.  172 Ariz. at 240.  </w:t>
      </w:r>
      <w:r w:rsidR="00492F69">
        <w:rPr>
          <w:sz w:val="28"/>
          <w:szCs w:val="28"/>
        </w:rPr>
        <w:t>The</w:t>
      </w:r>
      <w:r w:rsidR="00F56C5C">
        <w:rPr>
          <w:sz w:val="28"/>
          <w:szCs w:val="28"/>
        </w:rPr>
        <w:t>re, the</w:t>
      </w:r>
      <w:r w:rsidR="00492F69">
        <w:rPr>
          <w:sz w:val="28"/>
          <w:szCs w:val="28"/>
        </w:rPr>
        <w:t xml:space="preserve"> matter was remanded for an </w:t>
      </w:r>
      <w:proofErr w:type="gramStart"/>
      <w:r w:rsidR="00492F69" w:rsidRPr="00492F69">
        <w:rPr>
          <w:i/>
          <w:sz w:val="28"/>
          <w:szCs w:val="28"/>
        </w:rPr>
        <w:t>in camera</w:t>
      </w:r>
      <w:proofErr w:type="gramEnd"/>
      <w:r w:rsidR="00492F69">
        <w:rPr>
          <w:sz w:val="28"/>
          <w:szCs w:val="28"/>
        </w:rPr>
        <w:t xml:space="preserve"> review of the victim’s medical records.  </w:t>
      </w:r>
      <w:r w:rsidR="00E66FCC">
        <w:rPr>
          <w:sz w:val="28"/>
          <w:szCs w:val="28"/>
        </w:rPr>
        <w:t xml:space="preserve">While </w:t>
      </w:r>
      <w:r w:rsidR="00E66FCC" w:rsidRPr="00E66FCC">
        <w:rPr>
          <w:i/>
          <w:sz w:val="28"/>
          <w:szCs w:val="28"/>
        </w:rPr>
        <w:t>Ro</w:t>
      </w:r>
      <w:r w:rsidR="00305B80">
        <w:rPr>
          <w:i/>
          <w:sz w:val="28"/>
          <w:szCs w:val="28"/>
        </w:rPr>
        <w:t>per</w:t>
      </w:r>
      <w:r w:rsidR="00CA1515">
        <w:rPr>
          <w:sz w:val="28"/>
          <w:szCs w:val="28"/>
        </w:rPr>
        <w:t xml:space="preserve"> was fact-specific to </w:t>
      </w:r>
      <w:r w:rsidR="00E66FCC">
        <w:rPr>
          <w:sz w:val="28"/>
          <w:szCs w:val="28"/>
        </w:rPr>
        <w:t xml:space="preserve">the defendant’s justification defense, it illustrates that a due process right to a fundamentally fair trial may outweigh a victim’s right to refuse a discovery request.  (See also, </w:t>
      </w:r>
      <w:r w:rsidR="00E66FCC" w:rsidRPr="00E66FCC">
        <w:rPr>
          <w:i/>
          <w:sz w:val="28"/>
          <w:szCs w:val="28"/>
        </w:rPr>
        <w:t xml:space="preserve">State ex rel. Romley v. </w:t>
      </w:r>
      <w:proofErr w:type="spellStart"/>
      <w:r w:rsidR="00E66FCC" w:rsidRPr="00E66FCC">
        <w:rPr>
          <w:i/>
          <w:sz w:val="28"/>
          <w:szCs w:val="28"/>
        </w:rPr>
        <w:t>Dairman</w:t>
      </w:r>
      <w:proofErr w:type="spellEnd"/>
      <w:r w:rsidR="00E66FCC">
        <w:rPr>
          <w:sz w:val="28"/>
          <w:szCs w:val="28"/>
        </w:rPr>
        <w:t>, 208 Ariz. 484, 490, ¶¶ 22-23 (App. 2004) (</w:t>
      </w:r>
      <w:r w:rsidR="00303F08">
        <w:rPr>
          <w:sz w:val="28"/>
          <w:szCs w:val="28"/>
        </w:rPr>
        <w:t>independent</w:t>
      </w:r>
      <w:r w:rsidR="00E66FCC">
        <w:rPr>
          <w:sz w:val="28"/>
          <w:szCs w:val="28"/>
        </w:rPr>
        <w:t xml:space="preserve"> constitutional interests of the defendant and victim require the court to exercise </w:t>
      </w:r>
      <w:r w:rsidR="00303F08">
        <w:rPr>
          <w:sz w:val="28"/>
          <w:szCs w:val="28"/>
        </w:rPr>
        <w:t xml:space="preserve">its </w:t>
      </w:r>
      <w:r w:rsidR="00E66FCC">
        <w:rPr>
          <w:sz w:val="28"/>
          <w:szCs w:val="28"/>
        </w:rPr>
        <w:t>discretion in protecting each of the competing interests</w:t>
      </w:r>
      <w:r w:rsidR="00967F61">
        <w:rPr>
          <w:sz w:val="28"/>
          <w:szCs w:val="28"/>
        </w:rPr>
        <w:t>)</w:t>
      </w:r>
      <w:r w:rsidR="00327DF3">
        <w:rPr>
          <w:sz w:val="28"/>
          <w:szCs w:val="28"/>
        </w:rPr>
        <w:t xml:space="preserve">; </w:t>
      </w:r>
      <w:r w:rsidR="00327DF3" w:rsidRPr="00327DF3">
        <w:rPr>
          <w:i/>
          <w:sz w:val="28"/>
          <w:szCs w:val="28"/>
        </w:rPr>
        <w:t>State v. Riggs</w:t>
      </w:r>
      <w:r w:rsidR="00327DF3">
        <w:rPr>
          <w:sz w:val="28"/>
          <w:szCs w:val="28"/>
        </w:rPr>
        <w:t>, 189 Ariz. 327, 330 (1997) (“if…the victim’s state constitutional rights conflict with a defendant’s federal constitutional rights to due process and effective cross-examination, the victim’s rights must yield”)</w:t>
      </w:r>
      <w:r w:rsidR="00E66FCC">
        <w:rPr>
          <w:sz w:val="28"/>
          <w:szCs w:val="28"/>
        </w:rPr>
        <w:t>.</w:t>
      </w:r>
      <w:r w:rsidR="005C58BA">
        <w:rPr>
          <w:sz w:val="28"/>
          <w:szCs w:val="28"/>
        </w:rPr>
        <w:t xml:space="preserve">  APAAC </w:t>
      </w:r>
      <w:r>
        <w:rPr>
          <w:sz w:val="28"/>
          <w:szCs w:val="28"/>
        </w:rPr>
        <w:t xml:space="preserve">again </w:t>
      </w:r>
      <w:r w:rsidR="005C58BA">
        <w:rPr>
          <w:sz w:val="28"/>
          <w:szCs w:val="28"/>
        </w:rPr>
        <w:t xml:space="preserve">recommends </w:t>
      </w:r>
      <w:r>
        <w:rPr>
          <w:sz w:val="28"/>
          <w:szCs w:val="28"/>
        </w:rPr>
        <w:t>that P</w:t>
      </w:r>
      <w:r w:rsidR="005C58BA">
        <w:rPr>
          <w:sz w:val="28"/>
          <w:szCs w:val="28"/>
        </w:rPr>
        <w:t xml:space="preserve">etitioner consider modifying its proposal to </w:t>
      </w:r>
      <w:proofErr w:type="gramStart"/>
      <w:r w:rsidR="005C58BA">
        <w:rPr>
          <w:sz w:val="28"/>
          <w:szCs w:val="28"/>
        </w:rPr>
        <w:t>say</w:t>
      </w:r>
      <w:proofErr w:type="gramEnd"/>
      <w:r w:rsidR="005C58BA">
        <w:rPr>
          <w:sz w:val="28"/>
          <w:szCs w:val="28"/>
        </w:rPr>
        <w:t xml:space="preserve"> “</w:t>
      </w:r>
      <w:r w:rsidR="005C58BA" w:rsidRPr="005C58BA">
        <w:rPr>
          <w:i/>
          <w:sz w:val="28"/>
          <w:szCs w:val="28"/>
        </w:rPr>
        <w:t>other than the victim absent a determination by the court that the evidence would be exculpatory.</w:t>
      </w:r>
      <w:r w:rsidR="005C58BA">
        <w:rPr>
          <w:sz w:val="28"/>
          <w:szCs w:val="28"/>
        </w:rPr>
        <w:t>”</w:t>
      </w:r>
    </w:p>
    <w:p w14:paraId="253B7507" w14:textId="6B054BFC" w:rsidR="00656EA2" w:rsidRPr="00213EDD" w:rsidRDefault="00213EDD" w:rsidP="00213EDD">
      <w:pPr>
        <w:pStyle w:val="Body"/>
        <w:widowControl w:val="0"/>
        <w:spacing w:line="480" w:lineRule="auto"/>
        <w:ind w:firstLine="0"/>
        <w:jc w:val="both"/>
        <w:rPr>
          <w:sz w:val="28"/>
          <w:szCs w:val="28"/>
        </w:rPr>
      </w:pPr>
      <w:r>
        <w:rPr>
          <w:sz w:val="28"/>
          <w:szCs w:val="28"/>
        </w:rPr>
        <w:tab/>
      </w:r>
      <w:r>
        <w:rPr>
          <w:sz w:val="28"/>
          <w:szCs w:val="28"/>
        </w:rPr>
        <w:tab/>
      </w:r>
      <w:r w:rsidRPr="00213EDD">
        <w:rPr>
          <w:b/>
          <w:sz w:val="28"/>
          <w:szCs w:val="28"/>
        </w:rPr>
        <w:t>5.</w:t>
      </w:r>
      <w:r>
        <w:rPr>
          <w:sz w:val="28"/>
          <w:szCs w:val="28"/>
        </w:rPr>
        <w:tab/>
      </w:r>
      <w:r w:rsidR="00656EA2" w:rsidRPr="00DD0E34">
        <w:rPr>
          <w:b/>
          <w:sz w:val="28"/>
          <w:szCs w:val="28"/>
        </w:rPr>
        <w:t>Rule</w:t>
      </w:r>
      <w:r w:rsidR="00C17C29">
        <w:rPr>
          <w:b/>
          <w:sz w:val="28"/>
          <w:szCs w:val="28"/>
        </w:rPr>
        <w:t>s</w:t>
      </w:r>
      <w:r w:rsidR="00656EA2" w:rsidRPr="00DD0E34">
        <w:rPr>
          <w:b/>
          <w:sz w:val="28"/>
          <w:szCs w:val="28"/>
        </w:rPr>
        <w:t xml:space="preserve"> </w:t>
      </w:r>
      <w:r w:rsidR="00C17C29">
        <w:rPr>
          <w:b/>
          <w:sz w:val="28"/>
          <w:szCs w:val="28"/>
        </w:rPr>
        <w:t>1</w:t>
      </w:r>
      <w:r w:rsidR="00656EA2">
        <w:rPr>
          <w:b/>
          <w:sz w:val="28"/>
          <w:szCs w:val="28"/>
        </w:rPr>
        <w:t>6</w:t>
      </w:r>
      <w:r w:rsidR="00656EA2" w:rsidRPr="00DD0E34">
        <w:rPr>
          <w:b/>
          <w:sz w:val="28"/>
          <w:szCs w:val="28"/>
        </w:rPr>
        <w:t>.</w:t>
      </w:r>
      <w:r w:rsidR="00C17C29">
        <w:rPr>
          <w:b/>
          <w:sz w:val="28"/>
          <w:szCs w:val="28"/>
        </w:rPr>
        <w:t>3</w:t>
      </w:r>
      <w:r w:rsidR="00656EA2" w:rsidRPr="00DD0E34">
        <w:rPr>
          <w:b/>
          <w:sz w:val="28"/>
          <w:szCs w:val="28"/>
        </w:rPr>
        <w:t xml:space="preserve"> (</w:t>
      </w:r>
      <w:r w:rsidR="00C17C29">
        <w:rPr>
          <w:b/>
          <w:sz w:val="28"/>
          <w:szCs w:val="28"/>
        </w:rPr>
        <w:t>Pretrial conference)</w:t>
      </w:r>
    </w:p>
    <w:p w14:paraId="74D172C6" w14:textId="77777777" w:rsidR="00213EDD" w:rsidRDefault="00213EDD" w:rsidP="00213EDD">
      <w:pPr>
        <w:pStyle w:val="Body"/>
        <w:widowControl w:val="0"/>
        <w:spacing w:line="480" w:lineRule="auto"/>
        <w:ind w:firstLine="720"/>
        <w:jc w:val="both"/>
        <w:rPr>
          <w:sz w:val="28"/>
          <w:szCs w:val="28"/>
        </w:rPr>
      </w:pPr>
      <w:r>
        <w:rPr>
          <w:sz w:val="28"/>
          <w:szCs w:val="28"/>
        </w:rPr>
        <w:t xml:space="preserve">As it did in R-18-0001, Petitioner proposes limitations on a court’s ability to </w:t>
      </w:r>
      <w:r>
        <w:rPr>
          <w:sz w:val="28"/>
          <w:szCs w:val="28"/>
        </w:rPr>
        <w:lastRenderedPageBreak/>
        <w:t xml:space="preserve">set evidentiary hearings and pretrial conferences.  </w:t>
      </w:r>
      <w:r w:rsidR="00656EA2">
        <w:rPr>
          <w:sz w:val="28"/>
          <w:szCs w:val="28"/>
        </w:rPr>
        <w:t xml:space="preserve">Rule </w:t>
      </w:r>
      <w:r w:rsidR="00C17C29">
        <w:rPr>
          <w:sz w:val="28"/>
          <w:szCs w:val="28"/>
        </w:rPr>
        <w:t>1</w:t>
      </w:r>
      <w:r w:rsidR="00656EA2">
        <w:rPr>
          <w:sz w:val="28"/>
          <w:szCs w:val="28"/>
        </w:rPr>
        <w:t>6.</w:t>
      </w:r>
      <w:r w:rsidR="00C17C29">
        <w:rPr>
          <w:sz w:val="28"/>
          <w:szCs w:val="28"/>
        </w:rPr>
        <w:t>3(d) allows the court at a pretrial conference to hear motions, set evidentiary hearings and other pretrial conferences, obtain stipulations on facts, and determine other matters affecting the trial</w:t>
      </w:r>
      <w:r w:rsidR="004927FD">
        <w:rPr>
          <w:sz w:val="28"/>
          <w:szCs w:val="28"/>
        </w:rPr>
        <w:t>, such as time limits, juror notebooks and managing exhibits</w:t>
      </w:r>
      <w:r w:rsidR="00C17C29">
        <w:rPr>
          <w:sz w:val="28"/>
          <w:szCs w:val="28"/>
        </w:rPr>
        <w:t xml:space="preserve">.  The petition proposes </w:t>
      </w:r>
      <w:r w:rsidR="004927FD">
        <w:rPr>
          <w:sz w:val="28"/>
          <w:szCs w:val="28"/>
        </w:rPr>
        <w:t xml:space="preserve">a limitation on this rule that the court may only </w:t>
      </w:r>
      <w:r>
        <w:rPr>
          <w:sz w:val="28"/>
          <w:szCs w:val="28"/>
        </w:rPr>
        <w:t>set evidentiary hearing or additional pretrial conferences</w:t>
      </w:r>
      <w:r w:rsidR="004927FD">
        <w:rPr>
          <w:sz w:val="28"/>
          <w:szCs w:val="28"/>
        </w:rPr>
        <w:t xml:space="preserve"> “</w:t>
      </w:r>
      <w:r w:rsidR="004927FD" w:rsidRPr="00D4799C">
        <w:rPr>
          <w:i/>
          <w:sz w:val="28"/>
          <w:szCs w:val="28"/>
        </w:rPr>
        <w:t>after considering the</w:t>
      </w:r>
      <w:r>
        <w:rPr>
          <w:i/>
          <w:sz w:val="28"/>
          <w:szCs w:val="28"/>
        </w:rPr>
        <w:t xml:space="preserve"> rights and</w:t>
      </w:r>
      <w:r w:rsidR="004927FD" w:rsidRPr="00D4799C">
        <w:rPr>
          <w:i/>
          <w:sz w:val="28"/>
          <w:szCs w:val="28"/>
        </w:rPr>
        <w:t xml:space="preserve"> views of the victim</w:t>
      </w:r>
      <w:r>
        <w:rPr>
          <w:i/>
          <w:sz w:val="28"/>
          <w:szCs w:val="28"/>
        </w:rPr>
        <w:t>, the victim’s right to a speedy trial, and the victim’s right to be present at all proceedings.</w:t>
      </w:r>
      <w:r w:rsidR="004927FD">
        <w:rPr>
          <w:sz w:val="28"/>
          <w:szCs w:val="28"/>
        </w:rPr>
        <w:t xml:space="preserve">” </w:t>
      </w:r>
      <w:r w:rsidR="007639B5">
        <w:rPr>
          <w:sz w:val="28"/>
          <w:szCs w:val="28"/>
        </w:rPr>
        <w:t xml:space="preserve"> A.R.S. § 13-4435.F requires the court, before ruling on a motion for a continuance, to consider the victim’s views and rights to a speedy trial.</w:t>
      </w:r>
      <w:r w:rsidR="004927FD">
        <w:rPr>
          <w:sz w:val="28"/>
          <w:szCs w:val="28"/>
        </w:rPr>
        <w:t xml:space="preserve"> </w:t>
      </w:r>
      <w:r w:rsidR="007639B5">
        <w:rPr>
          <w:sz w:val="28"/>
          <w:szCs w:val="28"/>
        </w:rPr>
        <w:t xml:space="preserve">APAAC recommends that the proposed changes to Rule 16.3 be clarified to apply </w:t>
      </w:r>
      <w:r w:rsidR="00305B80">
        <w:rPr>
          <w:sz w:val="28"/>
          <w:szCs w:val="28"/>
        </w:rPr>
        <w:t xml:space="preserve">only </w:t>
      </w:r>
      <w:r w:rsidR="007639B5">
        <w:rPr>
          <w:sz w:val="28"/>
          <w:szCs w:val="28"/>
        </w:rPr>
        <w:t xml:space="preserve">to continuances considered </w:t>
      </w:r>
      <w:r>
        <w:rPr>
          <w:sz w:val="28"/>
          <w:szCs w:val="28"/>
        </w:rPr>
        <w:t xml:space="preserve">by the court </w:t>
      </w:r>
      <w:r w:rsidR="007639B5">
        <w:rPr>
          <w:sz w:val="28"/>
          <w:szCs w:val="28"/>
        </w:rPr>
        <w:t>at the pretrial conference, as outlined in</w:t>
      </w:r>
      <w:r w:rsidR="007639B5" w:rsidRPr="00B41664">
        <w:rPr>
          <w:sz w:val="28"/>
          <w:szCs w:val="28"/>
        </w:rPr>
        <w:t xml:space="preserve"> </w:t>
      </w:r>
      <w:r w:rsidR="007639B5">
        <w:rPr>
          <w:sz w:val="28"/>
          <w:szCs w:val="28"/>
        </w:rPr>
        <w:t>A.R.S. § 13-4435.F.</w:t>
      </w:r>
    </w:p>
    <w:p w14:paraId="50473659" w14:textId="516356C9" w:rsidR="004927FD" w:rsidRPr="00213EDD" w:rsidRDefault="00213EDD" w:rsidP="00213EDD">
      <w:pPr>
        <w:pStyle w:val="Body"/>
        <w:widowControl w:val="0"/>
        <w:spacing w:line="480" w:lineRule="auto"/>
        <w:ind w:firstLine="0"/>
        <w:jc w:val="both"/>
        <w:rPr>
          <w:sz w:val="28"/>
          <w:szCs w:val="28"/>
        </w:rPr>
      </w:pPr>
      <w:r>
        <w:rPr>
          <w:sz w:val="28"/>
          <w:szCs w:val="28"/>
        </w:rPr>
        <w:tab/>
      </w:r>
      <w:r>
        <w:rPr>
          <w:sz w:val="28"/>
          <w:szCs w:val="28"/>
        </w:rPr>
        <w:tab/>
      </w:r>
      <w:r w:rsidRPr="00213EDD">
        <w:rPr>
          <w:b/>
          <w:sz w:val="28"/>
          <w:szCs w:val="28"/>
        </w:rPr>
        <w:t>6.</w:t>
      </w:r>
      <w:r>
        <w:rPr>
          <w:sz w:val="28"/>
          <w:szCs w:val="28"/>
        </w:rPr>
        <w:tab/>
      </w:r>
      <w:r w:rsidR="004927FD" w:rsidRPr="00DD0E34">
        <w:rPr>
          <w:b/>
          <w:sz w:val="28"/>
          <w:szCs w:val="28"/>
        </w:rPr>
        <w:t>Rule</w:t>
      </w:r>
      <w:r w:rsidR="004927FD">
        <w:rPr>
          <w:b/>
          <w:sz w:val="28"/>
          <w:szCs w:val="28"/>
        </w:rPr>
        <w:t>s</w:t>
      </w:r>
      <w:r w:rsidR="004927FD" w:rsidRPr="00DD0E34">
        <w:rPr>
          <w:b/>
          <w:sz w:val="28"/>
          <w:szCs w:val="28"/>
        </w:rPr>
        <w:t xml:space="preserve"> </w:t>
      </w:r>
      <w:r w:rsidR="004927FD">
        <w:rPr>
          <w:b/>
          <w:sz w:val="28"/>
          <w:szCs w:val="28"/>
        </w:rPr>
        <w:t>16</w:t>
      </w:r>
      <w:r w:rsidR="004927FD" w:rsidRPr="00DD0E34">
        <w:rPr>
          <w:b/>
          <w:sz w:val="28"/>
          <w:szCs w:val="28"/>
        </w:rPr>
        <w:t>.</w:t>
      </w:r>
      <w:r w:rsidR="004927FD">
        <w:rPr>
          <w:b/>
          <w:sz w:val="28"/>
          <w:szCs w:val="28"/>
        </w:rPr>
        <w:t>4 (Dismissal of prosecution)</w:t>
      </w:r>
    </w:p>
    <w:p w14:paraId="055269D4" w14:textId="739186AE" w:rsidR="003B699A" w:rsidRDefault="00687790" w:rsidP="00656EA2">
      <w:pPr>
        <w:pStyle w:val="Body"/>
        <w:widowControl w:val="0"/>
        <w:spacing w:line="480" w:lineRule="auto"/>
        <w:ind w:firstLine="720"/>
        <w:jc w:val="both"/>
        <w:rPr>
          <w:sz w:val="28"/>
          <w:szCs w:val="28"/>
        </w:rPr>
      </w:pPr>
      <w:r>
        <w:rPr>
          <w:sz w:val="28"/>
          <w:szCs w:val="28"/>
        </w:rPr>
        <w:t xml:space="preserve">As it did in R-18-0001, Petitioner proposes </w:t>
      </w:r>
      <w:r w:rsidR="00777AEB">
        <w:rPr>
          <w:sz w:val="28"/>
          <w:szCs w:val="28"/>
        </w:rPr>
        <w:t xml:space="preserve">a requirement that the court consider the views of a victim before dismissing a prosecution.  </w:t>
      </w:r>
      <w:r w:rsidR="004927FD">
        <w:rPr>
          <w:sz w:val="28"/>
          <w:szCs w:val="28"/>
        </w:rPr>
        <w:t>Rule 16.4(a) allows the State to move for a dismissal</w:t>
      </w:r>
      <w:r w:rsidR="00656EA2">
        <w:rPr>
          <w:sz w:val="28"/>
          <w:szCs w:val="28"/>
        </w:rPr>
        <w:t xml:space="preserve"> </w:t>
      </w:r>
      <w:r w:rsidR="004927FD">
        <w:rPr>
          <w:sz w:val="28"/>
          <w:szCs w:val="28"/>
        </w:rPr>
        <w:t>of a prosecution for good cause</w:t>
      </w:r>
      <w:r w:rsidR="003B699A">
        <w:rPr>
          <w:sz w:val="28"/>
          <w:szCs w:val="28"/>
        </w:rPr>
        <w:t xml:space="preserve">, which the court may grant if dismissal is not to avoid Rule </w:t>
      </w:r>
      <w:proofErr w:type="gramStart"/>
      <w:r w:rsidR="003B699A">
        <w:rPr>
          <w:sz w:val="28"/>
          <w:szCs w:val="28"/>
        </w:rPr>
        <w:t>8 time</w:t>
      </w:r>
      <w:proofErr w:type="gramEnd"/>
      <w:r w:rsidR="003B699A">
        <w:rPr>
          <w:sz w:val="28"/>
          <w:szCs w:val="28"/>
        </w:rPr>
        <w:t xml:space="preserve"> limits</w:t>
      </w:r>
      <w:r w:rsidR="004927FD">
        <w:rPr>
          <w:sz w:val="28"/>
          <w:szCs w:val="28"/>
        </w:rPr>
        <w:t xml:space="preserve">.  </w:t>
      </w:r>
      <w:r w:rsidR="00777AEB">
        <w:rPr>
          <w:sz w:val="28"/>
          <w:szCs w:val="28"/>
        </w:rPr>
        <w:t>Petitioner again</w:t>
      </w:r>
      <w:r w:rsidR="004927FD">
        <w:rPr>
          <w:sz w:val="28"/>
          <w:szCs w:val="28"/>
        </w:rPr>
        <w:t xml:space="preserve"> proposes adding a requirement to the rule that the court may only order the dismissal</w:t>
      </w:r>
      <w:r w:rsidR="00777AEB">
        <w:rPr>
          <w:sz w:val="28"/>
          <w:szCs w:val="28"/>
        </w:rPr>
        <w:t xml:space="preserve"> under this subsection</w:t>
      </w:r>
      <w:r w:rsidR="004927FD">
        <w:rPr>
          <w:sz w:val="28"/>
          <w:szCs w:val="28"/>
        </w:rPr>
        <w:t xml:space="preserve"> “</w:t>
      </w:r>
      <w:r w:rsidR="004927FD" w:rsidRPr="00D4799C">
        <w:rPr>
          <w:i/>
          <w:sz w:val="28"/>
          <w:szCs w:val="28"/>
        </w:rPr>
        <w:t>after considering th</w:t>
      </w:r>
      <w:r w:rsidR="003B699A" w:rsidRPr="00D4799C">
        <w:rPr>
          <w:i/>
          <w:sz w:val="28"/>
          <w:szCs w:val="28"/>
        </w:rPr>
        <w:t>e views of the victim.</w:t>
      </w:r>
      <w:r w:rsidR="003B699A">
        <w:rPr>
          <w:sz w:val="28"/>
          <w:szCs w:val="28"/>
        </w:rPr>
        <w:t xml:space="preserve">”  This proposal inserts the court into the State’s decision to dismiss a prosecution, which is not something that </w:t>
      </w:r>
      <w:r w:rsidR="003B699A">
        <w:rPr>
          <w:sz w:val="28"/>
          <w:szCs w:val="28"/>
        </w:rPr>
        <w:lastRenderedPageBreak/>
        <w:t xml:space="preserve">currently exists either in the VBR or VRIA statutes.  </w:t>
      </w:r>
      <w:r w:rsidR="00305B80">
        <w:rPr>
          <w:sz w:val="28"/>
          <w:szCs w:val="28"/>
        </w:rPr>
        <w:t>A fair reading of the</w:t>
      </w:r>
      <w:r w:rsidR="00303F08">
        <w:rPr>
          <w:sz w:val="28"/>
          <w:szCs w:val="28"/>
        </w:rPr>
        <w:t xml:space="preserve"> proposed rule change language c</w:t>
      </w:r>
      <w:r w:rsidR="00305B80">
        <w:rPr>
          <w:sz w:val="28"/>
          <w:szCs w:val="28"/>
        </w:rPr>
        <w:t>ould give a victim the right to object to a dismissal.  Certainly,</w:t>
      </w:r>
      <w:r w:rsidR="003B699A">
        <w:rPr>
          <w:sz w:val="28"/>
          <w:szCs w:val="28"/>
        </w:rPr>
        <w:t xml:space="preserve"> </w:t>
      </w:r>
      <w:r w:rsidR="00305B80">
        <w:rPr>
          <w:sz w:val="28"/>
          <w:szCs w:val="28"/>
        </w:rPr>
        <w:t>a</w:t>
      </w:r>
      <w:r w:rsidR="003B699A">
        <w:rPr>
          <w:sz w:val="28"/>
          <w:szCs w:val="28"/>
        </w:rPr>
        <w:t xml:space="preserve"> victim has the right to confer with the prosecution about a dismissal (A.R.S. § 13-4419.A), </w:t>
      </w:r>
      <w:r w:rsidR="000F690F">
        <w:rPr>
          <w:sz w:val="28"/>
          <w:szCs w:val="28"/>
        </w:rPr>
        <w:t xml:space="preserve">but </w:t>
      </w:r>
      <w:r w:rsidR="003B699A">
        <w:rPr>
          <w:sz w:val="28"/>
          <w:szCs w:val="28"/>
        </w:rPr>
        <w:t>that right does not extend to the court denying a dismissal if the victim objects.</w:t>
      </w:r>
      <w:r w:rsidR="0027359D">
        <w:rPr>
          <w:sz w:val="28"/>
          <w:szCs w:val="28"/>
        </w:rPr>
        <w:t xml:space="preserve">  </w:t>
      </w:r>
      <w:r w:rsidR="00E2485C">
        <w:rPr>
          <w:sz w:val="28"/>
          <w:szCs w:val="28"/>
        </w:rPr>
        <w:t xml:space="preserve">A prosecuting attorney must be free to decide which cases to pursue or not, and the caselaw is clear that a prosecutor has broad discretion to prosecute cases “regardless of the wishes of the victim.”  </w:t>
      </w:r>
      <w:r w:rsidR="00E2485C" w:rsidRPr="003E6A88">
        <w:rPr>
          <w:i/>
          <w:sz w:val="28"/>
          <w:szCs w:val="28"/>
        </w:rPr>
        <w:t>State v. Granados</w:t>
      </w:r>
      <w:r w:rsidR="00E2485C">
        <w:rPr>
          <w:sz w:val="28"/>
          <w:szCs w:val="28"/>
        </w:rPr>
        <w:t>, 172 Ariz. 405, 408, 837 P.2d 1140, 1143 (App. 1991).  Under the VRIA, a</w:t>
      </w:r>
      <w:r w:rsidR="0027359D">
        <w:rPr>
          <w:sz w:val="28"/>
          <w:szCs w:val="28"/>
        </w:rPr>
        <w:t xml:space="preserve"> victim has no authority to direct the prosecution of a case.</w:t>
      </w:r>
      <w:r w:rsidR="0027359D" w:rsidRPr="0027359D">
        <w:rPr>
          <w:sz w:val="28"/>
          <w:szCs w:val="28"/>
        </w:rPr>
        <w:t xml:space="preserve"> </w:t>
      </w:r>
      <w:r w:rsidR="0027359D">
        <w:rPr>
          <w:sz w:val="28"/>
          <w:szCs w:val="28"/>
        </w:rPr>
        <w:t xml:space="preserve"> A.R.S. § 13-4419.C.</w:t>
      </w:r>
      <w:r w:rsidR="00F56C5C">
        <w:rPr>
          <w:sz w:val="28"/>
          <w:szCs w:val="28"/>
        </w:rPr>
        <w:t xml:space="preserve">  APAAC recommends that if the proposed revision is to be </w:t>
      </w:r>
      <w:r w:rsidR="000F690F">
        <w:rPr>
          <w:sz w:val="28"/>
          <w:szCs w:val="28"/>
        </w:rPr>
        <w:t>adopted</w:t>
      </w:r>
      <w:r w:rsidR="00F56C5C">
        <w:rPr>
          <w:sz w:val="28"/>
          <w:szCs w:val="28"/>
        </w:rPr>
        <w:t xml:space="preserve">, it should be amended to </w:t>
      </w:r>
      <w:proofErr w:type="gramStart"/>
      <w:r w:rsidR="00F56C5C">
        <w:rPr>
          <w:sz w:val="28"/>
          <w:szCs w:val="28"/>
        </w:rPr>
        <w:t>state</w:t>
      </w:r>
      <w:proofErr w:type="gramEnd"/>
      <w:r w:rsidR="00F56C5C">
        <w:rPr>
          <w:sz w:val="28"/>
          <w:szCs w:val="28"/>
        </w:rPr>
        <w:t xml:space="preserve"> “</w:t>
      </w:r>
      <w:r w:rsidR="00F56C5C" w:rsidRPr="00303F08">
        <w:rPr>
          <w:i/>
          <w:sz w:val="28"/>
          <w:szCs w:val="28"/>
        </w:rPr>
        <w:t>after determining that the victim has conferred with the prosecutor.</w:t>
      </w:r>
      <w:r w:rsidR="00F56C5C">
        <w:rPr>
          <w:sz w:val="28"/>
          <w:szCs w:val="28"/>
        </w:rPr>
        <w:t>”</w:t>
      </w:r>
    </w:p>
    <w:p w14:paraId="43F2682E" w14:textId="77777777" w:rsidR="00777AEB" w:rsidRDefault="000D5D16" w:rsidP="00777AEB">
      <w:pPr>
        <w:pStyle w:val="Body"/>
        <w:widowControl w:val="0"/>
        <w:spacing w:line="480" w:lineRule="auto"/>
        <w:ind w:firstLine="720"/>
        <w:jc w:val="both"/>
        <w:rPr>
          <w:sz w:val="28"/>
          <w:szCs w:val="28"/>
        </w:rPr>
      </w:pPr>
      <w:r>
        <w:rPr>
          <w:sz w:val="28"/>
          <w:szCs w:val="28"/>
        </w:rPr>
        <w:t>In addition</w:t>
      </w:r>
      <w:r w:rsidR="004927FD">
        <w:rPr>
          <w:sz w:val="28"/>
          <w:szCs w:val="28"/>
        </w:rPr>
        <w:t>, Rule 16.4(d) states that dismissal of a prosecution is generally without prejudice unless the interests of justice require dismissal to be with prejudice.  The petition proposes adding a requirement that dismissal can be with prejudice “</w:t>
      </w:r>
      <w:r w:rsidR="004927FD" w:rsidRPr="00D4799C">
        <w:rPr>
          <w:i/>
          <w:sz w:val="28"/>
          <w:szCs w:val="28"/>
        </w:rPr>
        <w:t>only after considering the rights of the victim to justice and due process.</w:t>
      </w:r>
      <w:r w:rsidR="004927FD">
        <w:rPr>
          <w:sz w:val="28"/>
          <w:szCs w:val="28"/>
        </w:rPr>
        <w:t>”</w:t>
      </w:r>
      <w:r w:rsidR="00510EAE">
        <w:rPr>
          <w:sz w:val="28"/>
          <w:szCs w:val="28"/>
        </w:rPr>
        <w:t xml:space="preserve">  </w:t>
      </w:r>
      <w:r w:rsidR="00E2485C">
        <w:rPr>
          <w:sz w:val="28"/>
          <w:szCs w:val="28"/>
        </w:rPr>
        <w:t xml:space="preserve">  APAAC </w:t>
      </w:r>
      <w:r w:rsidR="00777AEB">
        <w:rPr>
          <w:sz w:val="28"/>
          <w:szCs w:val="28"/>
        </w:rPr>
        <w:t xml:space="preserve">again </w:t>
      </w:r>
      <w:r w:rsidR="00E2485C">
        <w:rPr>
          <w:sz w:val="28"/>
          <w:szCs w:val="28"/>
        </w:rPr>
        <w:t>cautions that whether to dismiss a case with or without prejudice is a purely legal determination by the court</w:t>
      </w:r>
      <w:r w:rsidR="007639B5">
        <w:rPr>
          <w:sz w:val="28"/>
          <w:szCs w:val="28"/>
        </w:rPr>
        <w:t xml:space="preserve"> which must weigh </w:t>
      </w:r>
      <w:r w:rsidR="00EA57BF">
        <w:rPr>
          <w:sz w:val="28"/>
          <w:szCs w:val="28"/>
        </w:rPr>
        <w:t xml:space="preserve">all </w:t>
      </w:r>
      <w:r w:rsidR="007639B5">
        <w:rPr>
          <w:sz w:val="28"/>
          <w:szCs w:val="28"/>
        </w:rPr>
        <w:t>the factors that bear on th</w:t>
      </w:r>
      <w:r w:rsidR="00072E08">
        <w:rPr>
          <w:sz w:val="28"/>
          <w:szCs w:val="28"/>
        </w:rPr>
        <w:t>at</w:t>
      </w:r>
      <w:r w:rsidR="007639B5">
        <w:rPr>
          <w:sz w:val="28"/>
          <w:szCs w:val="28"/>
        </w:rPr>
        <w:t xml:space="preserve"> issue.  </w:t>
      </w:r>
      <w:r w:rsidR="007639B5" w:rsidRPr="007639B5">
        <w:rPr>
          <w:i/>
          <w:sz w:val="28"/>
          <w:szCs w:val="28"/>
        </w:rPr>
        <w:t>State v. Garcia</w:t>
      </w:r>
      <w:r w:rsidR="007639B5">
        <w:rPr>
          <w:sz w:val="28"/>
          <w:szCs w:val="28"/>
        </w:rPr>
        <w:t>, 170 Ariz. 245, 248, 823 P.2d 693, 696 (App. 1991).  A</w:t>
      </w:r>
      <w:r w:rsidR="00E2485C">
        <w:rPr>
          <w:sz w:val="28"/>
          <w:szCs w:val="28"/>
        </w:rPr>
        <w:t xml:space="preserve">ny consideration of the interests of justice </w:t>
      </w:r>
      <w:r w:rsidR="00072E08">
        <w:rPr>
          <w:sz w:val="28"/>
          <w:szCs w:val="28"/>
        </w:rPr>
        <w:t xml:space="preserve">by the court </w:t>
      </w:r>
      <w:r w:rsidR="00E2485C">
        <w:rPr>
          <w:sz w:val="28"/>
          <w:szCs w:val="28"/>
        </w:rPr>
        <w:t>should</w:t>
      </w:r>
      <w:r w:rsidR="000F690F">
        <w:rPr>
          <w:sz w:val="28"/>
          <w:szCs w:val="28"/>
        </w:rPr>
        <w:t xml:space="preserve"> inherently</w:t>
      </w:r>
      <w:r w:rsidR="00E2485C">
        <w:rPr>
          <w:sz w:val="28"/>
          <w:szCs w:val="28"/>
        </w:rPr>
        <w:t xml:space="preserve"> include the victim’s right to due process and justice.</w:t>
      </w:r>
    </w:p>
    <w:p w14:paraId="1403C767" w14:textId="03801718" w:rsidR="00DE52B9" w:rsidRPr="00777AEB" w:rsidRDefault="00777AEB" w:rsidP="00777AEB">
      <w:pPr>
        <w:pStyle w:val="Body"/>
        <w:widowControl w:val="0"/>
        <w:spacing w:line="480" w:lineRule="auto"/>
        <w:ind w:firstLine="0"/>
        <w:jc w:val="both"/>
        <w:rPr>
          <w:sz w:val="28"/>
          <w:szCs w:val="28"/>
        </w:rPr>
      </w:pPr>
      <w:r>
        <w:rPr>
          <w:sz w:val="28"/>
          <w:szCs w:val="28"/>
        </w:rPr>
        <w:lastRenderedPageBreak/>
        <w:tab/>
      </w:r>
      <w:r w:rsidRPr="00777AEB">
        <w:rPr>
          <w:b/>
          <w:sz w:val="28"/>
          <w:szCs w:val="28"/>
        </w:rPr>
        <w:t>B.</w:t>
      </w:r>
      <w:r>
        <w:rPr>
          <w:sz w:val="28"/>
          <w:szCs w:val="28"/>
        </w:rPr>
        <w:tab/>
      </w:r>
      <w:r w:rsidR="00DE52B9" w:rsidRPr="00DE52B9">
        <w:rPr>
          <w:b/>
          <w:sz w:val="28"/>
          <w:szCs w:val="28"/>
          <w:u w:val="single"/>
        </w:rPr>
        <w:t>Repeal of Rule 39</w:t>
      </w:r>
    </w:p>
    <w:p w14:paraId="660A44ED" w14:textId="2E6C929E" w:rsidR="00D513DC" w:rsidRDefault="00777AEB" w:rsidP="00777AEB">
      <w:pPr>
        <w:pStyle w:val="Body"/>
        <w:widowControl w:val="0"/>
        <w:spacing w:line="480" w:lineRule="auto"/>
        <w:ind w:firstLine="720"/>
        <w:jc w:val="both"/>
        <w:rPr>
          <w:sz w:val="28"/>
          <w:szCs w:val="28"/>
        </w:rPr>
      </w:pPr>
      <w:r>
        <w:rPr>
          <w:sz w:val="28"/>
          <w:szCs w:val="28"/>
        </w:rPr>
        <w:t>Petitioner asserts that Rule 39 “does not provide proper guidance to trial courts and attorneys” on when victims’ rights apply under the various rules.  Petition, p. 3.  However, f</w:t>
      </w:r>
      <w:r w:rsidR="003B706E">
        <w:rPr>
          <w:sz w:val="28"/>
          <w:szCs w:val="28"/>
        </w:rPr>
        <w:t xml:space="preserve">or thirty years, Rule 39 </w:t>
      </w:r>
      <w:r w:rsidR="00D0655B">
        <w:rPr>
          <w:sz w:val="28"/>
          <w:szCs w:val="28"/>
        </w:rPr>
        <w:t>has been</w:t>
      </w:r>
      <w:r w:rsidR="003B706E">
        <w:rPr>
          <w:sz w:val="28"/>
          <w:szCs w:val="28"/>
        </w:rPr>
        <w:t xml:space="preserve"> often cited and commonly understood by courts and practitioners </w:t>
      </w:r>
      <w:r w:rsidR="00D0655B">
        <w:rPr>
          <w:sz w:val="28"/>
          <w:szCs w:val="28"/>
        </w:rPr>
        <w:t xml:space="preserve">as a primary source </w:t>
      </w:r>
      <w:r w:rsidR="003B706E">
        <w:rPr>
          <w:sz w:val="28"/>
          <w:szCs w:val="28"/>
        </w:rPr>
        <w:t xml:space="preserve">for victims’ rights.  </w:t>
      </w:r>
      <w:r w:rsidR="00EE40F0">
        <w:rPr>
          <w:sz w:val="28"/>
          <w:szCs w:val="28"/>
        </w:rPr>
        <w:t xml:space="preserve">Rule 39 was the foundation upon which both the VBR and VRIA were based.  Numerous appellate decisions affecting the rights of crime victims address specific provisions of Rule 39.  </w:t>
      </w:r>
      <w:r w:rsidR="005B5C96">
        <w:rPr>
          <w:sz w:val="28"/>
          <w:szCs w:val="28"/>
        </w:rPr>
        <w:t xml:space="preserve">Across the state prosecutors’ offices and victim advocates utilize Rule 39 as a tool for training and understanding victims’ rights. </w:t>
      </w:r>
      <w:r>
        <w:rPr>
          <w:sz w:val="28"/>
          <w:szCs w:val="28"/>
        </w:rPr>
        <w:t xml:space="preserve">As it did in its comment to R-18-0001, </w:t>
      </w:r>
      <w:r w:rsidR="003B706E">
        <w:rPr>
          <w:sz w:val="28"/>
          <w:szCs w:val="28"/>
        </w:rPr>
        <w:t xml:space="preserve">APAAC </w:t>
      </w:r>
      <w:r>
        <w:rPr>
          <w:sz w:val="28"/>
          <w:szCs w:val="28"/>
        </w:rPr>
        <w:t xml:space="preserve">again </w:t>
      </w:r>
      <w:r w:rsidR="003B706E">
        <w:rPr>
          <w:sz w:val="28"/>
          <w:szCs w:val="28"/>
        </w:rPr>
        <w:t>caution</w:t>
      </w:r>
      <w:r w:rsidR="000F690F">
        <w:rPr>
          <w:sz w:val="28"/>
          <w:szCs w:val="28"/>
        </w:rPr>
        <w:t>s</w:t>
      </w:r>
      <w:r w:rsidR="003B706E">
        <w:rPr>
          <w:sz w:val="28"/>
          <w:szCs w:val="28"/>
        </w:rPr>
        <w:t xml:space="preserve"> that</w:t>
      </w:r>
      <w:r w:rsidR="00664CB9">
        <w:rPr>
          <w:sz w:val="28"/>
          <w:szCs w:val="28"/>
        </w:rPr>
        <w:t xml:space="preserve"> by</w:t>
      </w:r>
      <w:r>
        <w:rPr>
          <w:sz w:val="28"/>
          <w:szCs w:val="28"/>
        </w:rPr>
        <w:t xml:space="preserve"> a full</w:t>
      </w:r>
      <w:r w:rsidR="00664CB9">
        <w:rPr>
          <w:sz w:val="28"/>
          <w:szCs w:val="28"/>
        </w:rPr>
        <w:t xml:space="preserve"> repeal</w:t>
      </w:r>
      <w:r>
        <w:rPr>
          <w:sz w:val="28"/>
          <w:szCs w:val="28"/>
        </w:rPr>
        <w:t xml:space="preserve"> of</w:t>
      </w:r>
      <w:r w:rsidR="00664CB9">
        <w:rPr>
          <w:sz w:val="28"/>
          <w:szCs w:val="28"/>
        </w:rPr>
        <w:t xml:space="preserve"> Rule 39, a </w:t>
      </w:r>
      <w:r w:rsidR="00D2753B">
        <w:rPr>
          <w:sz w:val="28"/>
          <w:szCs w:val="28"/>
        </w:rPr>
        <w:t xml:space="preserve">long-standing and </w:t>
      </w:r>
      <w:r w:rsidR="00664CB9">
        <w:rPr>
          <w:sz w:val="28"/>
          <w:szCs w:val="28"/>
        </w:rPr>
        <w:t xml:space="preserve">stalwart source for </w:t>
      </w:r>
      <w:r w:rsidR="00D2753B">
        <w:rPr>
          <w:sz w:val="28"/>
          <w:szCs w:val="28"/>
        </w:rPr>
        <w:t>victims’ rights</w:t>
      </w:r>
      <w:r>
        <w:rPr>
          <w:sz w:val="28"/>
          <w:szCs w:val="28"/>
        </w:rPr>
        <w:t xml:space="preserve"> information</w:t>
      </w:r>
      <w:r w:rsidR="00D2753B">
        <w:rPr>
          <w:sz w:val="28"/>
          <w:szCs w:val="28"/>
        </w:rPr>
        <w:t xml:space="preserve"> </w:t>
      </w:r>
      <w:r w:rsidR="003B706E">
        <w:rPr>
          <w:sz w:val="28"/>
          <w:szCs w:val="28"/>
        </w:rPr>
        <w:t>could</w:t>
      </w:r>
      <w:r w:rsidR="00D2753B">
        <w:rPr>
          <w:sz w:val="28"/>
          <w:szCs w:val="28"/>
        </w:rPr>
        <w:t xml:space="preserve"> be lost and </w:t>
      </w:r>
      <w:r w:rsidR="007F0A6F">
        <w:rPr>
          <w:sz w:val="28"/>
          <w:szCs w:val="28"/>
        </w:rPr>
        <w:t xml:space="preserve">those </w:t>
      </w:r>
      <w:r w:rsidR="005303B6">
        <w:rPr>
          <w:sz w:val="28"/>
          <w:szCs w:val="28"/>
        </w:rPr>
        <w:t xml:space="preserve">enumerated </w:t>
      </w:r>
      <w:r w:rsidR="007F0A6F">
        <w:rPr>
          <w:sz w:val="28"/>
          <w:szCs w:val="28"/>
        </w:rPr>
        <w:t xml:space="preserve">rights </w:t>
      </w:r>
      <w:r w:rsidR="00D2753B">
        <w:rPr>
          <w:sz w:val="28"/>
          <w:szCs w:val="28"/>
        </w:rPr>
        <w:t>di</w:t>
      </w:r>
      <w:r w:rsidR="005303B6">
        <w:rPr>
          <w:sz w:val="28"/>
          <w:szCs w:val="28"/>
        </w:rPr>
        <w:t>minished</w:t>
      </w:r>
      <w:r w:rsidR="005B5C96">
        <w:rPr>
          <w:sz w:val="28"/>
          <w:szCs w:val="28"/>
        </w:rPr>
        <w:t xml:space="preserve"> in the process</w:t>
      </w:r>
      <w:r w:rsidR="007F0A6F">
        <w:rPr>
          <w:sz w:val="28"/>
          <w:szCs w:val="28"/>
        </w:rPr>
        <w:t>.</w:t>
      </w:r>
    </w:p>
    <w:p w14:paraId="0A6B3B8B" w14:textId="77777777" w:rsidR="00526087" w:rsidRPr="00104F4E" w:rsidRDefault="00526087" w:rsidP="007361D0">
      <w:pPr>
        <w:pStyle w:val="Body"/>
        <w:widowControl w:val="0"/>
        <w:spacing w:line="480" w:lineRule="auto"/>
        <w:ind w:firstLine="0"/>
        <w:jc w:val="both"/>
        <w:rPr>
          <w:b/>
          <w:sz w:val="28"/>
          <w:szCs w:val="28"/>
        </w:rPr>
      </w:pPr>
      <w:r w:rsidRPr="00104F4E">
        <w:rPr>
          <w:b/>
          <w:sz w:val="28"/>
          <w:szCs w:val="28"/>
        </w:rPr>
        <w:t>III.</w:t>
      </w:r>
      <w:r w:rsidRPr="00104F4E">
        <w:rPr>
          <w:b/>
          <w:sz w:val="28"/>
          <w:szCs w:val="28"/>
        </w:rPr>
        <w:tab/>
        <w:t>CONCLUSION</w:t>
      </w:r>
    </w:p>
    <w:p w14:paraId="5E864E3F" w14:textId="775346F4" w:rsidR="005B5C96" w:rsidRPr="00CF58A1" w:rsidRDefault="00E00AF4" w:rsidP="005B5C96">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 xml:space="preserve">recognizes and </w:t>
      </w:r>
      <w:r w:rsidR="005B5C96">
        <w:rPr>
          <w:sz w:val="28"/>
          <w:szCs w:val="28"/>
        </w:rPr>
        <w:t xml:space="preserve">again </w:t>
      </w:r>
      <w:r w:rsidR="00660556">
        <w:rPr>
          <w:sz w:val="28"/>
          <w:szCs w:val="28"/>
        </w:rPr>
        <w:t xml:space="preserve">commends the </w:t>
      </w:r>
      <w:r w:rsidR="007361D0">
        <w:rPr>
          <w:sz w:val="28"/>
          <w:szCs w:val="28"/>
        </w:rPr>
        <w:t xml:space="preserve">Arizona Voice for Crime Victims </w:t>
      </w:r>
      <w:r w:rsidR="00660556">
        <w:rPr>
          <w:sz w:val="28"/>
          <w:szCs w:val="28"/>
        </w:rPr>
        <w:t>on its</w:t>
      </w:r>
      <w:r w:rsidR="005B5C96">
        <w:rPr>
          <w:sz w:val="28"/>
          <w:szCs w:val="28"/>
        </w:rPr>
        <w:t xml:space="preserve"> efforts to</w:t>
      </w:r>
      <w:r w:rsidR="00FE2A7E">
        <w:rPr>
          <w:sz w:val="28"/>
          <w:szCs w:val="28"/>
        </w:rPr>
        <w:t xml:space="preserve"> provid</w:t>
      </w:r>
      <w:r w:rsidR="005B5C96">
        <w:rPr>
          <w:sz w:val="28"/>
          <w:szCs w:val="28"/>
        </w:rPr>
        <w:t>e</w:t>
      </w:r>
      <w:r w:rsidR="00FE2A7E">
        <w:rPr>
          <w:sz w:val="28"/>
          <w:szCs w:val="28"/>
        </w:rPr>
        <w:t xml:space="preserve"> victims a more meaningful participation in the criminal justice process by </w:t>
      </w:r>
      <w:r w:rsidR="00660556">
        <w:rPr>
          <w:sz w:val="28"/>
          <w:szCs w:val="28"/>
        </w:rPr>
        <w:t>in</w:t>
      </w:r>
      <w:r w:rsidR="00FE2A7E">
        <w:rPr>
          <w:sz w:val="28"/>
          <w:szCs w:val="28"/>
        </w:rPr>
        <w:t>tegrating victims’ rights throughout the various Arizona Rules of Criminal Procedure.</w:t>
      </w:r>
      <w:r w:rsidR="00660556">
        <w:rPr>
          <w:sz w:val="28"/>
          <w:szCs w:val="28"/>
        </w:rPr>
        <w:t xml:space="preserve"> </w:t>
      </w:r>
      <w:r w:rsidR="00FE2A7E">
        <w:rPr>
          <w:sz w:val="28"/>
          <w:szCs w:val="28"/>
        </w:rPr>
        <w:t xml:space="preserve"> </w:t>
      </w:r>
    </w:p>
    <w:p w14:paraId="471370A9" w14:textId="688B5293" w:rsidR="00EE7F6A" w:rsidRDefault="00EE7F6A" w:rsidP="00FD0C85">
      <w:pPr>
        <w:pStyle w:val="Body"/>
        <w:widowControl w:val="0"/>
        <w:tabs>
          <w:tab w:val="left" w:pos="720"/>
        </w:tabs>
        <w:ind w:firstLine="0"/>
        <w:rPr>
          <w:szCs w:val="26"/>
        </w:rPr>
      </w:pPr>
      <w:r>
        <w:rPr>
          <w:szCs w:val="26"/>
        </w:rPr>
        <w:t>. . .</w:t>
      </w:r>
    </w:p>
    <w:p w14:paraId="43EBD19B" w14:textId="33AA1900" w:rsidR="00EE7F6A" w:rsidRDefault="00EE7F6A" w:rsidP="00FD0C85">
      <w:pPr>
        <w:pStyle w:val="Body"/>
        <w:widowControl w:val="0"/>
        <w:tabs>
          <w:tab w:val="left" w:pos="720"/>
        </w:tabs>
        <w:ind w:firstLine="0"/>
        <w:rPr>
          <w:szCs w:val="26"/>
        </w:rPr>
      </w:pPr>
      <w:r>
        <w:rPr>
          <w:szCs w:val="26"/>
        </w:rPr>
        <w:t>. . .</w:t>
      </w:r>
    </w:p>
    <w:p w14:paraId="2D608E93" w14:textId="5AD7D7F5" w:rsidR="00EE7F6A" w:rsidRDefault="00EE7F6A" w:rsidP="00FD0C85">
      <w:pPr>
        <w:pStyle w:val="Body"/>
        <w:widowControl w:val="0"/>
        <w:tabs>
          <w:tab w:val="left" w:pos="720"/>
        </w:tabs>
        <w:ind w:firstLine="0"/>
        <w:rPr>
          <w:szCs w:val="26"/>
        </w:rPr>
      </w:pPr>
      <w:r>
        <w:rPr>
          <w:szCs w:val="26"/>
        </w:rPr>
        <w:t>. . .</w:t>
      </w:r>
    </w:p>
    <w:p w14:paraId="7423C63F" w14:textId="77777777" w:rsidR="003377A8" w:rsidRDefault="003377A8" w:rsidP="003377A8">
      <w:pPr>
        <w:pStyle w:val="Body"/>
        <w:widowControl w:val="0"/>
        <w:spacing w:line="480" w:lineRule="auto"/>
        <w:ind w:firstLine="720"/>
        <w:jc w:val="both"/>
        <w:rPr>
          <w:sz w:val="28"/>
          <w:szCs w:val="28"/>
        </w:rPr>
      </w:pPr>
      <w:bookmarkStart w:id="2" w:name="_GoBack"/>
      <w:bookmarkEnd w:id="2"/>
      <w:r w:rsidRPr="006F63FD">
        <w:rPr>
          <w:sz w:val="28"/>
          <w:szCs w:val="28"/>
        </w:rPr>
        <w:lastRenderedPageBreak/>
        <w:t xml:space="preserve">RESPECTFULLY SUBMITTED this </w:t>
      </w:r>
      <w:r>
        <w:rPr>
          <w:sz w:val="28"/>
          <w:szCs w:val="28"/>
          <w:u w:val="single"/>
        </w:rPr>
        <w:t xml:space="preserve"> 18</w:t>
      </w:r>
      <w:r w:rsidRPr="001A0E99">
        <w:rPr>
          <w:sz w:val="28"/>
          <w:szCs w:val="28"/>
          <w:u w:val="single"/>
          <w:vertAlign w:val="superscript"/>
        </w:rPr>
        <w:t>th</w:t>
      </w:r>
      <w:r>
        <w:rPr>
          <w:sz w:val="28"/>
          <w:szCs w:val="28"/>
          <w:u w:val="single"/>
        </w:rPr>
        <w:t xml:space="preserve"> </w:t>
      </w:r>
      <w:r w:rsidRPr="001A0E99">
        <w:rPr>
          <w:sz w:val="28"/>
          <w:szCs w:val="28"/>
        </w:rPr>
        <w:t xml:space="preserve"> </w:t>
      </w:r>
      <w:r w:rsidRPr="006F63FD">
        <w:rPr>
          <w:sz w:val="28"/>
          <w:szCs w:val="28"/>
        </w:rPr>
        <w:t>day of</w:t>
      </w:r>
      <w:r>
        <w:rPr>
          <w:sz w:val="28"/>
          <w:szCs w:val="28"/>
        </w:rPr>
        <w:t xml:space="preserve"> </w:t>
      </w:r>
      <w:proofErr w:type="gramStart"/>
      <w:r>
        <w:rPr>
          <w:sz w:val="28"/>
          <w:szCs w:val="28"/>
        </w:rPr>
        <w:t>March</w:t>
      </w:r>
      <w:r w:rsidRPr="006F63FD">
        <w:rPr>
          <w:sz w:val="28"/>
          <w:szCs w:val="28"/>
        </w:rPr>
        <w:t>,</w:t>
      </w:r>
      <w:proofErr w:type="gramEnd"/>
      <w:r w:rsidRPr="006F63FD">
        <w:rPr>
          <w:sz w:val="28"/>
          <w:szCs w:val="28"/>
        </w:rPr>
        <w:t xml:space="preserve"> 201</w:t>
      </w:r>
      <w:r>
        <w:rPr>
          <w:sz w:val="28"/>
          <w:szCs w:val="28"/>
        </w:rPr>
        <w:t>9</w:t>
      </w:r>
      <w:r w:rsidRPr="006F63FD">
        <w:rPr>
          <w:sz w:val="28"/>
          <w:szCs w:val="28"/>
        </w:rPr>
        <w:t>.</w:t>
      </w:r>
    </w:p>
    <w:p w14:paraId="1B79568D" w14:textId="77777777" w:rsidR="003377A8" w:rsidRDefault="003377A8" w:rsidP="003377A8">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p>
    <w:p w14:paraId="18FA15D9" w14:textId="77777777" w:rsidR="003377A8" w:rsidRPr="001A0E99" w:rsidRDefault="003377A8" w:rsidP="003377A8">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/s/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4D24E944" w14:textId="77777777" w:rsidR="003377A8" w:rsidRPr="006F63FD" w:rsidRDefault="003377A8" w:rsidP="003377A8">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1C15C1D4" w14:textId="77777777" w:rsidR="003377A8" w:rsidRDefault="003377A8" w:rsidP="003377A8">
      <w:pPr>
        <w:pStyle w:val="PleadingSignature"/>
        <w:keepNext w:val="0"/>
        <w:keepLines w:val="0"/>
        <w:spacing w:line="240" w:lineRule="auto"/>
        <w:ind w:left="3600" w:firstLine="720"/>
        <w:rPr>
          <w:sz w:val="28"/>
          <w:szCs w:val="28"/>
        </w:rPr>
      </w:pPr>
      <w:r>
        <w:rPr>
          <w:sz w:val="28"/>
          <w:szCs w:val="28"/>
        </w:rPr>
        <w:t>Executive Director</w:t>
      </w:r>
    </w:p>
    <w:p w14:paraId="09B9999E" w14:textId="77777777" w:rsidR="003377A8" w:rsidRDefault="003377A8" w:rsidP="003377A8">
      <w:pPr>
        <w:pStyle w:val="PleadingSignature"/>
        <w:keepNext w:val="0"/>
        <w:keepLines w:val="0"/>
        <w:spacing w:line="240" w:lineRule="auto"/>
        <w:ind w:left="3600" w:firstLine="720"/>
        <w:rPr>
          <w:sz w:val="28"/>
          <w:szCs w:val="28"/>
        </w:rPr>
      </w:pPr>
      <w:r>
        <w:rPr>
          <w:sz w:val="28"/>
          <w:szCs w:val="28"/>
        </w:rPr>
        <w:t>Arizona Prosecuting Attorneys’</w:t>
      </w:r>
    </w:p>
    <w:p w14:paraId="3046ED55" w14:textId="77777777" w:rsidR="003377A8" w:rsidRPr="006F63FD" w:rsidRDefault="003377A8" w:rsidP="003377A8">
      <w:pPr>
        <w:pStyle w:val="PleadingSignature"/>
        <w:keepNext w:val="0"/>
        <w:keepLines w:val="0"/>
        <w:spacing w:line="240" w:lineRule="auto"/>
        <w:ind w:left="3600" w:firstLine="720"/>
        <w:rPr>
          <w:sz w:val="28"/>
          <w:szCs w:val="28"/>
        </w:rPr>
      </w:pPr>
      <w:r>
        <w:rPr>
          <w:sz w:val="28"/>
          <w:szCs w:val="28"/>
        </w:rPr>
        <w:t xml:space="preserve">   Advisory Council</w:t>
      </w:r>
    </w:p>
    <w:p w14:paraId="2C0BB2CB" w14:textId="77777777" w:rsidR="003377A8" w:rsidRPr="000F7A7F" w:rsidRDefault="003377A8" w:rsidP="003377A8">
      <w:pPr>
        <w:pStyle w:val="PleadingSignature"/>
        <w:keepNext w:val="0"/>
        <w:keepLines w:val="0"/>
        <w:spacing w:line="240" w:lineRule="auto"/>
        <w:ind w:left="5070"/>
        <w:rPr>
          <w:szCs w:val="26"/>
        </w:rPr>
      </w:pPr>
    </w:p>
    <w:p w14:paraId="57D6D236" w14:textId="77777777" w:rsidR="003377A8" w:rsidRDefault="003377A8" w:rsidP="003377A8">
      <w:pPr>
        <w:widowControl w:val="0"/>
        <w:spacing w:line="240" w:lineRule="auto"/>
        <w:ind w:right="4140"/>
        <w:rPr>
          <w:sz w:val="28"/>
          <w:szCs w:val="28"/>
        </w:rPr>
      </w:pPr>
    </w:p>
    <w:p w14:paraId="674B51DC" w14:textId="77777777" w:rsidR="003377A8" w:rsidRPr="00C52E56" w:rsidRDefault="003377A8" w:rsidP="003377A8">
      <w:pPr>
        <w:widowControl w:val="0"/>
        <w:spacing w:line="240" w:lineRule="auto"/>
        <w:ind w:right="4140"/>
        <w:rPr>
          <w:sz w:val="28"/>
          <w:szCs w:val="28"/>
        </w:rPr>
      </w:pPr>
      <w:r w:rsidRPr="00C52E56">
        <w:rPr>
          <w:sz w:val="28"/>
          <w:szCs w:val="28"/>
        </w:rPr>
        <w:t>Electronic copy filed with the</w:t>
      </w:r>
    </w:p>
    <w:p w14:paraId="4F904282" w14:textId="77777777" w:rsidR="003377A8" w:rsidRPr="00C52E56" w:rsidRDefault="003377A8" w:rsidP="003377A8">
      <w:pPr>
        <w:spacing w:line="240" w:lineRule="auto"/>
        <w:ind w:right="4140"/>
        <w:rPr>
          <w:sz w:val="28"/>
          <w:szCs w:val="28"/>
        </w:rPr>
      </w:pPr>
      <w:r w:rsidRPr="00C52E56">
        <w:rPr>
          <w:sz w:val="28"/>
          <w:szCs w:val="28"/>
        </w:rPr>
        <w:t>Clerk of the Arizona Supreme Court</w:t>
      </w:r>
    </w:p>
    <w:p w14:paraId="6C544A0B" w14:textId="77777777" w:rsidR="003377A8" w:rsidRPr="00C52E56" w:rsidRDefault="003377A8" w:rsidP="003377A8">
      <w:pPr>
        <w:tabs>
          <w:tab w:val="left" w:pos="4836"/>
        </w:tabs>
        <w:spacing w:line="240" w:lineRule="auto"/>
        <w:ind w:right="3870"/>
        <w:rPr>
          <w:sz w:val="28"/>
          <w:szCs w:val="28"/>
        </w:rPr>
      </w:pPr>
      <w:r w:rsidRPr="00C52E56">
        <w:rPr>
          <w:sz w:val="28"/>
          <w:szCs w:val="28"/>
        </w:rPr>
        <w:t xml:space="preserve">this </w:t>
      </w:r>
      <w:r>
        <w:rPr>
          <w:sz w:val="28"/>
          <w:szCs w:val="28"/>
          <w:u w:val="single"/>
        </w:rPr>
        <w:t xml:space="preserve"> 18</w:t>
      </w:r>
      <w:r w:rsidRPr="001A0E99">
        <w:rPr>
          <w:sz w:val="28"/>
          <w:szCs w:val="28"/>
          <w:u w:val="single"/>
          <w:vertAlign w:val="superscript"/>
        </w:rPr>
        <w:t>th</w:t>
      </w:r>
      <w:r>
        <w:rPr>
          <w:sz w:val="28"/>
          <w:szCs w:val="28"/>
          <w:u w:val="single"/>
        </w:rPr>
        <w:t xml:space="preserve"> </w:t>
      </w:r>
      <w:r w:rsidRPr="00C52E56">
        <w:rPr>
          <w:sz w:val="28"/>
          <w:szCs w:val="28"/>
        </w:rPr>
        <w:t xml:space="preserve"> day of </w:t>
      </w:r>
      <w:proofErr w:type="gramStart"/>
      <w:r>
        <w:rPr>
          <w:sz w:val="28"/>
          <w:szCs w:val="28"/>
        </w:rPr>
        <w:t>March</w:t>
      </w:r>
      <w:r w:rsidRPr="00C52E56">
        <w:rPr>
          <w:sz w:val="28"/>
          <w:szCs w:val="28"/>
        </w:rPr>
        <w:t>,</w:t>
      </w:r>
      <w:proofErr w:type="gramEnd"/>
      <w:r w:rsidRPr="00C52E56">
        <w:rPr>
          <w:sz w:val="28"/>
          <w:szCs w:val="28"/>
        </w:rPr>
        <w:t xml:space="preserve"> 201</w:t>
      </w:r>
      <w:r>
        <w:rPr>
          <w:sz w:val="28"/>
          <w:szCs w:val="28"/>
        </w:rPr>
        <w:t>9</w:t>
      </w:r>
      <w:r w:rsidRPr="00C52E56">
        <w:rPr>
          <w:sz w:val="28"/>
          <w:szCs w:val="28"/>
        </w:rPr>
        <w:t>.</w:t>
      </w:r>
    </w:p>
    <w:p w14:paraId="78A97982" w14:textId="77777777" w:rsidR="003377A8" w:rsidRDefault="003377A8" w:rsidP="003377A8">
      <w:pPr>
        <w:spacing w:line="240" w:lineRule="auto"/>
        <w:ind w:right="4572"/>
        <w:rPr>
          <w:sz w:val="28"/>
          <w:szCs w:val="28"/>
        </w:rPr>
      </w:pPr>
    </w:p>
    <w:p w14:paraId="18A777A0" w14:textId="77777777" w:rsidR="003377A8" w:rsidRDefault="003377A8" w:rsidP="003377A8">
      <w:pPr>
        <w:spacing w:line="240" w:lineRule="auto"/>
        <w:ind w:right="4572"/>
        <w:rPr>
          <w:sz w:val="28"/>
          <w:szCs w:val="28"/>
        </w:rPr>
      </w:pPr>
      <w:bookmarkStart w:id="3" w:name="_Hlk3808272"/>
    </w:p>
    <w:p w14:paraId="6BA4F14A" w14:textId="77777777" w:rsidR="003377A8" w:rsidRPr="00C52E56" w:rsidRDefault="003377A8" w:rsidP="003377A8">
      <w:pPr>
        <w:spacing w:line="240" w:lineRule="auto"/>
        <w:ind w:right="4572"/>
        <w:rPr>
          <w:sz w:val="28"/>
          <w:szCs w:val="28"/>
        </w:rPr>
      </w:pPr>
      <w:r>
        <w:rPr>
          <w:sz w:val="28"/>
          <w:szCs w:val="28"/>
        </w:rPr>
        <w:t>B</w:t>
      </w:r>
      <w:r w:rsidRPr="00C52E56">
        <w:rPr>
          <w:sz w:val="28"/>
          <w:szCs w:val="28"/>
        </w:rPr>
        <w:t>y:</w:t>
      </w:r>
      <w:r>
        <w:rPr>
          <w:sz w:val="28"/>
          <w:szCs w:val="28"/>
          <w:u w:val="single"/>
        </w:rPr>
        <w:t xml:space="preserve">  /s/    </w:t>
      </w:r>
      <w:r w:rsidRPr="001A0E99">
        <w:rPr>
          <w:rFonts w:ascii="Bradley Hand ITC" w:hAnsi="Bradley Hand ITC"/>
          <w:sz w:val="32"/>
          <w:szCs w:val="28"/>
          <w:u w:val="single"/>
        </w:rPr>
        <w:t>Diana Cooney</w:t>
      </w:r>
      <w:r w:rsidRPr="001A0E99">
        <w:rPr>
          <w:rFonts w:ascii="Bradley Hand ITC" w:hAnsi="Bradley Hand ITC"/>
          <w:sz w:val="32"/>
          <w:szCs w:val="28"/>
          <w:u w:val="single"/>
        </w:rPr>
        <w:tab/>
      </w:r>
      <w:r>
        <w:rPr>
          <w:rFonts w:ascii="Bradley Hand ITC" w:hAnsi="Bradley Hand ITC"/>
          <w:sz w:val="32"/>
          <w:szCs w:val="28"/>
          <w:u w:val="single"/>
        </w:rPr>
        <w:tab/>
      </w:r>
    </w:p>
    <w:bookmarkEnd w:id="3"/>
    <w:p w14:paraId="31C99E9E" w14:textId="77777777" w:rsidR="003377A8" w:rsidRPr="000F7A7F" w:rsidRDefault="003377A8" w:rsidP="003377A8">
      <w:pPr>
        <w:pStyle w:val="Body"/>
        <w:widowControl w:val="0"/>
        <w:ind w:firstLine="0"/>
        <w:jc w:val="both"/>
        <w:rPr>
          <w:szCs w:val="26"/>
        </w:rPr>
      </w:pPr>
    </w:p>
    <w:p w14:paraId="43C27F5D" w14:textId="77777777" w:rsidR="00494BDF" w:rsidRPr="000F7A7F" w:rsidRDefault="00494BDF" w:rsidP="000C48A9">
      <w:pPr>
        <w:pStyle w:val="Body"/>
        <w:widowControl w:val="0"/>
        <w:ind w:firstLine="0"/>
        <w:jc w:val="both"/>
        <w:rPr>
          <w:szCs w:val="26"/>
        </w:rPr>
      </w:pPr>
    </w:p>
    <w:sectPr w:rsidR="00494BDF"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0ECF0" w14:textId="77777777" w:rsidR="007E703A" w:rsidRDefault="007E703A">
      <w:r>
        <w:separator/>
      </w:r>
    </w:p>
  </w:endnote>
  <w:endnote w:type="continuationSeparator" w:id="0">
    <w:p w14:paraId="5B62EFC9" w14:textId="77777777" w:rsidR="007E703A" w:rsidRDefault="007E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4592" w14:textId="77777777" w:rsidR="00967F61" w:rsidRDefault="00967F61"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967F61" w:rsidRDefault="00967F61" w:rsidP="00861563">
    <w:pPr>
      <w:pStyle w:val="Footer"/>
      <w:ind w:right="360"/>
    </w:pPr>
  </w:p>
  <w:p w14:paraId="1E6CF164" w14:textId="77777777" w:rsidR="00967F61" w:rsidRDefault="009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5A6C317" w14:textId="256FA35E" w:rsidR="00967F61" w:rsidRPr="006B4F9A" w:rsidRDefault="00967F6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5606F">
          <w:rPr>
            <w:noProof/>
            <w:sz w:val="26"/>
            <w:szCs w:val="26"/>
          </w:rPr>
          <w:t>15</w:t>
        </w:r>
        <w:r w:rsidRPr="006B4F9A">
          <w:rPr>
            <w:noProof/>
            <w:sz w:val="26"/>
            <w:szCs w:val="26"/>
          </w:rPr>
          <w:fldChar w:fldCharType="end"/>
        </w:r>
      </w:p>
    </w:sdtContent>
  </w:sdt>
  <w:p w14:paraId="59970812" w14:textId="77777777" w:rsidR="00967F61" w:rsidRDefault="00967F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BC03" w14:textId="77777777" w:rsidR="00EE7F6A" w:rsidRDefault="00EE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0E62" w14:textId="77777777" w:rsidR="007E703A" w:rsidRDefault="007E703A">
      <w:r>
        <w:separator/>
      </w:r>
    </w:p>
  </w:footnote>
  <w:footnote w:type="continuationSeparator" w:id="0">
    <w:p w14:paraId="474BD065" w14:textId="77777777" w:rsidR="007E703A" w:rsidRDefault="007E703A">
      <w:r>
        <w:continuationSeparator/>
      </w:r>
    </w:p>
  </w:footnote>
  <w:footnote w:id="1">
    <w:p w14:paraId="6B09FA9B" w14:textId="76BBC6C5" w:rsidR="00D85EC2" w:rsidRDefault="00D85EC2" w:rsidP="00D85EC2">
      <w:pPr>
        <w:pStyle w:val="FootnoteText"/>
      </w:pPr>
      <w:r w:rsidRPr="0062580F">
        <w:rPr>
          <w:rStyle w:val="FootnoteReference"/>
          <w:sz w:val="26"/>
        </w:rPr>
        <w:footnoteRef/>
      </w:r>
      <w:r w:rsidRPr="0062580F">
        <w:rPr>
          <w:sz w:val="26"/>
        </w:rPr>
        <w:t xml:space="preserve"> A</w:t>
      </w:r>
      <w:r w:rsidR="0062580F" w:rsidRPr="0062580F">
        <w:rPr>
          <w:sz w:val="26"/>
        </w:rPr>
        <w:t xml:space="preserve"> substantially similar</w:t>
      </w:r>
      <w:r w:rsidRPr="0062580F">
        <w:rPr>
          <w:sz w:val="26"/>
        </w:rPr>
        <w:t xml:space="preserve"> petition was filed in 2018 in R-18-0001.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667E" w14:textId="77777777" w:rsidR="00EE7F6A" w:rsidRDefault="00EE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CE94" w14:textId="5EA02095" w:rsidR="00967F61" w:rsidRDefault="00967F61">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AE25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9815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8B9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6C95D955" w14:textId="77777777" w:rsidR="00967F61" w:rsidRDefault="00967F61">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B5F3" w14:textId="77777777" w:rsidR="00EE7F6A" w:rsidRDefault="00EE7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7"/>
  </w:num>
  <w:num w:numId="3">
    <w:abstractNumId w:val="6"/>
  </w:num>
  <w:num w:numId="4">
    <w:abstractNumId w:val="11"/>
  </w:num>
  <w:num w:numId="5">
    <w:abstractNumId w:val="16"/>
  </w:num>
  <w:num w:numId="6">
    <w:abstractNumId w:val="18"/>
  </w:num>
  <w:num w:numId="7">
    <w:abstractNumId w:val="7"/>
  </w:num>
  <w:num w:numId="8">
    <w:abstractNumId w:val="32"/>
  </w:num>
  <w:num w:numId="9">
    <w:abstractNumId w:val="19"/>
  </w:num>
  <w:num w:numId="10">
    <w:abstractNumId w:val="24"/>
  </w:num>
  <w:num w:numId="11">
    <w:abstractNumId w:val="22"/>
  </w:num>
  <w:num w:numId="12">
    <w:abstractNumId w:val="13"/>
  </w:num>
  <w:num w:numId="13">
    <w:abstractNumId w:val="8"/>
  </w:num>
  <w:num w:numId="14">
    <w:abstractNumId w:val="10"/>
  </w:num>
  <w:num w:numId="15">
    <w:abstractNumId w:val="20"/>
  </w:num>
  <w:num w:numId="16">
    <w:abstractNumId w:val="30"/>
  </w:num>
  <w:num w:numId="17">
    <w:abstractNumId w:val="25"/>
  </w:num>
  <w:num w:numId="18">
    <w:abstractNumId w:val="4"/>
  </w:num>
  <w:num w:numId="19">
    <w:abstractNumId w:val="12"/>
  </w:num>
  <w:num w:numId="20">
    <w:abstractNumId w:val="31"/>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29"/>
  </w:num>
  <w:num w:numId="29">
    <w:abstractNumId w:val="28"/>
  </w:num>
  <w:num w:numId="30">
    <w:abstractNumId w:val="9"/>
  </w:num>
  <w:num w:numId="31">
    <w:abstractNumId w:val="0"/>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07AE2"/>
    <w:rsid w:val="00012531"/>
    <w:rsid w:val="00013CE0"/>
    <w:rsid w:val="00025B19"/>
    <w:rsid w:val="00035056"/>
    <w:rsid w:val="000410B3"/>
    <w:rsid w:val="00043D4D"/>
    <w:rsid w:val="0004786F"/>
    <w:rsid w:val="00052372"/>
    <w:rsid w:val="00056CA0"/>
    <w:rsid w:val="0006397E"/>
    <w:rsid w:val="000666D1"/>
    <w:rsid w:val="00072E08"/>
    <w:rsid w:val="00076747"/>
    <w:rsid w:val="000829A0"/>
    <w:rsid w:val="000868BC"/>
    <w:rsid w:val="000917C0"/>
    <w:rsid w:val="000A1D6B"/>
    <w:rsid w:val="000C48A9"/>
    <w:rsid w:val="000C58DC"/>
    <w:rsid w:val="000D5D16"/>
    <w:rsid w:val="000D7E6C"/>
    <w:rsid w:val="000F54A9"/>
    <w:rsid w:val="000F690F"/>
    <w:rsid w:val="000F71D8"/>
    <w:rsid w:val="000F7A7F"/>
    <w:rsid w:val="000F7C13"/>
    <w:rsid w:val="001003C3"/>
    <w:rsid w:val="00107707"/>
    <w:rsid w:val="00116D61"/>
    <w:rsid w:val="0012408C"/>
    <w:rsid w:val="001242B6"/>
    <w:rsid w:val="00131578"/>
    <w:rsid w:val="00133760"/>
    <w:rsid w:val="00134B99"/>
    <w:rsid w:val="00135326"/>
    <w:rsid w:val="00156D8F"/>
    <w:rsid w:val="00177417"/>
    <w:rsid w:val="0018360F"/>
    <w:rsid w:val="0019690A"/>
    <w:rsid w:val="00197E9F"/>
    <w:rsid w:val="001A2520"/>
    <w:rsid w:val="001A741A"/>
    <w:rsid w:val="001B054C"/>
    <w:rsid w:val="001B25E1"/>
    <w:rsid w:val="001C5E17"/>
    <w:rsid w:val="001C61A5"/>
    <w:rsid w:val="001D0AAA"/>
    <w:rsid w:val="001E6473"/>
    <w:rsid w:val="001F591C"/>
    <w:rsid w:val="00203A04"/>
    <w:rsid w:val="00213ABC"/>
    <w:rsid w:val="00213EDD"/>
    <w:rsid w:val="00245270"/>
    <w:rsid w:val="00262BE7"/>
    <w:rsid w:val="00267532"/>
    <w:rsid w:val="0027359D"/>
    <w:rsid w:val="00274D6A"/>
    <w:rsid w:val="00291360"/>
    <w:rsid w:val="00297773"/>
    <w:rsid w:val="002B0C94"/>
    <w:rsid w:val="002D1BC2"/>
    <w:rsid w:val="002D2738"/>
    <w:rsid w:val="002D2E4D"/>
    <w:rsid w:val="002E6D70"/>
    <w:rsid w:val="003024C2"/>
    <w:rsid w:val="00303F08"/>
    <w:rsid w:val="00303F65"/>
    <w:rsid w:val="00305B80"/>
    <w:rsid w:val="003160E1"/>
    <w:rsid w:val="00327BB4"/>
    <w:rsid w:val="00327DF3"/>
    <w:rsid w:val="00331ECE"/>
    <w:rsid w:val="003377A8"/>
    <w:rsid w:val="00341028"/>
    <w:rsid w:val="00352347"/>
    <w:rsid w:val="003566D6"/>
    <w:rsid w:val="00357F4D"/>
    <w:rsid w:val="003617D1"/>
    <w:rsid w:val="003617F7"/>
    <w:rsid w:val="00364150"/>
    <w:rsid w:val="0036551C"/>
    <w:rsid w:val="003700EE"/>
    <w:rsid w:val="003755A5"/>
    <w:rsid w:val="00376582"/>
    <w:rsid w:val="00377199"/>
    <w:rsid w:val="00397E14"/>
    <w:rsid w:val="003A28AC"/>
    <w:rsid w:val="003B402A"/>
    <w:rsid w:val="003B699A"/>
    <w:rsid w:val="003B706E"/>
    <w:rsid w:val="003C2FDA"/>
    <w:rsid w:val="003C33ED"/>
    <w:rsid w:val="003C4B1B"/>
    <w:rsid w:val="003D1B33"/>
    <w:rsid w:val="003E6A88"/>
    <w:rsid w:val="00401FE1"/>
    <w:rsid w:val="00407E2D"/>
    <w:rsid w:val="00415FD2"/>
    <w:rsid w:val="00422F15"/>
    <w:rsid w:val="004275A8"/>
    <w:rsid w:val="00427673"/>
    <w:rsid w:val="00431CB5"/>
    <w:rsid w:val="004331B2"/>
    <w:rsid w:val="00440E4C"/>
    <w:rsid w:val="00443C91"/>
    <w:rsid w:val="0044693C"/>
    <w:rsid w:val="00447944"/>
    <w:rsid w:val="004524DB"/>
    <w:rsid w:val="00460947"/>
    <w:rsid w:val="00460E63"/>
    <w:rsid w:val="00463734"/>
    <w:rsid w:val="0046578F"/>
    <w:rsid w:val="004833CE"/>
    <w:rsid w:val="00484BAB"/>
    <w:rsid w:val="004918F5"/>
    <w:rsid w:val="004927FD"/>
    <w:rsid w:val="00492B42"/>
    <w:rsid w:val="00492F69"/>
    <w:rsid w:val="00494BDF"/>
    <w:rsid w:val="0049776A"/>
    <w:rsid w:val="00497CE7"/>
    <w:rsid w:val="004A7A9D"/>
    <w:rsid w:val="004B6016"/>
    <w:rsid w:val="004C1B73"/>
    <w:rsid w:val="004C3AE3"/>
    <w:rsid w:val="004D303F"/>
    <w:rsid w:val="004D6622"/>
    <w:rsid w:val="004D6C64"/>
    <w:rsid w:val="004F5916"/>
    <w:rsid w:val="00504E1E"/>
    <w:rsid w:val="00504E81"/>
    <w:rsid w:val="00506803"/>
    <w:rsid w:val="00506859"/>
    <w:rsid w:val="005074BE"/>
    <w:rsid w:val="00510EAE"/>
    <w:rsid w:val="0051273D"/>
    <w:rsid w:val="00520F93"/>
    <w:rsid w:val="00522009"/>
    <w:rsid w:val="0052337B"/>
    <w:rsid w:val="00526087"/>
    <w:rsid w:val="005275CC"/>
    <w:rsid w:val="005303B6"/>
    <w:rsid w:val="00532975"/>
    <w:rsid w:val="00540770"/>
    <w:rsid w:val="00550D25"/>
    <w:rsid w:val="00564D07"/>
    <w:rsid w:val="00566856"/>
    <w:rsid w:val="00592FD8"/>
    <w:rsid w:val="00594E2D"/>
    <w:rsid w:val="005971F4"/>
    <w:rsid w:val="00597A0F"/>
    <w:rsid w:val="005A1A7A"/>
    <w:rsid w:val="005A21B0"/>
    <w:rsid w:val="005A5C62"/>
    <w:rsid w:val="005A6282"/>
    <w:rsid w:val="005B1356"/>
    <w:rsid w:val="005B2DC1"/>
    <w:rsid w:val="005B3B5D"/>
    <w:rsid w:val="005B5161"/>
    <w:rsid w:val="005B5C96"/>
    <w:rsid w:val="005C58BA"/>
    <w:rsid w:val="005C59C8"/>
    <w:rsid w:val="005D598D"/>
    <w:rsid w:val="005D699A"/>
    <w:rsid w:val="005D6AD4"/>
    <w:rsid w:val="005D6E38"/>
    <w:rsid w:val="005F02F8"/>
    <w:rsid w:val="005F457C"/>
    <w:rsid w:val="006027AB"/>
    <w:rsid w:val="00621727"/>
    <w:rsid w:val="0062580F"/>
    <w:rsid w:val="0062695B"/>
    <w:rsid w:val="00630F92"/>
    <w:rsid w:val="006338C1"/>
    <w:rsid w:val="00636F5E"/>
    <w:rsid w:val="00640CC4"/>
    <w:rsid w:val="006410A6"/>
    <w:rsid w:val="006435A1"/>
    <w:rsid w:val="00656EA2"/>
    <w:rsid w:val="00660556"/>
    <w:rsid w:val="00661732"/>
    <w:rsid w:val="00664CB9"/>
    <w:rsid w:val="00665CCF"/>
    <w:rsid w:val="006666D1"/>
    <w:rsid w:val="006721EC"/>
    <w:rsid w:val="00673192"/>
    <w:rsid w:val="00677063"/>
    <w:rsid w:val="00682EA7"/>
    <w:rsid w:val="00687790"/>
    <w:rsid w:val="006932BA"/>
    <w:rsid w:val="006957E9"/>
    <w:rsid w:val="006A1DDB"/>
    <w:rsid w:val="006B4F9A"/>
    <w:rsid w:val="006B65D1"/>
    <w:rsid w:val="006C1366"/>
    <w:rsid w:val="006C1BCE"/>
    <w:rsid w:val="006C5CE4"/>
    <w:rsid w:val="006D6031"/>
    <w:rsid w:val="006E1904"/>
    <w:rsid w:val="006F5ECA"/>
    <w:rsid w:val="006F63FD"/>
    <w:rsid w:val="00703AE1"/>
    <w:rsid w:val="00704C02"/>
    <w:rsid w:val="00722B0F"/>
    <w:rsid w:val="007265D8"/>
    <w:rsid w:val="00727D5D"/>
    <w:rsid w:val="00732169"/>
    <w:rsid w:val="007326C8"/>
    <w:rsid w:val="00735659"/>
    <w:rsid w:val="007361D0"/>
    <w:rsid w:val="00744130"/>
    <w:rsid w:val="007479DC"/>
    <w:rsid w:val="00751E69"/>
    <w:rsid w:val="00752B4C"/>
    <w:rsid w:val="00753914"/>
    <w:rsid w:val="0075606F"/>
    <w:rsid w:val="00757E5B"/>
    <w:rsid w:val="007639B5"/>
    <w:rsid w:val="007658D4"/>
    <w:rsid w:val="0077110E"/>
    <w:rsid w:val="00775B02"/>
    <w:rsid w:val="00777AEB"/>
    <w:rsid w:val="007870CB"/>
    <w:rsid w:val="007A2140"/>
    <w:rsid w:val="007A24CC"/>
    <w:rsid w:val="007A3F0F"/>
    <w:rsid w:val="007A644C"/>
    <w:rsid w:val="007B12B3"/>
    <w:rsid w:val="007B5BD9"/>
    <w:rsid w:val="007C4A3E"/>
    <w:rsid w:val="007D5C49"/>
    <w:rsid w:val="007D73FF"/>
    <w:rsid w:val="007E703A"/>
    <w:rsid w:val="007F0475"/>
    <w:rsid w:val="007F0A6F"/>
    <w:rsid w:val="008006ED"/>
    <w:rsid w:val="00806B52"/>
    <w:rsid w:val="0081185D"/>
    <w:rsid w:val="00814DCF"/>
    <w:rsid w:val="00822598"/>
    <w:rsid w:val="00822C54"/>
    <w:rsid w:val="0083469E"/>
    <w:rsid w:val="008360A1"/>
    <w:rsid w:val="0084227D"/>
    <w:rsid w:val="008540F9"/>
    <w:rsid w:val="00861563"/>
    <w:rsid w:val="00871AAA"/>
    <w:rsid w:val="00877C59"/>
    <w:rsid w:val="00891AAA"/>
    <w:rsid w:val="00896CBF"/>
    <w:rsid w:val="008B2BBE"/>
    <w:rsid w:val="008B31DD"/>
    <w:rsid w:val="008D6D4C"/>
    <w:rsid w:val="008F64B4"/>
    <w:rsid w:val="008F67E6"/>
    <w:rsid w:val="00901A7B"/>
    <w:rsid w:val="00902557"/>
    <w:rsid w:val="00910EF5"/>
    <w:rsid w:val="0091218D"/>
    <w:rsid w:val="009160E9"/>
    <w:rsid w:val="00933723"/>
    <w:rsid w:val="00933EA1"/>
    <w:rsid w:val="00945929"/>
    <w:rsid w:val="00947DB1"/>
    <w:rsid w:val="00951416"/>
    <w:rsid w:val="00960D21"/>
    <w:rsid w:val="00967F61"/>
    <w:rsid w:val="00970A6F"/>
    <w:rsid w:val="00971F3A"/>
    <w:rsid w:val="00974566"/>
    <w:rsid w:val="00981D29"/>
    <w:rsid w:val="00981E11"/>
    <w:rsid w:val="00986498"/>
    <w:rsid w:val="009A647F"/>
    <w:rsid w:val="009C1CAA"/>
    <w:rsid w:val="009E153B"/>
    <w:rsid w:val="009F4B43"/>
    <w:rsid w:val="00A0595A"/>
    <w:rsid w:val="00A07874"/>
    <w:rsid w:val="00A11510"/>
    <w:rsid w:val="00A133C4"/>
    <w:rsid w:val="00A14B4F"/>
    <w:rsid w:val="00A1564B"/>
    <w:rsid w:val="00A27EB9"/>
    <w:rsid w:val="00A37211"/>
    <w:rsid w:val="00A4629B"/>
    <w:rsid w:val="00A50A82"/>
    <w:rsid w:val="00A5194F"/>
    <w:rsid w:val="00A57220"/>
    <w:rsid w:val="00A622FD"/>
    <w:rsid w:val="00A62C72"/>
    <w:rsid w:val="00A641B3"/>
    <w:rsid w:val="00A871D6"/>
    <w:rsid w:val="00AA768E"/>
    <w:rsid w:val="00AB1635"/>
    <w:rsid w:val="00AB401C"/>
    <w:rsid w:val="00AC5069"/>
    <w:rsid w:val="00AD4B21"/>
    <w:rsid w:val="00AD6948"/>
    <w:rsid w:val="00AE30C2"/>
    <w:rsid w:val="00AE75A0"/>
    <w:rsid w:val="00AF005F"/>
    <w:rsid w:val="00AF282C"/>
    <w:rsid w:val="00AF3FF7"/>
    <w:rsid w:val="00AF4649"/>
    <w:rsid w:val="00AF7028"/>
    <w:rsid w:val="00B02AF3"/>
    <w:rsid w:val="00B0715E"/>
    <w:rsid w:val="00B11617"/>
    <w:rsid w:val="00B12FD4"/>
    <w:rsid w:val="00B137E3"/>
    <w:rsid w:val="00B14571"/>
    <w:rsid w:val="00B1491D"/>
    <w:rsid w:val="00B1673F"/>
    <w:rsid w:val="00B21F8D"/>
    <w:rsid w:val="00B3627A"/>
    <w:rsid w:val="00B41664"/>
    <w:rsid w:val="00B43995"/>
    <w:rsid w:val="00B47B7D"/>
    <w:rsid w:val="00B5499E"/>
    <w:rsid w:val="00B65963"/>
    <w:rsid w:val="00B87B69"/>
    <w:rsid w:val="00B92950"/>
    <w:rsid w:val="00B92D7E"/>
    <w:rsid w:val="00BA0826"/>
    <w:rsid w:val="00BA22FC"/>
    <w:rsid w:val="00BB54FE"/>
    <w:rsid w:val="00BB5AD1"/>
    <w:rsid w:val="00BC0ABB"/>
    <w:rsid w:val="00BF0E36"/>
    <w:rsid w:val="00C03E0F"/>
    <w:rsid w:val="00C17C29"/>
    <w:rsid w:val="00C20779"/>
    <w:rsid w:val="00C33B68"/>
    <w:rsid w:val="00C34AB4"/>
    <w:rsid w:val="00C35DE3"/>
    <w:rsid w:val="00C37715"/>
    <w:rsid w:val="00C42E3B"/>
    <w:rsid w:val="00C52E56"/>
    <w:rsid w:val="00C5407A"/>
    <w:rsid w:val="00C662B0"/>
    <w:rsid w:val="00C7106E"/>
    <w:rsid w:val="00C84FD4"/>
    <w:rsid w:val="00C94B1B"/>
    <w:rsid w:val="00C958EE"/>
    <w:rsid w:val="00CA1515"/>
    <w:rsid w:val="00CC2E2B"/>
    <w:rsid w:val="00CD21FB"/>
    <w:rsid w:val="00CE6871"/>
    <w:rsid w:val="00CF7E14"/>
    <w:rsid w:val="00D0035C"/>
    <w:rsid w:val="00D0470C"/>
    <w:rsid w:val="00D05018"/>
    <w:rsid w:val="00D0655B"/>
    <w:rsid w:val="00D2753B"/>
    <w:rsid w:val="00D41134"/>
    <w:rsid w:val="00D423FE"/>
    <w:rsid w:val="00D442E4"/>
    <w:rsid w:val="00D45473"/>
    <w:rsid w:val="00D4799C"/>
    <w:rsid w:val="00D513DC"/>
    <w:rsid w:val="00D51D03"/>
    <w:rsid w:val="00D6666E"/>
    <w:rsid w:val="00D706B1"/>
    <w:rsid w:val="00D706BD"/>
    <w:rsid w:val="00D70DC1"/>
    <w:rsid w:val="00D72D57"/>
    <w:rsid w:val="00D76C9A"/>
    <w:rsid w:val="00D80EDC"/>
    <w:rsid w:val="00D85EC2"/>
    <w:rsid w:val="00D95EA0"/>
    <w:rsid w:val="00DA2F45"/>
    <w:rsid w:val="00DC4F14"/>
    <w:rsid w:val="00DD0E34"/>
    <w:rsid w:val="00DE52B9"/>
    <w:rsid w:val="00DE7701"/>
    <w:rsid w:val="00DF4F15"/>
    <w:rsid w:val="00E00AF4"/>
    <w:rsid w:val="00E0220D"/>
    <w:rsid w:val="00E047D3"/>
    <w:rsid w:val="00E21F02"/>
    <w:rsid w:val="00E22BA5"/>
    <w:rsid w:val="00E23326"/>
    <w:rsid w:val="00E2485C"/>
    <w:rsid w:val="00E266B7"/>
    <w:rsid w:val="00E321C5"/>
    <w:rsid w:val="00E37197"/>
    <w:rsid w:val="00E42028"/>
    <w:rsid w:val="00E5772B"/>
    <w:rsid w:val="00E66FCC"/>
    <w:rsid w:val="00E67511"/>
    <w:rsid w:val="00E734CC"/>
    <w:rsid w:val="00E7565F"/>
    <w:rsid w:val="00E82D0F"/>
    <w:rsid w:val="00E950B5"/>
    <w:rsid w:val="00EA2B76"/>
    <w:rsid w:val="00EA44EA"/>
    <w:rsid w:val="00EA57BF"/>
    <w:rsid w:val="00EB7FE0"/>
    <w:rsid w:val="00EC4CEE"/>
    <w:rsid w:val="00ED62C5"/>
    <w:rsid w:val="00EE40F0"/>
    <w:rsid w:val="00EE7F6A"/>
    <w:rsid w:val="00EF175F"/>
    <w:rsid w:val="00EF31D8"/>
    <w:rsid w:val="00F05879"/>
    <w:rsid w:val="00F06F5B"/>
    <w:rsid w:val="00F115F7"/>
    <w:rsid w:val="00F22037"/>
    <w:rsid w:val="00F2485D"/>
    <w:rsid w:val="00F33926"/>
    <w:rsid w:val="00F423D9"/>
    <w:rsid w:val="00F42938"/>
    <w:rsid w:val="00F54DF7"/>
    <w:rsid w:val="00F56C5C"/>
    <w:rsid w:val="00F60C61"/>
    <w:rsid w:val="00F64B52"/>
    <w:rsid w:val="00F66881"/>
    <w:rsid w:val="00F8303D"/>
    <w:rsid w:val="00F86C53"/>
    <w:rsid w:val="00FA177C"/>
    <w:rsid w:val="00FA2940"/>
    <w:rsid w:val="00FA711A"/>
    <w:rsid w:val="00FB0EF5"/>
    <w:rsid w:val="00FB5291"/>
    <w:rsid w:val="00FB615D"/>
    <w:rsid w:val="00FB6374"/>
    <w:rsid w:val="00FD0C85"/>
    <w:rsid w:val="00FD3D4E"/>
    <w:rsid w:val="00FD583A"/>
    <w:rsid w:val="00FE2A7E"/>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698380">
      <w:bodyDiv w:val="1"/>
      <w:marLeft w:val="0"/>
      <w:marRight w:val="0"/>
      <w:marTop w:val="0"/>
      <w:marBottom w:val="0"/>
      <w:divBdr>
        <w:top w:val="none" w:sz="0" w:space="0" w:color="auto"/>
        <w:left w:val="none" w:sz="0" w:space="0" w:color="auto"/>
        <w:bottom w:val="none" w:sz="0" w:space="0" w:color="auto"/>
        <w:right w:val="none" w:sz="0" w:space="0" w:color="auto"/>
      </w:divBdr>
    </w:div>
    <w:div w:id="1144199802">
      <w:bodyDiv w:val="1"/>
      <w:marLeft w:val="0"/>
      <w:marRight w:val="0"/>
      <w:marTop w:val="0"/>
      <w:marBottom w:val="0"/>
      <w:divBdr>
        <w:top w:val="none" w:sz="0" w:space="0" w:color="auto"/>
        <w:left w:val="none" w:sz="0" w:space="0" w:color="auto"/>
        <w:bottom w:val="none" w:sz="0" w:space="0" w:color="auto"/>
        <w:right w:val="none" w:sz="0" w:space="0" w:color="auto"/>
      </w:divBdr>
    </w:div>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8" ma:contentTypeDescription="Create a new document." ma:contentTypeScope="" ma:versionID="c5e3fe85224c9ab247f2d48931da034f">
  <xsd:schema xmlns:xsd="http://www.w3.org/2001/XMLSchema" xmlns:xs="http://www.w3.org/2001/XMLSchema" xmlns:p="http://schemas.microsoft.com/office/2006/metadata/properties" xmlns:ns2="bf70374b-5ede-4d07-a6d4-3a8a64b98b0b" targetNamespace="http://schemas.microsoft.com/office/2006/metadata/properties" ma:root="true" ma:fieldsID="0bc16e4bba9fb977b648d87e3d141c4b" ns2:_="">
    <xsd:import namespace="bf70374b-5ede-4d07-a6d4-3a8a64b98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1468-049E-4BCA-9F88-6EAE6DCF2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D26EF-9949-4463-AB7F-CE9C15E43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066F3D-DBAF-4CC5-8294-B5F0F1552C90}">
  <ds:schemaRefs>
    <ds:schemaRef ds:uri="http://schemas.microsoft.com/sharepoint/v3/contenttype/forms"/>
  </ds:schemaRefs>
</ds:datastoreItem>
</file>

<file path=customXml/itemProps4.xml><?xml version="1.0" encoding="utf-8"?>
<ds:datastoreItem xmlns:ds="http://schemas.openxmlformats.org/officeDocument/2006/customXml" ds:itemID="{582E4B2B-57B6-4031-9CFB-9C50A2D3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10</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3</cp:revision>
  <cp:lastPrinted>2019-03-08T16:58:00Z</cp:lastPrinted>
  <dcterms:created xsi:type="dcterms:W3CDTF">2019-03-18T15:58:00Z</dcterms:created>
  <dcterms:modified xsi:type="dcterms:W3CDTF">2019-03-18T20:41:00Z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