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50" w:type="dxa"/>
        <w:tblLayout w:type="fixed"/>
        <w:tblLook w:val="0000" w:firstRow="0" w:lastRow="0" w:firstColumn="0" w:lastColumn="0" w:noHBand="0" w:noVBand="0"/>
      </w:tblPr>
      <w:tblGrid>
        <w:gridCol w:w="4950"/>
        <w:gridCol w:w="4200"/>
      </w:tblGrid>
      <w:tr w:rsidR="00357F4D" w:rsidRPr="000F7A7F" w14:paraId="1F26B169" w14:textId="77777777" w:rsidTr="001949D7">
        <w:trPr>
          <w:cantSplit/>
          <w:trHeight w:val="1987"/>
        </w:trPr>
        <w:tc>
          <w:tcPr>
            <w:tcW w:w="4950" w:type="dxa"/>
          </w:tcPr>
          <w:p w14:paraId="33E53016" w14:textId="60D1F13A" w:rsidR="00B02AF3" w:rsidRDefault="00B02AF3" w:rsidP="00000C35">
            <w:pPr>
              <w:pStyle w:val="FirmInformation"/>
              <w:spacing w:line="240" w:lineRule="auto"/>
              <w:rPr>
                <w:sz w:val="28"/>
                <w:szCs w:val="28"/>
              </w:rPr>
            </w:pPr>
            <w:bookmarkStart w:id="0" w:name="_zzmpFIXED_CounselTable"/>
            <w:r>
              <w:rPr>
                <w:sz w:val="28"/>
                <w:szCs w:val="28"/>
              </w:rPr>
              <w:t xml:space="preserve">Elizabeth </w:t>
            </w:r>
            <w:r w:rsidR="001949D7">
              <w:rPr>
                <w:sz w:val="28"/>
                <w:szCs w:val="28"/>
              </w:rPr>
              <w:t xml:space="preserve">Burton </w:t>
            </w:r>
            <w:r>
              <w:rPr>
                <w:sz w:val="28"/>
                <w:szCs w:val="28"/>
              </w:rPr>
              <w:t>Ortiz</w:t>
            </w:r>
            <w:r w:rsidR="00732169">
              <w:rPr>
                <w:sz w:val="28"/>
                <w:szCs w:val="28"/>
              </w:rPr>
              <w:t xml:space="preserve">, </w:t>
            </w:r>
            <w:r>
              <w:rPr>
                <w:sz w:val="28"/>
                <w:szCs w:val="28"/>
              </w:rPr>
              <w:t>Bar No. 012838</w:t>
            </w:r>
          </w:p>
          <w:p w14:paraId="7A728113" w14:textId="77777777" w:rsidR="00000C35" w:rsidRDefault="00B02AF3" w:rsidP="00000C35">
            <w:pPr>
              <w:pStyle w:val="FirmInformation"/>
              <w:spacing w:line="240" w:lineRule="auto"/>
              <w:rPr>
                <w:sz w:val="28"/>
                <w:szCs w:val="28"/>
              </w:rPr>
            </w:pPr>
            <w:r>
              <w:rPr>
                <w:sz w:val="28"/>
                <w:szCs w:val="28"/>
              </w:rPr>
              <w:t>Executive Director</w:t>
            </w:r>
          </w:p>
          <w:p w14:paraId="597CD560" w14:textId="77777777" w:rsidR="001949D7" w:rsidRDefault="00B02AF3" w:rsidP="00000C35">
            <w:pPr>
              <w:pStyle w:val="FirmInformation"/>
              <w:spacing w:line="240" w:lineRule="auto"/>
              <w:rPr>
                <w:sz w:val="28"/>
                <w:szCs w:val="28"/>
              </w:rPr>
            </w:pPr>
            <w:r>
              <w:rPr>
                <w:sz w:val="28"/>
                <w:szCs w:val="28"/>
              </w:rPr>
              <w:t>Arizona Prosecuting Attorneys’</w:t>
            </w:r>
          </w:p>
          <w:p w14:paraId="15CEA1E0" w14:textId="7FE6D873" w:rsidR="00494BDF" w:rsidRPr="006F63FD" w:rsidRDefault="001949D7" w:rsidP="00000C35">
            <w:pPr>
              <w:pStyle w:val="FirmInformation"/>
              <w:spacing w:line="240" w:lineRule="auto"/>
              <w:rPr>
                <w:sz w:val="28"/>
                <w:szCs w:val="28"/>
              </w:rPr>
            </w:pPr>
            <w:r>
              <w:rPr>
                <w:sz w:val="28"/>
                <w:szCs w:val="28"/>
              </w:rPr>
              <w:t xml:space="preserve">   </w:t>
            </w:r>
            <w:r w:rsidR="00B02AF3">
              <w:rPr>
                <w:sz w:val="28"/>
                <w:szCs w:val="28"/>
              </w:rPr>
              <w:t xml:space="preserve"> Advisory Council</w:t>
            </w:r>
          </w:p>
          <w:p w14:paraId="3324DE79" w14:textId="77777777" w:rsidR="00357F4D" w:rsidRPr="006F63FD" w:rsidRDefault="00B02AF3" w:rsidP="00000C35">
            <w:pPr>
              <w:pStyle w:val="FirmInformation"/>
              <w:spacing w:line="240" w:lineRule="auto"/>
              <w:rPr>
                <w:sz w:val="28"/>
                <w:szCs w:val="28"/>
              </w:rPr>
            </w:pPr>
            <w:r>
              <w:rPr>
                <w:sz w:val="28"/>
                <w:szCs w:val="28"/>
              </w:rPr>
              <w:t>1951 West Camelback Road, Suite</w:t>
            </w:r>
            <w:r w:rsidR="00357F4D" w:rsidRPr="006F63FD">
              <w:rPr>
                <w:sz w:val="28"/>
                <w:szCs w:val="28"/>
              </w:rPr>
              <w:t xml:space="preserve"> </w:t>
            </w:r>
            <w:r>
              <w:rPr>
                <w:sz w:val="28"/>
                <w:szCs w:val="28"/>
              </w:rPr>
              <w:t>202</w:t>
            </w:r>
          </w:p>
          <w:p w14:paraId="2877A877" w14:textId="77777777" w:rsidR="00357F4D" w:rsidRPr="006F63FD" w:rsidRDefault="00357F4D" w:rsidP="00000C35">
            <w:pPr>
              <w:pStyle w:val="FirmInformation"/>
              <w:spacing w:line="240" w:lineRule="auto"/>
              <w:rPr>
                <w:sz w:val="28"/>
                <w:szCs w:val="28"/>
              </w:rPr>
            </w:pPr>
            <w:r w:rsidRPr="006F63FD">
              <w:rPr>
                <w:sz w:val="28"/>
                <w:szCs w:val="28"/>
              </w:rPr>
              <w:t>Phoenix, AZ  8501</w:t>
            </w:r>
            <w:r w:rsidR="00B02AF3">
              <w:rPr>
                <w:sz w:val="28"/>
                <w:szCs w:val="28"/>
              </w:rPr>
              <w:t>5</w:t>
            </w:r>
            <w:r w:rsidRPr="006F63FD">
              <w:rPr>
                <w:sz w:val="28"/>
                <w:szCs w:val="28"/>
              </w:rPr>
              <w:t>-</w:t>
            </w:r>
            <w:r w:rsidR="00B02AF3">
              <w:rPr>
                <w:sz w:val="28"/>
                <w:szCs w:val="28"/>
              </w:rPr>
              <w:t>3407</w:t>
            </w:r>
          </w:p>
          <w:p w14:paraId="1186B546" w14:textId="77777777" w:rsidR="00357F4D" w:rsidRPr="006F63FD" w:rsidRDefault="00352347" w:rsidP="00000C35">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14:paraId="77E50250" w14:textId="57DCCC3B" w:rsidR="00B02AF3" w:rsidRDefault="001949D7" w:rsidP="00735659">
            <w:pPr>
              <w:pStyle w:val="FirmInformation"/>
              <w:spacing w:line="240" w:lineRule="auto"/>
              <w:rPr>
                <w:sz w:val="28"/>
                <w:szCs w:val="28"/>
              </w:rPr>
            </w:pPr>
            <w:r>
              <w:rPr>
                <w:rStyle w:val="Hyperlink"/>
                <w:sz w:val="28"/>
                <w:szCs w:val="28"/>
              </w:rPr>
              <w:t>Elizabeth.Ortiz@apaacaz.com</w:t>
            </w:r>
          </w:p>
          <w:p w14:paraId="2796A6A2" w14:textId="77777777" w:rsidR="00B02AF3" w:rsidRPr="00735659" w:rsidRDefault="00B02AF3" w:rsidP="00735659">
            <w:pPr>
              <w:pStyle w:val="FirmInformation"/>
              <w:spacing w:line="240" w:lineRule="auto"/>
              <w:rPr>
                <w:sz w:val="28"/>
                <w:szCs w:val="28"/>
              </w:rPr>
            </w:pPr>
          </w:p>
        </w:tc>
        <w:tc>
          <w:tcPr>
            <w:tcW w:w="4200" w:type="dxa"/>
          </w:tcPr>
          <w:p w14:paraId="59835A29" w14:textId="77777777" w:rsidR="00357F4D" w:rsidRPr="000F7A7F" w:rsidRDefault="00357F4D" w:rsidP="00000C35">
            <w:pPr>
              <w:ind w:left="113" w:right="113"/>
              <w:rPr>
                <w:sz w:val="26"/>
                <w:szCs w:val="26"/>
              </w:rPr>
            </w:pPr>
          </w:p>
        </w:tc>
      </w:tr>
    </w:tbl>
    <w:bookmarkEnd w:id="0"/>
    <w:p w14:paraId="2A70CCCE"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1856143E" w14:textId="77777777" w:rsidTr="004331B2">
        <w:tc>
          <w:tcPr>
            <w:tcW w:w="4680" w:type="dxa"/>
            <w:tcBorders>
              <w:top w:val="nil"/>
              <w:bottom w:val="single" w:sz="4" w:space="0" w:color="auto"/>
              <w:right w:val="single" w:sz="4" w:space="0" w:color="auto"/>
            </w:tcBorders>
            <w:shd w:val="clear" w:color="auto" w:fill="auto"/>
          </w:tcPr>
          <w:p w14:paraId="446DD580"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44A46119" w14:textId="3B527F19"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504B1A">
              <w:rPr>
                <w:b/>
                <w:sz w:val="28"/>
                <w:szCs w:val="28"/>
              </w:rPr>
              <w:t xml:space="preserve">MODIFY RULES 5.4, </w:t>
            </w:r>
            <w:r w:rsidR="007E445B">
              <w:rPr>
                <w:b/>
                <w:sz w:val="28"/>
                <w:szCs w:val="28"/>
              </w:rPr>
              <w:t xml:space="preserve">7.2, AND 7.4, </w:t>
            </w:r>
            <w:r w:rsidR="0051273D">
              <w:rPr>
                <w:b/>
                <w:sz w:val="28"/>
                <w:szCs w:val="28"/>
              </w:rPr>
              <w:t>ARIZONA RULES OF CRIMINAL PROCEDURE</w:t>
            </w:r>
          </w:p>
          <w:p w14:paraId="712DCE80" w14:textId="77777777"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14:paraId="0557FD37" w14:textId="31965E27"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B87B69">
              <w:rPr>
                <w:sz w:val="28"/>
                <w:szCs w:val="28"/>
              </w:rPr>
              <w:t>1</w:t>
            </w:r>
            <w:r w:rsidR="00504B1A">
              <w:rPr>
                <w:sz w:val="28"/>
                <w:szCs w:val="28"/>
              </w:rPr>
              <w:t>9-0013</w:t>
            </w:r>
          </w:p>
          <w:p w14:paraId="1B99CC13" w14:textId="4DA39B90" w:rsidR="000F7A7F" w:rsidRPr="006F63FD" w:rsidRDefault="000F7A7F" w:rsidP="00D165CB">
            <w:pPr>
              <w:pStyle w:val="Caption"/>
              <w:tabs>
                <w:tab w:val="left" w:pos="1238"/>
              </w:tabs>
              <w:spacing w:line="260" w:lineRule="exact"/>
              <w:ind w:right="115"/>
              <w:jc w:val="center"/>
              <w:rPr>
                <w:b/>
                <w:sz w:val="28"/>
                <w:szCs w:val="28"/>
              </w:rPr>
            </w:pPr>
            <w:r w:rsidRPr="006F63FD">
              <w:rPr>
                <w:b/>
                <w:sz w:val="28"/>
                <w:szCs w:val="28"/>
              </w:rPr>
              <w:t>COMMENT OF</w:t>
            </w:r>
          </w:p>
          <w:p w14:paraId="7636A501" w14:textId="77777777"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 xml:space="preserve">THE </w:t>
            </w:r>
            <w:r w:rsidR="00B02AF3">
              <w:rPr>
                <w:b/>
                <w:sz w:val="28"/>
                <w:szCs w:val="28"/>
              </w:rPr>
              <w:t>ARIZONA PROSECUTING ATTORNEYS’ ADVISORY COUNCIL</w:t>
            </w:r>
          </w:p>
          <w:p w14:paraId="296508BB" w14:textId="77777777" w:rsidR="00357F4D" w:rsidRPr="000F7A7F" w:rsidRDefault="00357F4D" w:rsidP="00E321C5">
            <w:pPr>
              <w:pStyle w:val="DocumentTitle"/>
              <w:rPr>
                <w:szCs w:val="26"/>
              </w:rPr>
            </w:pPr>
          </w:p>
          <w:p w14:paraId="240CC108" w14:textId="77777777" w:rsidR="00357F4D" w:rsidRPr="000F7A7F" w:rsidRDefault="00357F4D" w:rsidP="00E321C5">
            <w:pPr>
              <w:pStyle w:val="Caption"/>
              <w:ind w:left="1512" w:right="115" w:hanging="1253"/>
              <w:rPr>
                <w:szCs w:val="26"/>
              </w:rPr>
            </w:pPr>
          </w:p>
        </w:tc>
      </w:tr>
      <w:bookmarkEnd w:id="1"/>
    </w:tbl>
    <w:p w14:paraId="39535B2D" w14:textId="77777777" w:rsidR="00B02AF3" w:rsidRDefault="00B02AF3" w:rsidP="00B02AF3">
      <w:pPr>
        <w:pStyle w:val="Body"/>
        <w:widowControl w:val="0"/>
        <w:spacing w:line="240" w:lineRule="auto"/>
        <w:ind w:firstLine="720"/>
        <w:jc w:val="both"/>
        <w:rPr>
          <w:sz w:val="28"/>
          <w:szCs w:val="28"/>
        </w:rPr>
      </w:pPr>
    </w:p>
    <w:p w14:paraId="4DDDA038" w14:textId="77777777" w:rsidR="00526087" w:rsidRDefault="00526087" w:rsidP="00DE52B9">
      <w:pPr>
        <w:pStyle w:val="Body"/>
        <w:widowControl w:val="0"/>
        <w:spacing w:line="240" w:lineRule="auto"/>
        <w:ind w:firstLine="0"/>
        <w:rPr>
          <w:b/>
          <w:sz w:val="28"/>
          <w:szCs w:val="28"/>
        </w:rPr>
      </w:pPr>
      <w:r w:rsidRPr="00B87B69">
        <w:rPr>
          <w:b/>
          <w:sz w:val="28"/>
          <w:szCs w:val="28"/>
        </w:rPr>
        <w:t>I.</w:t>
      </w:r>
      <w:r w:rsidRPr="00B87B69">
        <w:rPr>
          <w:b/>
          <w:sz w:val="28"/>
          <w:szCs w:val="28"/>
        </w:rPr>
        <w:tab/>
        <w:t>BACKGROU</w:t>
      </w:r>
      <w:r>
        <w:rPr>
          <w:b/>
          <w:sz w:val="28"/>
          <w:szCs w:val="28"/>
        </w:rPr>
        <w:t>ND OF PETITION</w:t>
      </w:r>
    </w:p>
    <w:p w14:paraId="4A585A23" w14:textId="77777777" w:rsidR="00526087" w:rsidRDefault="00526087" w:rsidP="00526087">
      <w:pPr>
        <w:pStyle w:val="Body"/>
        <w:widowControl w:val="0"/>
        <w:spacing w:line="240" w:lineRule="auto"/>
        <w:ind w:firstLine="720"/>
        <w:rPr>
          <w:b/>
          <w:sz w:val="28"/>
          <w:szCs w:val="28"/>
        </w:rPr>
      </w:pPr>
    </w:p>
    <w:p w14:paraId="746CFD56" w14:textId="14C6ECA8" w:rsidR="00E87BCF" w:rsidRDefault="00A0595A" w:rsidP="00E87BCF">
      <w:pPr>
        <w:pStyle w:val="Body"/>
        <w:widowControl w:val="0"/>
        <w:spacing w:line="480" w:lineRule="auto"/>
        <w:ind w:firstLine="720"/>
        <w:jc w:val="both"/>
        <w:rPr>
          <w:sz w:val="28"/>
          <w:szCs w:val="28"/>
        </w:rPr>
      </w:pPr>
      <w:r>
        <w:rPr>
          <w:sz w:val="28"/>
          <w:szCs w:val="28"/>
        </w:rPr>
        <w:t xml:space="preserve">The </w:t>
      </w:r>
      <w:r w:rsidR="005328E8">
        <w:rPr>
          <w:sz w:val="28"/>
          <w:szCs w:val="28"/>
        </w:rPr>
        <w:t xml:space="preserve">Maricopa County Attorney has identified what may have been an unintended consequence of the </w:t>
      </w:r>
      <w:r w:rsidR="007D3836">
        <w:rPr>
          <w:sz w:val="28"/>
          <w:szCs w:val="28"/>
        </w:rPr>
        <w:t>revisions</w:t>
      </w:r>
      <w:r w:rsidR="005328E8">
        <w:rPr>
          <w:sz w:val="28"/>
          <w:szCs w:val="28"/>
        </w:rPr>
        <w:t xml:space="preserve"> </w:t>
      </w:r>
      <w:r w:rsidR="00D808EE">
        <w:rPr>
          <w:sz w:val="28"/>
          <w:szCs w:val="28"/>
        </w:rPr>
        <w:t>t</w:t>
      </w:r>
      <w:r w:rsidR="005328E8">
        <w:rPr>
          <w:sz w:val="28"/>
          <w:szCs w:val="28"/>
        </w:rPr>
        <w:t xml:space="preserve">o the Arizona Rules of Criminal Procedure </w:t>
      </w:r>
      <w:r w:rsidR="00F032D1">
        <w:rPr>
          <w:sz w:val="28"/>
          <w:szCs w:val="28"/>
        </w:rPr>
        <w:t xml:space="preserve"> adopted by R-17-00</w:t>
      </w:r>
      <w:r w:rsidR="00DD480C">
        <w:rPr>
          <w:sz w:val="28"/>
          <w:szCs w:val="28"/>
        </w:rPr>
        <w:t>15</w:t>
      </w:r>
      <w:r w:rsidR="00F032D1">
        <w:rPr>
          <w:sz w:val="28"/>
          <w:szCs w:val="28"/>
        </w:rPr>
        <w:t xml:space="preserve">, effective </w:t>
      </w:r>
      <w:r w:rsidR="00DD480C">
        <w:rPr>
          <w:sz w:val="28"/>
          <w:szCs w:val="28"/>
        </w:rPr>
        <w:t>April 2, 2018</w:t>
      </w:r>
      <w:r w:rsidR="00F032D1">
        <w:rPr>
          <w:sz w:val="28"/>
          <w:szCs w:val="28"/>
        </w:rPr>
        <w:t xml:space="preserve">.  </w:t>
      </w:r>
      <w:r w:rsidR="00F65B6B">
        <w:rPr>
          <w:sz w:val="28"/>
          <w:szCs w:val="28"/>
        </w:rPr>
        <w:t>To address this consequence</w:t>
      </w:r>
      <w:r w:rsidR="00264B7E">
        <w:rPr>
          <w:sz w:val="28"/>
          <w:szCs w:val="28"/>
        </w:rPr>
        <w:t>,</w:t>
      </w:r>
      <w:r w:rsidR="00F65B6B">
        <w:rPr>
          <w:sz w:val="28"/>
          <w:szCs w:val="28"/>
        </w:rPr>
        <w:t xml:space="preserve"> the Maricopa County Attorney has filed a petition to amend </w:t>
      </w:r>
      <w:r w:rsidR="00D808EE">
        <w:rPr>
          <w:sz w:val="28"/>
          <w:szCs w:val="28"/>
        </w:rPr>
        <w:t>R</w:t>
      </w:r>
      <w:r w:rsidR="00F65B6B">
        <w:rPr>
          <w:sz w:val="28"/>
          <w:szCs w:val="28"/>
        </w:rPr>
        <w:t xml:space="preserve">ules 5.4(a), 7.2(b), and 7.4(b)(3).  </w:t>
      </w:r>
      <w:r w:rsidR="006A0AFF">
        <w:rPr>
          <w:sz w:val="28"/>
          <w:szCs w:val="28"/>
        </w:rPr>
        <w:t xml:space="preserve">The effect of these amendments would be </w:t>
      </w:r>
      <w:r w:rsidR="00A42BE2">
        <w:rPr>
          <w:sz w:val="28"/>
          <w:szCs w:val="28"/>
        </w:rPr>
        <w:t xml:space="preserve">to </w:t>
      </w:r>
      <w:r w:rsidR="006A0AFF">
        <w:rPr>
          <w:sz w:val="28"/>
          <w:szCs w:val="28"/>
        </w:rPr>
        <w:t xml:space="preserve">reduce the duplication of </w:t>
      </w:r>
      <w:r w:rsidR="00264B7E">
        <w:rPr>
          <w:sz w:val="28"/>
          <w:szCs w:val="28"/>
        </w:rPr>
        <w:t xml:space="preserve">efforts in holding </w:t>
      </w:r>
      <w:r w:rsidR="006A0AFF">
        <w:rPr>
          <w:sz w:val="28"/>
          <w:szCs w:val="28"/>
        </w:rPr>
        <w:t>identical hearings</w:t>
      </w:r>
      <w:r w:rsidR="00D808EE">
        <w:rPr>
          <w:sz w:val="28"/>
          <w:szCs w:val="28"/>
        </w:rPr>
        <w:t>,</w:t>
      </w:r>
      <w:r w:rsidR="00DD480C">
        <w:rPr>
          <w:sz w:val="28"/>
          <w:szCs w:val="28"/>
        </w:rPr>
        <w:t xml:space="preserve"> </w:t>
      </w:r>
      <w:r w:rsidR="006A0AFF">
        <w:rPr>
          <w:sz w:val="28"/>
          <w:szCs w:val="28"/>
        </w:rPr>
        <w:t xml:space="preserve">currently </w:t>
      </w:r>
      <w:r w:rsidR="00DD480C">
        <w:rPr>
          <w:sz w:val="28"/>
          <w:szCs w:val="28"/>
        </w:rPr>
        <w:t xml:space="preserve">required by the </w:t>
      </w:r>
      <w:r w:rsidR="006A0AFF">
        <w:rPr>
          <w:sz w:val="28"/>
          <w:szCs w:val="28"/>
        </w:rPr>
        <w:t>exist</w:t>
      </w:r>
      <w:r w:rsidR="00DD480C">
        <w:rPr>
          <w:sz w:val="28"/>
          <w:szCs w:val="28"/>
        </w:rPr>
        <w:t>ing</w:t>
      </w:r>
      <w:r w:rsidR="006A0AFF">
        <w:rPr>
          <w:sz w:val="28"/>
          <w:szCs w:val="28"/>
        </w:rPr>
        <w:t xml:space="preserve"> rules</w:t>
      </w:r>
      <w:r w:rsidR="00A42BE2">
        <w:rPr>
          <w:sz w:val="28"/>
          <w:szCs w:val="28"/>
        </w:rPr>
        <w:t>,</w:t>
      </w:r>
      <w:r w:rsidR="00C40CF4">
        <w:rPr>
          <w:sz w:val="28"/>
          <w:szCs w:val="28"/>
        </w:rPr>
        <w:t xml:space="preserve"> within days of each other</w:t>
      </w:r>
      <w:r w:rsidR="006A0AFF">
        <w:rPr>
          <w:sz w:val="28"/>
          <w:szCs w:val="28"/>
        </w:rPr>
        <w:t xml:space="preserve">.  </w:t>
      </w:r>
      <w:r w:rsidR="00F65B6B">
        <w:rPr>
          <w:sz w:val="28"/>
          <w:szCs w:val="28"/>
        </w:rPr>
        <w:t>The Arizona Prosecuting Attorneys Advisory Council (APAAC) has considered this petition and supports it.</w:t>
      </w:r>
    </w:p>
    <w:p w14:paraId="27882E49" w14:textId="6F679932" w:rsidR="00E87BCF" w:rsidRPr="00E87BCF" w:rsidRDefault="00AB1635" w:rsidP="00E87BCF">
      <w:pPr>
        <w:pStyle w:val="Body"/>
        <w:widowControl w:val="0"/>
        <w:spacing w:line="480" w:lineRule="auto"/>
        <w:ind w:firstLine="0"/>
        <w:jc w:val="both"/>
        <w:rPr>
          <w:sz w:val="28"/>
          <w:szCs w:val="28"/>
        </w:rPr>
      </w:pPr>
      <w:r w:rsidRPr="009D7A5B">
        <w:rPr>
          <w:b/>
          <w:sz w:val="28"/>
          <w:szCs w:val="28"/>
        </w:rPr>
        <w:lastRenderedPageBreak/>
        <w:t>II.</w:t>
      </w:r>
      <w:r>
        <w:rPr>
          <w:b/>
          <w:sz w:val="28"/>
          <w:szCs w:val="28"/>
        </w:rPr>
        <w:tab/>
      </w:r>
      <w:r w:rsidRPr="009D7A5B">
        <w:rPr>
          <w:b/>
          <w:sz w:val="28"/>
          <w:szCs w:val="28"/>
        </w:rPr>
        <w:t>DISCUSSION/ANALYSIS</w:t>
      </w:r>
    </w:p>
    <w:p w14:paraId="03475E15" w14:textId="177CA0EA" w:rsidR="00E55CEE" w:rsidRDefault="00E87BCF" w:rsidP="00E87BCF">
      <w:pPr>
        <w:pStyle w:val="Body"/>
        <w:widowControl w:val="0"/>
        <w:spacing w:line="240" w:lineRule="auto"/>
        <w:ind w:firstLine="720"/>
        <w:jc w:val="both"/>
        <w:rPr>
          <w:b/>
          <w:sz w:val="28"/>
          <w:szCs w:val="28"/>
        </w:rPr>
      </w:pPr>
      <w:r>
        <w:rPr>
          <w:b/>
          <w:sz w:val="28"/>
          <w:szCs w:val="28"/>
        </w:rPr>
        <w:t>A.</w:t>
      </w:r>
      <w:r>
        <w:rPr>
          <w:b/>
          <w:sz w:val="28"/>
          <w:szCs w:val="28"/>
        </w:rPr>
        <w:tab/>
      </w:r>
      <w:r w:rsidR="00E55CEE" w:rsidRPr="00E87BCF">
        <w:rPr>
          <w:b/>
          <w:sz w:val="28"/>
          <w:szCs w:val="28"/>
        </w:rPr>
        <w:t>Bail Eligibility Determination</w:t>
      </w:r>
      <w:r>
        <w:rPr>
          <w:b/>
          <w:sz w:val="28"/>
          <w:szCs w:val="28"/>
        </w:rPr>
        <w:t xml:space="preserve"> of </w:t>
      </w:r>
      <w:r w:rsidR="00CA6C25">
        <w:rPr>
          <w:b/>
          <w:sz w:val="28"/>
          <w:szCs w:val="28"/>
        </w:rPr>
        <w:t>“</w:t>
      </w:r>
      <w:r>
        <w:rPr>
          <w:b/>
          <w:sz w:val="28"/>
          <w:szCs w:val="28"/>
        </w:rPr>
        <w:t xml:space="preserve">Proof Evident, Presumption </w:t>
      </w:r>
      <w:r>
        <w:rPr>
          <w:b/>
          <w:sz w:val="28"/>
          <w:szCs w:val="28"/>
        </w:rPr>
        <w:tab/>
      </w:r>
      <w:r>
        <w:rPr>
          <w:b/>
          <w:sz w:val="28"/>
          <w:szCs w:val="28"/>
        </w:rPr>
        <w:tab/>
      </w:r>
      <w:r>
        <w:rPr>
          <w:b/>
          <w:sz w:val="28"/>
          <w:szCs w:val="28"/>
        </w:rPr>
        <w:tab/>
        <w:t>Great</w:t>
      </w:r>
      <w:r w:rsidR="00CA6C25">
        <w:rPr>
          <w:b/>
          <w:sz w:val="28"/>
          <w:szCs w:val="28"/>
        </w:rPr>
        <w:t>”</w:t>
      </w:r>
      <w:r>
        <w:rPr>
          <w:b/>
          <w:sz w:val="28"/>
          <w:szCs w:val="28"/>
        </w:rPr>
        <w:t xml:space="preserve"> is Sufficient to Support Probable Cause.</w:t>
      </w:r>
    </w:p>
    <w:p w14:paraId="2D3D8808" w14:textId="77777777" w:rsidR="00E87BCF" w:rsidRPr="00E87BCF" w:rsidRDefault="00E87BCF" w:rsidP="00E87BCF">
      <w:pPr>
        <w:pStyle w:val="Body"/>
        <w:widowControl w:val="0"/>
        <w:spacing w:line="240" w:lineRule="auto"/>
        <w:ind w:firstLine="720"/>
        <w:jc w:val="both"/>
        <w:rPr>
          <w:b/>
          <w:sz w:val="28"/>
          <w:szCs w:val="28"/>
        </w:rPr>
      </w:pPr>
    </w:p>
    <w:p w14:paraId="5A5D9516" w14:textId="28A43675" w:rsidR="008172B1" w:rsidRDefault="004972F3" w:rsidP="00336E01">
      <w:pPr>
        <w:pStyle w:val="Body"/>
        <w:widowControl w:val="0"/>
        <w:spacing w:line="480" w:lineRule="auto"/>
        <w:ind w:firstLine="720"/>
        <w:jc w:val="both"/>
        <w:rPr>
          <w:sz w:val="28"/>
          <w:szCs w:val="28"/>
        </w:rPr>
      </w:pPr>
      <w:r>
        <w:rPr>
          <w:sz w:val="28"/>
          <w:szCs w:val="28"/>
        </w:rPr>
        <w:t xml:space="preserve">For those defendants charged with an offense that is not eligible for bail, a </w:t>
      </w:r>
      <w:r w:rsidR="00D770D6">
        <w:rPr>
          <w:sz w:val="28"/>
          <w:szCs w:val="28"/>
        </w:rPr>
        <w:t>bail eligibility hearing must be conducted within seven days of the initial appearance.  Ariz. R. Crim. P. 7.2(b)</w:t>
      </w:r>
      <w:r w:rsidR="00120C0E">
        <w:rPr>
          <w:sz w:val="28"/>
          <w:szCs w:val="28"/>
        </w:rPr>
        <w:t xml:space="preserve">(4)(B).  At this hearing, the </w:t>
      </w:r>
      <w:r>
        <w:rPr>
          <w:sz w:val="28"/>
          <w:szCs w:val="28"/>
        </w:rPr>
        <w:t xml:space="preserve">court must </w:t>
      </w:r>
      <w:proofErr w:type="gramStart"/>
      <w:r>
        <w:rPr>
          <w:sz w:val="28"/>
          <w:szCs w:val="28"/>
        </w:rPr>
        <w:t>make a determination</w:t>
      </w:r>
      <w:proofErr w:type="gramEnd"/>
      <w:r>
        <w:rPr>
          <w:sz w:val="28"/>
          <w:szCs w:val="28"/>
        </w:rPr>
        <w:t xml:space="preserve"> </w:t>
      </w:r>
      <w:r w:rsidR="00DD480C">
        <w:rPr>
          <w:sz w:val="28"/>
          <w:szCs w:val="28"/>
        </w:rPr>
        <w:t>that</w:t>
      </w:r>
      <w:r>
        <w:rPr>
          <w:sz w:val="28"/>
          <w:szCs w:val="28"/>
        </w:rPr>
        <w:t xml:space="preserve"> “</w:t>
      </w:r>
      <w:r w:rsidR="00D808EE">
        <w:rPr>
          <w:sz w:val="28"/>
          <w:szCs w:val="28"/>
        </w:rPr>
        <w:t xml:space="preserve">the </w:t>
      </w:r>
      <w:r>
        <w:rPr>
          <w:sz w:val="28"/>
          <w:szCs w:val="28"/>
        </w:rPr>
        <w:t xml:space="preserve">proof </w:t>
      </w:r>
      <w:r w:rsidR="00522758">
        <w:rPr>
          <w:sz w:val="28"/>
          <w:szCs w:val="28"/>
        </w:rPr>
        <w:t xml:space="preserve">is </w:t>
      </w:r>
      <w:r>
        <w:rPr>
          <w:sz w:val="28"/>
          <w:szCs w:val="28"/>
        </w:rPr>
        <w:t xml:space="preserve">evident or </w:t>
      </w:r>
      <w:r w:rsidR="00522758">
        <w:rPr>
          <w:sz w:val="28"/>
          <w:szCs w:val="28"/>
        </w:rPr>
        <w:t xml:space="preserve">the </w:t>
      </w:r>
      <w:r>
        <w:rPr>
          <w:sz w:val="28"/>
          <w:szCs w:val="28"/>
        </w:rPr>
        <w:t xml:space="preserve">presumption great” </w:t>
      </w:r>
      <w:r w:rsidR="00120C0E">
        <w:rPr>
          <w:sz w:val="28"/>
          <w:szCs w:val="28"/>
        </w:rPr>
        <w:t>that the defendant committed the charged offense(s).</w:t>
      </w:r>
      <w:r w:rsidR="006A0AFF">
        <w:rPr>
          <w:sz w:val="28"/>
          <w:szCs w:val="28"/>
        </w:rPr>
        <w:t xml:space="preserve"> </w:t>
      </w:r>
      <w:r w:rsidR="00CA6C25">
        <w:rPr>
          <w:sz w:val="28"/>
          <w:szCs w:val="28"/>
        </w:rPr>
        <w:t xml:space="preserve"> </w:t>
      </w:r>
      <w:r w:rsidR="006A0AFF">
        <w:rPr>
          <w:sz w:val="28"/>
          <w:szCs w:val="28"/>
        </w:rPr>
        <w:t>Rules 7.2(b)(1)</w:t>
      </w:r>
      <w:r>
        <w:rPr>
          <w:sz w:val="28"/>
          <w:szCs w:val="28"/>
        </w:rPr>
        <w:t xml:space="preserve">, </w:t>
      </w:r>
      <w:r w:rsidR="00120C0E">
        <w:rPr>
          <w:sz w:val="28"/>
          <w:szCs w:val="28"/>
        </w:rPr>
        <w:t>(b)</w:t>
      </w:r>
      <w:r>
        <w:rPr>
          <w:sz w:val="28"/>
          <w:szCs w:val="28"/>
        </w:rPr>
        <w:t>(2)</w:t>
      </w:r>
      <w:r w:rsidR="00120C0E">
        <w:rPr>
          <w:sz w:val="28"/>
          <w:szCs w:val="28"/>
        </w:rPr>
        <w:t>(A)</w:t>
      </w:r>
      <w:r w:rsidR="006A0AFF">
        <w:rPr>
          <w:sz w:val="28"/>
          <w:szCs w:val="28"/>
        </w:rPr>
        <w:t xml:space="preserve">.  </w:t>
      </w:r>
      <w:r w:rsidR="00120C0E">
        <w:rPr>
          <w:sz w:val="28"/>
          <w:szCs w:val="28"/>
        </w:rPr>
        <w:t>If the court does not find “</w:t>
      </w:r>
      <w:r w:rsidR="00D808EE">
        <w:rPr>
          <w:sz w:val="28"/>
          <w:szCs w:val="28"/>
        </w:rPr>
        <w:t xml:space="preserve">the </w:t>
      </w:r>
      <w:r w:rsidR="00120C0E">
        <w:rPr>
          <w:sz w:val="28"/>
          <w:szCs w:val="28"/>
        </w:rPr>
        <w:t xml:space="preserve">proof </w:t>
      </w:r>
      <w:r w:rsidR="008172B1">
        <w:rPr>
          <w:sz w:val="28"/>
          <w:szCs w:val="28"/>
        </w:rPr>
        <w:t xml:space="preserve">is </w:t>
      </w:r>
      <w:r w:rsidR="00120C0E">
        <w:rPr>
          <w:sz w:val="28"/>
          <w:szCs w:val="28"/>
        </w:rPr>
        <w:t xml:space="preserve">evident or </w:t>
      </w:r>
      <w:r w:rsidR="00522758">
        <w:rPr>
          <w:sz w:val="28"/>
          <w:szCs w:val="28"/>
        </w:rPr>
        <w:t xml:space="preserve">the </w:t>
      </w:r>
      <w:r w:rsidR="00120C0E">
        <w:rPr>
          <w:sz w:val="28"/>
          <w:szCs w:val="28"/>
        </w:rPr>
        <w:t xml:space="preserve">presumption great,” it must </w:t>
      </w:r>
      <w:r w:rsidR="00D808EE">
        <w:rPr>
          <w:sz w:val="28"/>
          <w:szCs w:val="28"/>
        </w:rPr>
        <w:t xml:space="preserve">then </w:t>
      </w:r>
      <w:r w:rsidR="00120C0E">
        <w:rPr>
          <w:sz w:val="28"/>
          <w:szCs w:val="28"/>
        </w:rPr>
        <w:t>determine whether there is probable cause to believe that an offense was committed, and by the defendant.  Rule 7.2(b)(4)(C).</w:t>
      </w:r>
      <w:r w:rsidR="00D808EE">
        <w:rPr>
          <w:sz w:val="28"/>
          <w:szCs w:val="28"/>
        </w:rPr>
        <w:t xml:space="preserve">  The parties may, but are not required to, stipulate that a probable cause determination at the bail eligibility hearing satisfies the requirements of Rule 5 (“Preliminary Hearing”).  Id.</w:t>
      </w:r>
    </w:p>
    <w:p w14:paraId="5A40F91C" w14:textId="3ECF03BC" w:rsidR="00F65B6B" w:rsidRDefault="00D808EE" w:rsidP="00336E01">
      <w:pPr>
        <w:pStyle w:val="Body"/>
        <w:widowControl w:val="0"/>
        <w:spacing w:line="480" w:lineRule="auto"/>
        <w:ind w:firstLine="720"/>
        <w:jc w:val="both"/>
        <w:rPr>
          <w:sz w:val="28"/>
          <w:szCs w:val="28"/>
        </w:rPr>
      </w:pPr>
      <w:r>
        <w:rPr>
          <w:sz w:val="28"/>
          <w:szCs w:val="28"/>
        </w:rPr>
        <w:t xml:space="preserve">Under Rule 5, a defendant held in custody has the right to a preliminary hearing within 10 days of the initial appearance.  Rule 5.1(a).  If the court does not make a probable cause determination at the bail eligibility hearing, or </w:t>
      </w:r>
      <w:r w:rsidR="00DA398A">
        <w:rPr>
          <w:sz w:val="28"/>
          <w:szCs w:val="28"/>
        </w:rPr>
        <w:t xml:space="preserve">the </w:t>
      </w:r>
      <w:r>
        <w:rPr>
          <w:sz w:val="28"/>
          <w:szCs w:val="28"/>
        </w:rPr>
        <w:t xml:space="preserve">parties have not stipulated that a probable cause determination at the bail eligibility hearing satisfies the requirements of Rule 5, the court must </w:t>
      </w:r>
      <w:r w:rsidR="00C40CF4">
        <w:rPr>
          <w:sz w:val="28"/>
          <w:szCs w:val="28"/>
        </w:rPr>
        <w:t xml:space="preserve">then </w:t>
      </w:r>
      <w:r>
        <w:rPr>
          <w:sz w:val="28"/>
          <w:szCs w:val="28"/>
        </w:rPr>
        <w:t>schedule a preliminary hearing.  Rule 7.2(b)(4)(C).</w:t>
      </w:r>
      <w:r w:rsidR="00F65B6B">
        <w:rPr>
          <w:sz w:val="28"/>
          <w:szCs w:val="28"/>
        </w:rPr>
        <w:t xml:space="preserve"> </w:t>
      </w:r>
      <w:r>
        <w:rPr>
          <w:sz w:val="28"/>
          <w:szCs w:val="28"/>
        </w:rPr>
        <w:t xml:space="preserve"> In effect, a </w:t>
      </w:r>
      <w:r w:rsidRPr="00D808EE">
        <w:rPr>
          <w:i/>
          <w:sz w:val="28"/>
          <w:szCs w:val="28"/>
        </w:rPr>
        <w:t>second</w:t>
      </w:r>
      <w:r>
        <w:rPr>
          <w:sz w:val="28"/>
          <w:szCs w:val="28"/>
        </w:rPr>
        <w:t xml:space="preserve"> evidentiary hearing</w:t>
      </w:r>
      <w:r w:rsidR="00DA398A">
        <w:rPr>
          <w:sz w:val="28"/>
          <w:szCs w:val="28"/>
        </w:rPr>
        <w:t>,</w:t>
      </w:r>
      <w:r>
        <w:rPr>
          <w:sz w:val="28"/>
          <w:szCs w:val="28"/>
        </w:rPr>
        <w:t xml:space="preserve"> addressing identical issues </w:t>
      </w:r>
      <w:r w:rsidR="00DA398A">
        <w:rPr>
          <w:sz w:val="28"/>
          <w:szCs w:val="28"/>
        </w:rPr>
        <w:t xml:space="preserve">as the bail eligibility hearing, </w:t>
      </w:r>
      <w:r w:rsidR="003B3AB7">
        <w:rPr>
          <w:sz w:val="28"/>
          <w:szCs w:val="28"/>
        </w:rPr>
        <w:t xml:space="preserve">must be held within days of </w:t>
      </w:r>
      <w:r>
        <w:rPr>
          <w:sz w:val="28"/>
          <w:szCs w:val="28"/>
        </w:rPr>
        <w:t xml:space="preserve">the bail </w:t>
      </w:r>
      <w:r>
        <w:rPr>
          <w:sz w:val="28"/>
          <w:szCs w:val="28"/>
        </w:rPr>
        <w:lastRenderedPageBreak/>
        <w:t>eligibility hearing</w:t>
      </w:r>
      <w:r w:rsidR="003B3AB7">
        <w:rPr>
          <w:sz w:val="28"/>
          <w:szCs w:val="28"/>
        </w:rPr>
        <w:t xml:space="preserve">.  </w:t>
      </w:r>
      <w:r w:rsidR="00F65B6B">
        <w:rPr>
          <w:sz w:val="28"/>
          <w:szCs w:val="28"/>
        </w:rPr>
        <w:t>The effect of these rules creates a duplication of efforts on the part of the court, the parties, and law enforcement in holding separate</w:t>
      </w:r>
      <w:r w:rsidR="00DA398A">
        <w:rPr>
          <w:sz w:val="28"/>
          <w:szCs w:val="28"/>
        </w:rPr>
        <w:t xml:space="preserve"> but identical</w:t>
      </w:r>
      <w:r w:rsidR="00F65B6B">
        <w:rPr>
          <w:sz w:val="28"/>
          <w:szCs w:val="28"/>
        </w:rPr>
        <w:t xml:space="preserve"> hearings </w:t>
      </w:r>
      <w:r w:rsidR="00C40CF4">
        <w:rPr>
          <w:sz w:val="28"/>
          <w:szCs w:val="28"/>
        </w:rPr>
        <w:t xml:space="preserve">addressing the same issues </w:t>
      </w:r>
      <w:r w:rsidR="00F65B6B">
        <w:rPr>
          <w:sz w:val="28"/>
          <w:szCs w:val="28"/>
        </w:rPr>
        <w:t>within days of each other.</w:t>
      </w:r>
    </w:p>
    <w:p w14:paraId="6B486E3D" w14:textId="6D77D965" w:rsidR="00F65B6B" w:rsidRDefault="00C40CF4" w:rsidP="00336E01">
      <w:pPr>
        <w:pStyle w:val="Body"/>
        <w:widowControl w:val="0"/>
        <w:spacing w:line="480" w:lineRule="auto"/>
        <w:ind w:firstLine="720"/>
        <w:jc w:val="both"/>
        <w:rPr>
          <w:sz w:val="28"/>
          <w:szCs w:val="28"/>
        </w:rPr>
      </w:pPr>
      <w:r>
        <w:rPr>
          <w:sz w:val="28"/>
          <w:szCs w:val="28"/>
        </w:rPr>
        <w:t>Petitioner</w:t>
      </w:r>
      <w:r w:rsidR="003C4E7F">
        <w:rPr>
          <w:sz w:val="28"/>
          <w:szCs w:val="28"/>
        </w:rPr>
        <w:t xml:space="preserve"> submits that a determination of “the proof is evident or the presumption great” is the equivalent o</w:t>
      </w:r>
      <w:r>
        <w:rPr>
          <w:sz w:val="28"/>
          <w:szCs w:val="28"/>
        </w:rPr>
        <w:t>f</w:t>
      </w:r>
      <w:r w:rsidR="003C4E7F">
        <w:rPr>
          <w:sz w:val="28"/>
          <w:szCs w:val="28"/>
        </w:rPr>
        <w:t xml:space="preserve"> a probable cause determination.  Therefore, Petitioner </w:t>
      </w:r>
      <w:r w:rsidR="00F65B6B">
        <w:rPr>
          <w:sz w:val="28"/>
          <w:szCs w:val="28"/>
        </w:rPr>
        <w:t>has proposed</w:t>
      </w:r>
      <w:r w:rsidR="004972F3">
        <w:rPr>
          <w:sz w:val="28"/>
          <w:szCs w:val="28"/>
        </w:rPr>
        <w:t xml:space="preserve"> amendments to Rules 5.4(a), 7.2(b), and 7.4(b)(3) which will eliminate th</w:t>
      </w:r>
      <w:r w:rsidR="003C4E7F">
        <w:rPr>
          <w:sz w:val="28"/>
          <w:szCs w:val="28"/>
        </w:rPr>
        <w:t>e</w:t>
      </w:r>
      <w:r w:rsidR="004972F3">
        <w:rPr>
          <w:sz w:val="28"/>
          <w:szCs w:val="28"/>
        </w:rPr>
        <w:t xml:space="preserve"> duplication of efforts</w:t>
      </w:r>
      <w:r w:rsidR="003C4E7F">
        <w:rPr>
          <w:sz w:val="28"/>
          <w:szCs w:val="28"/>
        </w:rPr>
        <w:t xml:space="preserve"> </w:t>
      </w:r>
      <w:r>
        <w:rPr>
          <w:sz w:val="28"/>
          <w:szCs w:val="28"/>
        </w:rPr>
        <w:t>from</w:t>
      </w:r>
      <w:r w:rsidR="003C4E7F">
        <w:rPr>
          <w:sz w:val="28"/>
          <w:szCs w:val="28"/>
        </w:rPr>
        <w:t xml:space="preserve"> hearings held within days of each other</w:t>
      </w:r>
      <w:r w:rsidR="004972F3">
        <w:rPr>
          <w:sz w:val="28"/>
          <w:szCs w:val="28"/>
        </w:rPr>
        <w:t xml:space="preserve"> and</w:t>
      </w:r>
      <w:r>
        <w:rPr>
          <w:sz w:val="28"/>
          <w:szCs w:val="28"/>
        </w:rPr>
        <w:t xml:space="preserve"> will</w:t>
      </w:r>
      <w:r w:rsidR="004972F3">
        <w:rPr>
          <w:sz w:val="28"/>
          <w:szCs w:val="28"/>
        </w:rPr>
        <w:t xml:space="preserve"> save time and expense</w:t>
      </w:r>
      <w:r>
        <w:rPr>
          <w:sz w:val="28"/>
          <w:szCs w:val="28"/>
        </w:rPr>
        <w:t xml:space="preserve"> without any negative impact on a defendant’s rights</w:t>
      </w:r>
      <w:r w:rsidR="004972F3">
        <w:rPr>
          <w:sz w:val="28"/>
          <w:szCs w:val="28"/>
        </w:rPr>
        <w:t>.</w:t>
      </w:r>
    </w:p>
    <w:p w14:paraId="0D956D70" w14:textId="19B25F2D" w:rsidR="008172B1" w:rsidRDefault="008172B1" w:rsidP="00522758">
      <w:pPr>
        <w:pStyle w:val="Body"/>
        <w:widowControl w:val="0"/>
        <w:spacing w:line="480" w:lineRule="auto"/>
        <w:ind w:firstLine="720"/>
        <w:jc w:val="both"/>
        <w:rPr>
          <w:sz w:val="28"/>
          <w:szCs w:val="28"/>
        </w:rPr>
      </w:pPr>
      <w:r>
        <w:rPr>
          <w:sz w:val="28"/>
          <w:szCs w:val="28"/>
        </w:rPr>
        <w:t xml:space="preserve">The meaning of the phrase “proof </w:t>
      </w:r>
      <w:r w:rsidR="00522758">
        <w:rPr>
          <w:sz w:val="28"/>
          <w:szCs w:val="28"/>
        </w:rPr>
        <w:t xml:space="preserve">is </w:t>
      </w:r>
      <w:r>
        <w:rPr>
          <w:sz w:val="28"/>
          <w:szCs w:val="28"/>
        </w:rPr>
        <w:t xml:space="preserve">evident or </w:t>
      </w:r>
      <w:r w:rsidR="00522758">
        <w:rPr>
          <w:sz w:val="28"/>
          <w:szCs w:val="28"/>
        </w:rPr>
        <w:t xml:space="preserve">the </w:t>
      </w:r>
      <w:r>
        <w:rPr>
          <w:sz w:val="28"/>
          <w:szCs w:val="28"/>
        </w:rPr>
        <w:t xml:space="preserve">presumption great” is not defined by Arizona </w:t>
      </w:r>
      <w:r w:rsidR="003C4E7F">
        <w:rPr>
          <w:sz w:val="28"/>
          <w:szCs w:val="28"/>
        </w:rPr>
        <w:t>statutes</w:t>
      </w:r>
      <w:r>
        <w:rPr>
          <w:sz w:val="28"/>
          <w:szCs w:val="28"/>
        </w:rPr>
        <w:t xml:space="preserve">.  </w:t>
      </w:r>
      <w:r w:rsidRPr="00DD480C">
        <w:rPr>
          <w:i/>
          <w:sz w:val="28"/>
          <w:szCs w:val="28"/>
        </w:rPr>
        <w:t>Simpson v. Owens</w:t>
      </w:r>
      <w:r w:rsidR="00732ED8" w:rsidRPr="00DD480C">
        <w:rPr>
          <w:i/>
          <w:sz w:val="28"/>
          <w:szCs w:val="28"/>
        </w:rPr>
        <w:t xml:space="preserve"> (Simpson I)</w:t>
      </w:r>
      <w:r>
        <w:rPr>
          <w:sz w:val="28"/>
          <w:szCs w:val="28"/>
        </w:rPr>
        <w:t>, 207 Ariz. 261</w:t>
      </w:r>
      <w:r w:rsidR="003C4E7F">
        <w:rPr>
          <w:sz w:val="28"/>
          <w:szCs w:val="28"/>
        </w:rPr>
        <w:t>, 270, ¶ 28</w:t>
      </w:r>
      <w:r>
        <w:rPr>
          <w:sz w:val="28"/>
          <w:szCs w:val="28"/>
        </w:rPr>
        <w:t xml:space="preserve"> (App. 2004).  However, </w:t>
      </w:r>
      <w:r w:rsidR="003C4E7F">
        <w:rPr>
          <w:sz w:val="28"/>
          <w:szCs w:val="28"/>
        </w:rPr>
        <w:t>the meaning</w:t>
      </w:r>
      <w:r w:rsidR="00C40CF4">
        <w:rPr>
          <w:sz w:val="28"/>
          <w:szCs w:val="28"/>
        </w:rPr>
        <w:t xml:space="preserve"> of the phrase</w:t>
      </w:r>
      <w:r w:rsidR="003C4E7F">
        <w:rPr>
          <w:sz w:val="28"/>
          <w:szCs w:val="28"/>
        </w:rPr>
        <w:t xml:space="preserve"> “is explained in the case law of Arizona and other states.”  </w:t>
      </w:r>
      <w:r w:rsidR="003C4E7F" w:rsidRPr="003C4E7F">
        <w:rPr>
          <w:i/>
          <w:sz w:val="28"/>
          <w:szCs w:val="28"/>
        </w:rPr>
        <w:t>Id</w:t>
      </w:r>
      <w:r w:rsidR="003C4E7F">
        <w:rPr>
          <w:sz w:val="28"/>
          <w:szCs w:val="28"/>
        </w:rPr>
        <w:t>.  I</w:t>
      </w:r>
      <w:r w:rsidR="00522758">
        <w:rPr>
          <w:sz w:val="28"/>
          <w:szCs w:val="28"/>
        </w:rPr>
        <w:t xml:space="preserve">n analyzing </w:t>
      </w:r>
      <w:r w:rsidR="00C40CF4">
        <w:rPr>
          <w:sz w:val="28"/>
          <w:szCs w:val="28"/>
        </w:rPr>
        <w:t xml:space="preserve">the ‘proof evident, presumption great’ standard in </w:t>
      </w:r>
      <w:r w:rsidR="00522758">
        <w:rPr>
          <w:sz w:val="28"/>
          <w:szCs w:val="28"/>
        </w:rPr>
        <w:t xml:space="preserve">A.R.S. </w:t>
      </w:r>
      <w:r w:rsidR="00C40CF4">
        <w:rPr>
          <w:sz w:val="28"/>
          <w:szCs w:val="28"/>
        </w:rPr>
        <w:t>§</w:t>
      </w:r>
      <w:r w:rsidR="00522758">
        <w:rPr>
          <w:sz w:val="28"/>
          <w:szCs w:val="28"/>
        </w:rPr>
        <w:t xml:space="preserve"> 13-3961(A), </w:t>
      </w:r>
      <w:r w:rsidR="003C4E7F" w:rsidRPr="003C4E7F">
        <w:rPr>
          <w:i/>
          <w:sz w:val="28"/>
          <w:szCs w:val="28"/>
        </w:rPr>
        <w:t>Simpson</w:t>
      </w:r>
      <w:r w:rsidR="00C40CF4">
        <w:rPr>
          <w:i/>
          <w:sz w:val="28"/>
          <w:szCs w:val="28"/>
        </w:rPr>
        <w:t xml:space="preserve"> I</w:t>
      </w:r>
      <w:r w:rsidR="003C4E7F">
        <w:rPr>
          <w:sz w:val="28"/>
          <w:szCs w:val="28"/>
        </w:rPr>
        <w:t xml:space="preserve"> </w:t>
      </w:r>
      <w:r>
        <w:rPr>
          <w:sz w:val="28"/>
          <w:szCs w:val="28"/>
        </w:rPr>
        <w:t>reject</w:t>
      </w:r>
      <w:r w:rsidR="00522758">
        <w:rPr>
          <w:sz w:val="28"/>
          <w:szCs w:val="28"/>
        </w:rPr>
        <w:t>ed</w:t>
      </w:r>
      <w:r>
        <w:rPr>
          <w:sz w:val="28"/>
          <w:szCs w:val="28"/>
        </w:rPr>
        <w:t xml:space="preserve"> </w:t>
      </w:r>
      <w:r w:rsidR="00A42BE2">
        <w:rPr>
          <w:sz w:val="28"/>
          <w:szCs w:val="28"/>
        </w:rPr>
        <w:t>a</w:t>
      </w:r>
      <w:r>
        <w:rPr>
          <w:sz w:val="28"/>
          <w:szCs w:val="28"/>
        </w:rPr>
        <w:t xml:space="preserve"> “clear and convincing standard”</w:t>
      </w:r>
      <w:r w:rsidR="00522758">
        <w:rPr>
          <w:sz w:val="28"/>
          <w:szCs w:val="28"/>
        </w:rPr>
        <w:t xml:space="preserve"> and</w:t>
      </w:r>
      <w:r>
        <w:rPr>
          <w:sz w:val="28"/>
          <w:szCs w:val="28"/>
        </w:rPr>
        <w:t xml:space="preserve"> held </w:t>
      </w:r>
      <w:r w:rsidR="00522758">
        <w:rPr>
          <w:sz w:val="28"/>
          <w:szCs w:val="28"/>
        </w:rPr>
        <w:t xml:space="preserve">it </w:t>
      </w:r>
      <w:r>
        <w:rPr>
          <w:sz w:val="28"/>
          <w:szCs w:val="28"/>
        </w:rPr>
        <w:t xml:space="preserve">to </w:t>
      </w:r>
      <w:r w:rsidR="00A42BE2">
        <w:rPr>
          <w:sz w:val="28"/>
          <w:szCs w:val="28"/>
        </w:rPr>
        <w:t>have</w:t>
      </w:r>
      <w:r>
        <w:rPr>
          <w:sz w:val="28"/>
          <w:szCs w:val="28"/>
        </w:rPr>
        <w:t xml:space="preserve"> its own standard:</w:t>
      </w:r>
    </w:p>
    <w:p w14:paraId="7FE31354" w14:textId="44D74705" w:rsidR="008172B1" w:rsidRDefault="008172B1" w:rsidP="00DD480C">
      <w:pPr>
        <w:pStyle w:val="Body"/>
        <w:widowControl w:val="0"/>
        <w:spacing w:line="240" w:lineRule="auto"/>
        <w:ind w:left="720" w:right="720" w:firstLine="0"/>
        <w:jc w:val="both"/>
        <w:rPr>
          <w:sz w:val="28"/>
          <w:szCs w:val="28"/>
        </w:rPr>
      </w:pPr>
      <w:r>
        <w:rPr>
          <w:sz w:val="28"/>
          <w:szCs w:val="28"/>
        </w:rPr>
        <w:t xml:space="preserve">We conclude that the phrase “proof is evident, or presumption great” provides its own standard:  The State’s burden is met if all of the evidence, fully considered by the court, makes it plain and clear to the understanding, and satisfactory and apparent to the well-guarded, dispassionate judgment of the court that the accused committed one of the offenses enumerated in A.R.S. </w:t>
      </w:r>
      <w:r w:rsidR="00C40CF4">
        <w:rPr>
          <w:sz w:val="28"/>
          <w:szCs w:val="28"/>
        </w:rPr>
        <w:t>§</w:t>
      </w:r>
      <w:r>
        <w:rPr>
          <w:sz w:val="28"/>
          <w:szCs w:val="28"/>
        </w:rPr>
        <w:t xml:space="preserve"> 13-3961(A).  In that case, bail must be denied.  The proof must be substantial, but it need not rise to proof beyond a reasonable doubt.</w:t>
      </w:r>
    </w:p>
    <w:p w14:paraId="00AE1493" w14:textId="77777777" w:rsidR="00DD480C" w:rsidRDefault="00DD480C" w:rsidP="00DD480C">
      <w:pPr>
        <w:pStyle w:val="Body"/>
        <w:widowControl w:val="0"/>
        <w:spacing w:line="240" w:lineRule="auto"/>
        <w:ind w:left="720" w:right="720" w:firstLine="0"/>
        <w:jc w:val="both"/>
        <w:rPr>
          <w:sz w:val="28"/>
          <w:szCs w:val="28"/>
        </w:rPr>
      </w:pPr>
    </w:p>
    <w:p w14:paraId="23E9123F" w14:textId="0BE09D58" w:rsidR="008172B1" w:rsidRPr="00783B45" w:rsidRDefault="008172B1" w:rsidP="008172B1">
      <w:pPr>
        <w:pStyle w:val="Body"/>
        <w:widowControl w:val="0"/>
        <w:spacing w:line="480" w:lineRule="auto"/>
        <w:ind w:firstLine="0"/>
        <w:jc w:val="both"/>
        <w:rPr>
          <w:b/>
          <w:sz w:val="28"/>
          <w:szCs w:val="28"/>
        </w:rPr>
      </w:pPr>
      <w:r w:rsidRPr="00DD480C">
        <w:rPr>
          <w:i/>
          <w:sz w:val="28"/>
          <w:szCs w:val="28"/>
        </w:rPr>
        <w:t>Simpson</w:t>
      </w:r>
      <w:r w:rsidR="00C40CF4">
        <w:rPr>
          <w:i/>
          <w:sz w:val="28"/>
          <w:szCs w:val="28"/>
        </w:rPr>
        <w:t xml:space="preserve"> I</w:t>
      </w:r>
      <w:r>
        <w:rPr>
          <w:sz w:val="28"/>
          <w:szCs w:val="28"/>
        </w:rPr>
        <w:t>, at 274</w:t>
      </w:r>
      <w:r w:rsidR="00DD480C">
        <w:rPr>
          <w:sz w:val="28"/>
          <w:szCs w:val="28"/>
        </w:rPr>
        <w:t>, ¶</w:t>
      </w:r>
      <w:r>
        <w:rPr>
          <w:sz w:val="28"/>
          <w:szCs w:val="28"/>
        </w:rPr>
        <w:t xml:space="preserve"> 40.</w:t>
      </w:r>
      <w:r w:rsidR="00522758">
        <w:rPr>
          <w:sz w:val="28"/>
          <w:szCs w:val="28"/>
        </w:rPr>
        <w:t xml:space="preserve">  Over a decade later, the Arizona Supreme Court repeated </w:t>
      </w:r>
      <w:r w:rsidR="00522758">
        <w:rPr>
          <w:sz w:val="28"/>
          <w:szCs w:val="28"/>
        </w:rPr>
        <w:lastRenderedPageBreak/>
        <w:t xml:space="preserve">this standard, finding it to be </w:t>
      </w:r>
      <w:r w:rsidR="00CA4CBA">
        <w:rPr>
          <w:sz w:val="28"/>
          <w:szCs w:val="28"/>
        </w:rPr>
        <w:t xml:space="preserve">a </w:t>
      </w:r>
      <w:r w:rsidR="00C40CF4">
        <w:rPr>
          <w:sz w:val="28"/>
          <w:szCs w:val="28"/>
        </w:rPr>
        <w:t>substantial</w:t>
      </w:r>
      <w:r w:rsidR="00CA4CBA">
        <w:rPr>
          <w:sz w:val="28"/>
          <w:szCs w:val="28"/>
        </w:rPr>
        <w:t xml:space="preserve"> one.</w:t>
      </w:r>
      <w:r w:rsidR="00522758">
        <w:rPr>
          <w:sz w:val="28"/>
          <w:szCs w:val="28"/>
        </w:rPr>
        <w:t xml:space="preserve">  </w:t>
      </w:r>
      <w:r w:rsidR="00522758" w:rsidRPr="00E87BCF">
        <w:rPr>
          <w:i/>
          <w:sz w:val="28"/>
          <w:szCs w:val="28"/>
        </w:rPr>
        <w:t>Simpson v. Miller</w:t>
      </w:r>
      <w:r w:rsidR="00732ED8" w:rsidRPr="00E87BCF">
        <w:rPr>
          <w:i/>
          <w:sz w:val="28"/>
          <w:szCs w:val="28"/>
        </w:rPr>
        <w:t xml:space="preserve"> (Simpson II)</w:t>
      </w:r>
      <w:r w:rsidR="00522758">
        <w:rPr>
          <w:sz w:val="28"/>
          <w:szCs w:val="28"/>
        </w:rPr>
        <w:t>, 241 Ariz. 341,</w:t>
      </w:r>
      <w:r w:rsidR="00732ED8">
        <w:rPr>
          <w:sz w:val="28"/>
          <w:szCs w:val="28"/>
        </w:rPr>
        <w:t xml:space="preserve"> 346</w:t>
      </w:r>
      <w:r w:rsidR="00E87BCF">
        <w:rPr>
          <w:sz w:val="28"/>
          <w:szCs w:val="28"/>
        </w:rPr>
        <w:t>,</w:t>
      </w:r>
      <w:r w:rsidR="00522758">
        <w:rPr>
          <w:sz w:val="28"/>
          <w:szCs w:val="28"/>
        </w:rPr>
        <w:t xml:space="preserve"> </w:t>
      </w:r>
      <w:r w:rsidR="00E87BCF">
        <w:rPr>
          <w:sz w:val="28"/>
          <w:szCs w:val="28"/>
        </w:rPr>
        <w:t>¶</w:t>
      </w:r>
      <w:r w:rsidR="00522758">
        <w:rPr>
          <w:sz w:val="28"/>
          <w:szCs w:val="28"/>
        </w:rPr>
        <w:t xml:space="preserve"> </w:t>
      </w:r>
      <w:r w:rsidR="00E87BCF">
        <w:rPr>
          <w:sz w:val="28"/>
          <w:szCs w:val="28"/>
        </w:rPr>
        <w:t>1</w:t>
      </w:r>
      <w:r w:rsidR="00522758">
        <w:rPr>
          <w:sz w:val="28"/>
          <w:szCs w:val="28"/>
        </w:rPr>
        <w:t>6 (2017) (</w:t>
      </w:r>
      <w:r w:rsidR="00732ED8">
        <w:rPr>
          <w:sz w:val="28"/>
          <w:szCs w:val="28"/>
        </w:rPr>
        <w:t>“The ‘proof evident or presumption great’ standard is robust.”)</w:t>
      </w:r>
      <w:r w:rsidR="00CA4CBA">
        <w:rPr>
          <w:sz w:val="28"/>
          <w:szCs w:val="28"/>
        </w:rPr>
        <w:t xml:space="preserve">  The Court </w:t>
      </w:r>
      <w:r w:rsidR="00E87BCF">
        <w:rPr>
          <w:sz w:val="28"/>
          <w:szCs w:val="28"/>
        </w:rPr>
        <w:t>re</w:t>
      </w:r>
      <w:r w:rsidR="00CA4CBA">
        <w:rPr>
          <w:sz w:val="28"/>
          <w:szCs w:val="28"/>
        </w:rPr>
        <w:t xml:space="preserve">iterated that in such a </w:t>
      </w:r>
      <w:r w:rsidR="00E87BCF">
        <w:rPr>
          <w:sz w:val="28"/>
          <w:szCs w:val="28"/>
        </w:rPr>
        <w:t>hearing</w:t>
      </w:r>
      <w:r w:rsidR="00CA4CBA">
        <w:rPr>
          <w:sz w:val="28"/>
          <w:szCs w:val="28"/>
        </w:rPr>
        <w:t>, the defendant had the right to have counsel appointed and to cross-examine witnesses.</w:t>
      </w:r>
      <w:r w:rsidR="00E87BCF">
        <w:rPr>
          <w:sz w:val="28"/>
          <w:szCs w:val="28"/>
        </w:rPr>
        <w:t xml:space="preserve">  </w:t>
      </w:r>
      <w:r w:rsidR="00E87BCF" w:rsidRPr="00E87BCF">
        <w:rPr>
          <w:i/>
          <w:sz w:val="28"/>
          <w:szCs w:val="28"/>
        </w:rPr>
        <w:t>Id</w:t>
      </w:r>
      <w:r w:rsidR="00E87BCF">
        <w:rPr>
          <w:sz w:val="28"/>
          <w:szCs w:val="28"/>
        </w:rPr>
        <w:t>.</w:t>
      </w:r>
    </w:p>
    <w:p w14:paraId="33FDFEF4" w14:textId="73B48F10" w:rsidR="00783B45" w:rsidRDefault="00CA4CBA" w:rsidP="008172B1">
      <w:pPr>
        <w:pStyle w:val="Body"/>
        <w:widowControl w:val="0"/>
        <w:spacing w:line="480" w:lineRule="auto"/>
        <w:ind w:firstLine="0"/>
        <w:jc w:val="both"/>
        <w:rPr>
          <w:sz w:val="28"/>
          <w:szCs w:val="28"/>
        </w:rPr>
      </w:pPr>
      <w:r>
        <w:rPr>
          <w:sz w:val="28"/>
          <w:szCs w:val="28"/>
        </w:rPr>
        <w:tab/>
        <w:t>By contrast, “probable cause” is certainly something less tha</w:t>
      </w:r>
      <w:r w:rsidR="00D165CB">
        <w:rPr>
          <w:sz w:val="28"/>
          <w:szCs w:val="28"/>
        </w:rPr>
        <w:t>n</w:t>
      </w:r>
      <w:r>
        <w:rPr>
          <w:sz w:val="28"/>
          <w:szCs w:val="28"/>
        </w:rPr>
        <w:t xml:space="preserve"> proof evident or presumption great.  Probable cause exists when a person of reasonable caution would believe a crime was committed</w:t>
      </w:r>
      <w:r w:rsidR="00C052DC">
        <w:rPr>
          <w:sz w:val="28"/>
          <w:szCs w:val="28"/>
        </w:rPr>
        <w:t xml:space="preserve"> based on reasonably trustworthy information</w:t>
      </w:r>
      <w:r>
        <w:rPr>
          <w:sz w:val="28"/>
          <w:szCs w:val="28"/>
        </w:rPr>
        <w:t xml:space="preserve">; it is a practical and common-sense standard that depends on the totality of the circumstances.  </w:t>
      </w:r>
      <w:r w:rsidRPr="00E87BCF">
        <w:rPr>
          <w:i/>
          <w:sz w:val="28"/>
          <w:szCs w:val="28"/>
        </w:rPr>
        <w:t>State v. Sisco</w:t>
      </w:r>
      <w:r>
        <w:rPr>
          <w:sz w:val="28"/>
          <w:szCs w:val="28"/>
        </w:rPr>
        <w:t xml:space="preserve">, 239 Ariz. 532, 535, </w:t>
      </w:r>
      <w:r w:rsidR="00E87BCF">
        <w:rPr>
          <w:sz w:val="28"/>
          <w:szCs w:val="28"/>
        </w:rPr>
        <w:t>¶</w:t>
      </w:r>
      <w:r>
        <w:rPr>
          <w:sz w:val="28"/>
          <w:szCs w:val="28"/>
        </w:rPr>
        <w:t xml:space="preserve"> 8 (2016)</w:t>
      </w:r>
      <w:r w:rsidR="00C052DC">
        <w:rPr>
          <w:sz w:val="28"/>
          <w:szCs w:val="28"/>
        </w:rPr>
        <w:t xml:space="preserve">; </w:t>
      </w:r>
      <w:r w:rsidR="00C052DC" w:rsidRPr="00E87BCF">
        <w:rPr>
          <w:i/>
          <w:sz w:val="28"/>
          <w:szCs w:val="28"/>
        </w:rPr>
        <w:t>State v. Hoskins</w:t>
      </w:r>
      <w:r w:rsidR="00C052DC">
        <w:rPr>
          <w:sz w:val="28"/>
          <w:szCs w:val="28"/>
        </w:rPr>
        <w:t xml:space="preserve">, 199 Ariz. 127, 137-38, </w:t>
      </w:r>
      <w:r w:rsidR="00A42BE2">
        <w:rPr>
          <w:sz w:val="28"/>
          <w:szCs w:val="28"/>
        </w:rPr>
        <w:t>¶</w:t>
      </w:r>
      <w:r w:rsidR="00C052DC">
        <w:rPr>
          <w:sz w:val="28"/>
          <w:szCs w:val="28"/>
        </w:rPr>
        <w:t xml:space="preserve"> 30 (2000).  </w:t>
      </w:r>
      <w:r w:rsidR="00783B45">
        <w:rPr>
          <w:sz w:val="28"/>
          <w:szCs w:val="28"/>
        </w:rPr>
        <w:t>For a finding of probable cause, a</w:t>
      </w:r>
      <w:r w:rsidR="00C052DC">
        <w:rPr>
          <w:sz w:val="28"/>
          <w:szCs w:val="28"/>
        </w:rPr>
        <w:t xml:space="preserve"> magistrate must find that there exists “such a state of facts as would lead a man of ordinary caution or prudence to believe, and conscientiously entertain a strong suspicion of the guilt of the accused.”  </w:t>
      </w:r>
      <w:proofErr w:type="spellStart"/>
      <w:r w:rsidR="00C052DC" w:rsidRPr="00E87BCF">
        <w:rPr>
          <w:i/>
          <w:sz w:val="28"/>
          <w:szCs w:val="28"/>
        </w:rPr>
        <w:t>Hafenstein</w:t>
      </w:r>
      <w:proofErr w:type="spellEnd"/>
      <w:r w:rsidR="00C052DC" w:rsidRPr="00E87BCF">
        <w:rPr>
          <w:i/>
          <w:sz w:val="28"/>
          <w:szCs w:val="28"/>
        </w:rPr>
        <w:t xml:space="preserve"> v. Burr</w:t>
      </w:r>
      <w:r w:rsidR="00C052DC">
        <w:rPr>
          <w:sz w:val="28"/>
          <w:szCs w:val="28"/>
        </w:rPr>
        <w:t>, 92 Ariz. 321</w:t>
      </w:r>
      <w:r w:rsidR="00783B45">
        <w:rPr>
          <w:sz w:val="28"/>
          <w:szCs w:val="28"/>
        </w:rPr>
        <w:t xml:space="preserve">, 322 (1962), </w:t>
      </w:r>
      <w:r w:rsidR="00783B45" w:rsidRPr="00E87BCF">
        <w:rPr>
          <w:i/>
          <w:sz w:val="28"/>
          <w:szCs w:val="28"/>
        </w:rPr>
        <w:t xml:space="preserve">quoting Dodd v. </w:t>
      </w:r>
      <w:proofErr w:type="spellStart"/>
      <w:r w:rsidR="00783B45" w:rsidRPr="00E87BCF">
        <w:rPr>
          <w:i/>
          <w:sz w:val="28"/>
          <w:szCs w:val="28"/>
        </w:rPr>
        <w:t>Boies</w:t>
      </w:r>
      <w:proofErr w:type="spellEnd"/>
      <w:r w:rsidR="00783B45">
        <w:rPr>
          <w:sz w:val="28"/>
          <w:szCs w:val="28"/>
        </w:rPr>
        <w:t>, 88 Ariz. 401, 357 P.2d 144, 146.</w:t>
      </w:r>
      <w:r w:rsidR="00C40CF4">
        <w:rPr>
          <w:sz w:val="28"/>
          <w:szCs w:val="28"/>
        </w:rPr>
        <w:t xml:space="preserve">  This is something less than the “substantial” proof, not rising to proof beyond a reasonable doubt, as required for the </w:t>
      </w:r>
      <w:r w:rsidR="00A42BE2">
        <w:rPr>
          <w:sz w:val="28"/>
          <w:szCs w:val="28"/>
        </w:rPr>
        <w:t>“</w:t>
      </w:r>
      <w:r w:rsidR="00C40CF4">
        <w:rPr>
          <w:sz w:val="28"/>
          <w:szCs w:val="28"/>
        </w:rPr>
        <w:t xml:space="preserve">proof is evident or the presumption great” determination.  </w:t>
      </w:r>
      <w:r w:rsidR="00C40CF4" w:rsidRPr="00C40CF4">
        <w:rPr>
          <w:i/>
          <w:sz w:val="28"/>
          <w:szCs w:val="28"/>
        </w:rPr>
        <w:t>Simpson I</w:t>
      </w:r>
      <w:r w:rsidR="00C40CF4">
        <w:rPr>
          <w:sz w:val="28"/>
          <w:szCs w:val="28"/>
        </w:rPr>
        <w:t>, ¶ 40.</w:t>
      </w:r>
    </w:p>
    <w:p w14:paraId="28EF854F" w14:textId="0C246868" w:rsidR="00783B45" w:rsidRDefault="00783B45" w:rsidP="008172B1">
      <w:pPr>
        <w:pStyle w:val="Body"/>
        <w:widowControl w:val="0"/>
        <w:spacing w:line="480" w:lineRule="auto"/>
        <w:ind w:firstLine="0"/>
        <w:jc w:val="both"/>
        <w:rPr>
          <w:sz w:val="28"/>
          <w:szCs w:val="28"/>
        </w:rPr>
      </w:pPr>
      <w:r>
        <w:rPr>
          <w:sz w:val="28"/>
          <w:szCs w:val="28"/>
        </w:rPr>
        <w:tab/>
        <w:t xml:space="preserve">Petitioner has proposed amending the criminal rules so that a determination of </w:t>
      </w:r>
      <w:r w:rsidR="00A42BE2">
        <w:rPr>
          <w:sz w:val="28"/>
          <w:szCs w:val="28"/>
        </w:rPr>
        <w:t>‘</w:t>
      </w:r>
      <w:r>
        <w:rPr>
          <w:sz w:val="28"/>
          <w:szCs w:val="28"/>
        </w:rPr>
        <w:t>proof</w:t>
      </w:r>
      <w:r w:rsidR="00C40CF4">
        <w:rPr>
          <w:sz w:val="28"/>
          <w:szCs w:val="28"/>
        </w:rPr>
        <w:t xml:space="preserve"> is</w:t>
      </w:r>
      <w:r>
        <w:rPr>
          <w:sz w:val="28"/>
          <w:szCs w:val="28"/>
        </w:rPr>
        <w:t xml:space="preserve"> evident or presumption great</w:t>
      </w:r>
      <w:r w:rsidR="00A42BE2">
        <w:rPr>
          <w:sz w:val="28"/>
          <w:szCs w:val="28"/>
        </w:rPr>
        <w:t>’</w:t>
      </w:r>
      <w:r>
        <w:rPr>
          <w:sz w:val="28"/>
          <w:szCs w:val="28"/>
        </w:rPr>
        <w:t xml:space="preserve"> at a bail eligibility hearing satisfies the Rule 5 requirement of a probable cause determination at the preliminary hearing</w:t>
      </w:r>
      <w:r w:rsidR="00A42BE2">
        <w:rPr>
          <w:sz w:val="28"/>
          <w:szCs w:val="28"/>
        </w:rPr>
        <w:t>,</w:t>
      </w:r>
      <w:r w:rsidR="00C40CF4">
        <w:rPr>
          <w:sz w:val="28"/>
          <w:szCs w:val="28"/>
        </w:rPr>
        <w:t xml:space="preserve"> without the need for a stipulation between the parties and without the need for </w:t>
      </w:r>
      <w:r w:rsidR="00C40CF4">
        <w:rPr>
          <w:sz w:val="28"/>
          <w:szCs w:val="28"/>
        </w:rPr>
        <w:lastRenderedPageBreak/>
        <w:t>separate probable cause determinations.  APAAC supports this proposal</w:t>
      </w:r>
      <w:r>
        <w:rPr>
          <w:sz w:val="28"/>
          <w:szCs w:val="28"/>
        </w:rPr>
        <w:t xml:space="preserve">.  This would harmonize the two rules and eliminate the </w:t>
      </w:r>
      <w:r w:rsidR="00C40CF4">
        <w:rPr>
          <w:sz w:val="28"/>
          <w:szCs w:val="28"/>
        </w:rPr>
        <w:t>inefficiencies in holding separate evidentiary hearings (bail eligibility and prelimi</w:t>
      </w:r>
      <w:r w:rsidR="005C4410">
        <w:rPr>
          <w:sz w:val="28"/>
          <w:szCs w:val="28"/>
        </w:rPr>
        <w:t xml:space="preserve">nary) within </w:t>
      </w:r>
      <w:r w:rsidR="00A42BE2">
        <w:rPr>
          <w:sz w:val="28"/>
          <w:szCs w:val="28"/>
        </w:rPr>
        <w:t xml:space="preserve">several </w:t>
      </w:r>
      <w:r w:rsidR="005C4410">
        <w:rPr>
          <w:sz w:val="28"/>
          <w:szCs w:val="28"/>
        </w:rPr>
        <w:t>days of each other where substantially identical witnesses and information is presented.</w:t>
      </w:r>
    </w:p>
    <w:p w14:paraId="23DB6A74" w14:textId="0023F2D8" w:rsidR="00E55CEE" w:rsidRDefault="005C4410" w:rsidP="008172B1">
      <w:pPr>
        <w:pStyle w:val="Body"/>
        <w:widowControl w:val="0"/>
        <w:spacing w:line="480" w:lineRule="auto"/>
        <w:ind w:firstLine="0"/>
        <w:jc w:val="both"/>
        <w:rPr>
          <w:sz w:val="28"/>
          <w:szCs w:val="28"/>
        </w:rPr>
      </w:pPr>
      <w:r>
        <w:rPr>
          <w:sz w:val="28"/>
          <w:szCs w:val="28"/>
        </w:rPr>
        <w:tab/>
        <w:t>Notably, b</w:t>
      </w:r>
      <w:r w:rsidR="00E55CEE">
        <w:rPr>
          <w:sz w:val="28"/>
          <w:szCs w:val="28"/>
        </w:rPr>
        <w:t xml:space="preserve">ecause the State may sometimes seek a determination of </w:t>
      </w:r>
      <w:r>
        <w:rPr>
          <w:sz w:val="28"/>
          <w:szCs w:val="28"/>
        </w:rPr>
        <w:t>‘</w:t>
      </w:r>
      <w:r w:rsidR="00E55CEE">
        <w:rPr>
          <w:sz w:val="28"/>
          <w:szCs w:val="28"/>
        </w:rPr>
        <w:t xml:space="preserve">proof </w:t>
      </w:r>
      <w:r>
        <w:rPr>
          <w:sz w:val="28"/>
          <w:szCs w:val="28"/>
        </w:rPr>
        <w:t xml:space="preserve">is </w:t>
      </w:r>
      <w:r w:rsidR="00E55CEE">
        <w:rPr>
          <w:sz w:val="28"/>
          <w:szCs w:val="28"/>
        </w:rPr>
        <w:t>evident or presumption great</w:t>
      </w:r>
      <w:r>
        <w:rPr>
          <w:sz w:val="28"/>
          <w:szCs w:val="28"/>
        </w:rPr>
        <w:t>’</w:t>
      </w:r>
      <w:r w:rsidR="00E55CEE">
        <w:rPr>
          <w:sz w:val="28"/>
          <w:szCs w:val="28"/>
        </w:rPr>
        <w:t xml:space="preserve"> on </w:t>
      </w:r>
      <w:r w:rsidR="00E55CEE" w:rsidRPr="005C4410">
        <w:rPr>
          <w:i/>
          <w:sz w:val="28"/>
          <w:szCs w:val="28"/>
        </w:rPr>
        <w:t>less</w:t>
      </w:r>
      <w:r w:rsidR="00E55CEE">
        <w:rPr>
          <w:sz w:val="28"/>
          <w:szCs w:val="28"/>
        </w:rPr>
        <w:t xml:space="preserve"> than all charges contained in a complaint, </w:t>
      </w:r>
      <w:r>
        <w:rPr>
          <w:sz w:val="28"/>
          <w:szCs w:val="28"/>
        </w:rPr>
        <w:t xml:space="preserve">the proposed rule </w:t>
      </w:r>
      <w:r w:rsidR="00E55CEE">
        <w:rPr>
          <w:sz w:val="28"/>
          <w:szCs w:val="28"/>
        </w:rPr>
        <w:t>amendments give the State t</w:t>
      </w:r>
      <w:r>
        <w:rPr>
          <w:sz w:val="28"/>
          <w:szCs w:val="28"/>
        </w:rPr>
        <w:t>he</w:t>
      </w:r>
      <w:r w:rsidR="00E55CEE">
        <w:rPr>
          <w:sz w:val="28"/>
          <w:szCs w:val="28"/>
        </w:rPr>
        <w:t xml:space="preserve"> </w:t>
      </w:r>
      <w:r w:rsidR="00E55CEE" w:rsidRPr="00A42BE2">
        <w:rPr>
          <w:i/>
          <w:sz w:val="28"/>
          <w:szCs w:val="28"/>
        </w:rPr>
        <w:t>option</w:t>
      </w:r>
      <w:r w:rsidR="00E55CEE">
        <w:rPr>
          <w:sz w:val="28"/>
          <w:szCs w:val="28"/>
        </w:rPr>
        <w:t xml:space="preserve"> of applying the findings from the bail eligibility hearing to the Rule 5.4 probable cause finding.</w:t>
      </w:r>
    </w:p>
    <w:p w14:paraId="12F273BD" w14:textId="00DFCFF3" w:rsidR="00E55CEE" w:rsidRDefault="00E55CEE" w:rsidP="00E87BCF">
      <w:pPr>
        <w:pStyle w:val="Body"/>
        <w:widowControl w:val="0"/>
        <w:spacing w:line="240" w:lineRule="auto"/>
        <w:ind w:firstLine="0"/>
        <w:jc w:val="both"/>
        <w:rPr>
          <w:b/>
          <w:sz w:val="28"/>
          <w:szCs w:val="28"/>
        </w:rPr>
      </w:pPr>
      <w:r>
        <w:rPr>
          <w:sz w:val="28"/>
          <w:szCs w:val="28"/>
        </w:rPr>
        <w:tab/>
      </w:r>
      <w:r w:rsidRPr="00E87BCF">
        <w:rPr>
          <w:b/>
          <w:sz w:val="28"/>
          <w:szCs w:val="28"/>
        </w:rPr>
        <w:t>B.</w:t>
      </w:r>
      <w:r w:rsidRPr="00E87BCF">
        <w:rPr>
          <w:b/>
          <w:sz w:val="28"/>
          <w:szCs w:val="28"/>
        </w:rPr>
        <w:tab/>
        <w:t xml:space="preserve">Continuance of Bail Eligibility Hearing for Extraordinary </w:t>
      </w:r>
      <w:r w:rsidR="00E87BCF">
        <w:rPr>
          <w:b/>
          <w:sz w:val="28"/>
          <w:szCs w:val="28"/>
        </w:rPr>
        <w:tab/>
      </w:r>
      <w:r w:rsidR="00E87BCF">
        <w:rPr>
          <w:b/>
          <w:sz w:val="28"/>
          <w:szCs w:val="28"/>
        </w:rPr>
        <w:tab/>
      </w:r>
      <w:r w:rsidR="00E87BCF">
        <w:rPr>
          <w:b/>
          <w:sz w:val="28"/>
          <w:szCs w:val="28"/>
        </w:rPr>
        <w:tab/>
      </w:r>
      <w:r w:rsidR="00E87BCF">
        <w:rPr>
          <w:b/>
          <w:sz w:val="28"/>
          <w:szCs w:val="28"/>
        </w:rPr>
        <w:tab/>
      </w:r>
      <w:r w:rsidRPr="00E87BCF">
        <w:rPr>
          <w:b/>
          <w:sz w:val="28"/>
          <w:szCs w:val="28"/>
        </w:rPr>
        <w:t>Circumstances.</w:t>
      </w:r>
    </w:p>
    <w:p w14:paraId="25395AA5" w14:textId="77777777" w:rsidR="00E87BCF" w:rsidRPr="00E87BCF" w:rsidRDefault="00E87BCF" w:rsidP="00E87BCF">
      <w:pPr>
        <w:pStyle w:val="Body"/>
        <w:widowControl w:val="0"/>
        <w:spacing w:line="240" w:lineRule="auto"/>
        <w:ind w:firstLine="0"/>
        <w:jc w:val="both"/>
        <w:rPr>
          <w:b/>
          <w:sz w:val="28"/>
          <w:szCs w:val="28"/>
        </w:rPr>
      </w:pPr>
    </w:p>
    <w:p w14:paraId="69C2F17D" w14:textId="6F08073C" w:rsidR="00E55CEE" w:rsidRPr="003C4E7F" w:rsidRDefault="00E55CEE" w:rsidP="008172B1">
      <w:pPr>
        <w:pStyle w:val="Body"/>
        <w:widowControl w:val="0"/>
        <w:spacing w:line="480" w:lineRule="auto"/>
        <w:ind w:firstLine="0"/>
        <w:jc w:val="both"/>
        <w:rPr>
          <w:b/>
          <w:sz w:val="28"/>
          <w:szCs w:val="28"/>
        </w:rPr>
      </w:pPr>
      <w:r>
        <w:rPr>
          <w:sz w:val="28"/>
          <w:szCs w:val="28"/>
        </w:rPr>
        <w:tab/>
        <w:t xml:space="preserve">Petitioner finally seeks to allow for a continuance of the bail eligibility hearing at the court’s discretion due to </w:t>
      </w:r>
      <w:r w:rsidR="005C4410">
        <w:rPr>
          <w:sz w:val="28"/>
          <w:szCs w:val="28"/>
        </w:rPr>
        <w:t>“</w:t>
      </w:r>
      <w:r>
        <w:rPr>
          <w:sz w:val="28"/>
          <w:szCs w:val="28"/>
        </w:rPr>
        <w:t>extraordinary circumstances.</w:t>
      </w:r>
      <w:r w:rsidR="005C4410">
        <w:rPr>
          <w:sz w:val="28"/>
          <w:szCs w:val="28"/>
        </w:rPr>
        <w:t>”</w:t>
      </w:r>
      <w:r>
        <w:rPr>
          <w:sz w:val="28"/>
          <w:szCs w:val="28"/>
        </w:rPr>
        <w:t xml:space="preserve">  </w:t>
      </w:r>
      <w:r w:rsidR="005C4410">
        <w:rPr>
          <w:sz w:val="28"/>
          <w:szCs w:val="28"/>
        </w:rPr>
        <w:t>APAAC supports this proposal.  Currently, only a defendant may move for a continuance of the bail eligibility hearing.  Rule 7.2(b)(4)(B).  However, u</w:t>
      </w:r>
      <w:r>
        <w:rPr>
          <w:sz w:val="28"/>
          <w:szCs w:val="28"/>
        </w:rPr>
        <w:t>nexpected situations, as described in the petition, will occasionally occur, and the rule must be flexible</w:t>
      </w:r>
      <w:r w:rsidR="005C4410">
        <w:rPr>
          <w:sz w:val="28"/>
          <w:szCs w:val="28"/>
        </w:rPr>
        <w:t xml:space="preserve"> enough to accommodate a State’s motion</w:t>
      </w:r>
      <w:r w:rsidR="000A62F3">
        <w:rPr>
          <w:sz w:val="28"/>
          <w:szCs w:val="28"/>
        </w:rPr>
        <w:t xml:space="preserve"> under “extraordinary circumstances</w:t>
      </w:r>
      <w:r w:rsidR="005C4410">
        <w:rPr>
          <w:sz w:val="28"/>
          <w:szCs w:val="28"/>
        </w:rPr>
        <w:t>,</w:t>
      </w:r>
      <w:r w:rsidR="000A62F3">
        <w:rPr>
          <w:sz w:val="28"/>
          <w:szCs w:val="28"/>
        </w:rPr>
        <w:t>”</w:t>
      </w:r>
      <w:r w:rsidR="005C4410">
        <w:rPr>
          <w:sz w:val="28"/>
          <w:szCs w:val="28"/>
        </w:rPr>
        <w:t xml:space="preserve"> which will</w:t>
      </w:r>
      <w:r>
        <w:rPr>
          <w:sz w:val="28"/>
          <w:szCs w:val="28"/>
        </w:rPr>
        <w:t xml:space="preserve"> allow</w:t>
      </w:r>
      <w:r w:rsidR="005C4410">
        <w:rPr>
          <w:sz w:val="28"/>
          <w:szCs w:val="28"/>
        </w:rPr>
        <w:t xml:space="preserve"> the trial court to exercise its discretion</w:t>
      </w:r>
      <w:r w:rsidR="000A62F3">
        <w:rPr>
          <w:sz w:val="28"/>
          <w:szCs w:val="28"/>
        </w:rPr>
        <w:t xml:space="preserve"> in</w:t>
      </w:r>
      <w:r>
        <w:rPr>
          <w:sz w:val="28"/>
          <w:szCs w:val="28"/>
        </w:rPr>
        <w:t xml:space="preserve"> </w:t>
      </w:r>
      <w:r w:rsidR="000A62F3">
        <w:rPr>
          <w:sz w:val="28"/>
          <w:szCs w:val="28"/>
        </w:rPr>
        <w:t>considering a d</w:t>
      </w:r>
      <w:r>
        <w:rPr>
          <w:sz w:val="28"/>
          <w:szCs w:val="28"/>
        </w:rPr>
        <w:t>efendant’s right</w:t>
      </w:r>
      <w:r w:rsidR="000A62F3">
        <w:rPr>
          <w:sz w:val="28"/>
          <w:szCs w:val="28"/>
        </w:rPr>
        <w:t>s</w:t>
      </w:r>
      <w:r>
        <w:rPr>
          <w:sz w:val="28"/>
          <w:szCs w:val="28"/>
        </w:rPr>
        <w:t xml:space="preserve"> as well as public safety </w:t>
      </w:r>
      <w:r w:rsidR="000A62F3">
        <w:rPr>
          <w:sz w:val="28"/>
          <w:szCs w:val="28"/>
        </w:rPr>
        <w:t>protections</w:t>
      </w:r>
      <w:r>
        <w:rPr>
          <w:sz w:val="28"/>
          <w:szCs w:val="28"/>
        </w:rPr>
        <w:t>.</w:t>
      </w:r>
    </w:p>
    <w:p w14:paraId="0A6B3B8B" w14:textId="24A98EBF" w:rsidR="00526087" w:rsidRPr="00104F4E" w:rsidRDefault="00C052DC" w:rsidP="007361D0">
      <w:pPr>
        <w:pStyle w:val="Body"/>
        <w:widowControl w:val="0"/>
        <w:spacing w:line="480" w:lineRule="auto"/>
        <w:ind w:firstLine="0"/>
        <w:jc w:val="both"/>
        <w:rPr>
          <w:b/>
          <w:sz w:val="28"/>
          <w:szCs w:val="28"/>
        </w:rPr>
      </w:pPr>
      <w:r>
        <w:rPr>
          <w:sz w:val="28"/>
          <w:szCs w:val="28"/>
        </w:rPr>
        <w:t xml:space="preserve">  </w:t>
      </w:r>
      <w:r w:rsidR="00526087" w:rsidRPr="00104F4E">
        <w:rPr>
          <w:b/>
          <w:sz w:val="28"/>
          <w:szCs w:val="28"/>
        </w:rPr>
        <w:t>III.</w:t>
      </w:r>
      <w:r w:rsidR="00526087" w:rsidRPr="00104F4E">
        <w:rPr>
          <w:b/>
          <w:sz w:val="28"/>
          <w:szCs w:val="28"/>
        </w:rPr>
        <w:tab/>
        <w:t>CONCLUSION</w:t>
      </w:r>
    </w:p>
    <w:p w14:paraId="5E864E3F" w14:textId="09F1AF0A" w:rsidR="00303F08" w:rsidRDefault="00E00AF4" w:rsidP="00E00AF4">
      <w:pPr>
        <w:pStyle w:val="Body"/>
        <w:widowControl w:val="0"/>
        <w:spacing w:line="480" w:lineRule="auto"/>
        <w:ind w:firstLine="720"/>
        <w:jc w:val="both"/>
        <w:rPr>
          <w:sz w:val="28"/>
          <w:szCs w:val="28"/>
        </w:rPr>
      </w:pPr>
      <w:r>
        <w:rPr>
          <w:sz w:val="28"/>
          <w:szCs w:val="28"/>
        </w:rPr>
        <w:t xml:space="preserve">The </w:t>
      </w:r>
      <w:r w:rsidR="00FD0C85">
        <w:rPr>
          <w:sz w:val="28"/>
          <w:szCs w:val="28"/>
        </w:rPr>
        <w:t>Arizona Prosecuting Attorneys’ Advisory Council</w:t>
      </w:r>
      <w:r>
        <w:rPr>
          <w:sz w:val="28"/>
          <w:szCs w:val="28"/>
        </w:rPr>
        <w:t xml:space="preserve"> </w:t>
      </w:r>
      <w:r w:rsidR="000A62F3">
        <w:rPr>
          <w:sz w:val="28"/>
          <w:szCs w:val="28"/>
        </w:rPr>
        <w:t xml:space="preserve">supports the proposals </w:t>
      </w:r>
      <w:r w:rsidR="000A62F3">
        <w:rPr>
          <w:sz w:val="28"/>
          <w:szCs w:val="28"/>
        </w:rPr>
        <w:lastRenderedPageBreak/>
        <w:t xml:space="preserve">outlined in petition R-19-0013.  The proposed rule amendments would eliminate the inefficiencies and duplication of efforts currently existing in the rules governing bail eligibility hearings and preliminary hearings.  Nothing in the proposed rules would impact the rights of a defendant </w:t>
      </w:r>
      <w:r w:rsidR="002F00F4">
        <w:rPr>
          <w:sz w:val="28"/>
          <w:szCs w:val="28"/>
        </w:rPr>
        <w:t xml:space="preserve">being </w:t>
      </w:r>
      <w:r w:rsidR="000A62F3">
        <w:rPr>
          <w:sz w:val="28"/>
          <w:szCs w:val="28"/>
        </w:rPr>
        <w:t>held in custody to have a bail eligibility hearing or preliminary hearing.</w:t>
      </w:r>
    </w:p>
    <w:p w14:paraId="48B1904B" w14:textId="77777777" w:rsidR="00082835" w:rsidRDefault="00526087" w:rsidP="00082835">
      <w:pPr>
        <w:pStyle w:val="Body"/>
        <w:widowControl w:val="0"/>
        <w:spacing w:line="480" w:lineRule="auto"/>
        <w:ind w:firstLine="0"/>
        <w:jc w:val="both"/>
        <w:rPr>
          <w:sz w:val="28"/>
          <w:szCs w:val="28"/>
        </w:rPr>
      </w:pPr>
      <w:r>
        <w:rPr>
          <w:szCs w:val="26"/>
        </w:rPr>
        <w:t xml:space="preserve">       </w:t>
      </w:r>
      <w:r w:rsidR="00082835" w:rsidRPr="006F63FD">
        <w:rPr>
          <w:sz w:val="28"/>
          <w:szCs w:val="28"/>
        </w:rPr>
        <w:t xml:space="preserve">RESPECTFULLY SUBMITTED this </w:t>
      </w:r>
      <w:r w:rsidR="00082835">
        <w:rPr>
          <w:sz w:val="28"/>
          <w:szCs w:val="28"/>
          <w:u w:val="single"/>
        </w:rPr>
        <w:t xml:space="preserve"> 18</w:t>
      </w:r>
      <w:r w:rsidR="00082835" w:rsidRPr="001A0E99">
        <w:rPr>
          <w:sz w:val="28"/>
          <w:szCs w:val="28"/>
          <w:u w:val="single"/>
          <w:vertAlign w:val="superscript"/>
        </w:rPr>
        <w:t>th</w:t>
      </w:r>
      <w:r w:rsidR="00082835">
        <w:rPr>
          <w:sz w:val="28"/>
          <w:szCs w:val="28"/>
          <w:u w:val="single"/>
        </w:rPr>
        <w:t xml:space="preserve"> </w:t>
      </w:r>
      <w:r w:rsidR="00082835" w:rsidRPr="001A0E99">
        <w:rPr>
          <w:sz w:val="28"/>
          <w:szCs w:val="28"/>
        </w:rPr>
        <w:t xml:space="preserve"> </w:t>
      </w:r>
      <w:r w:rsidR="00082835" w:rsidRPr="006F63FD">
        <w:rPr>
          <w:sz w:val="28"/>
          <w:szCs w:val="28"/>
        </w:rPr>
        <w:t>day of</w:t>
      </w:r>
      <w:r w:rsidR="00082835">
        <w:rPr>
          <w:sz w:val="28"/>
          <w:szCs w:val="28"/>
        </w:rPr>
        <w:t xml:space="preserve"> </w:t>
      </w:r>
      <w:proofErr w:type="gramStart"/>
      <w:r w:rsidR="00082835">
        <w:rPr>
          <w:sz w:val="28"/>
          <w:szCs w:val="28"/>
        </w:rPr>
        <w:t>March</w:t>
      </w:r>
      <w:r w:rsidR="00082835" w:rsidRPr="006F63FD">
        <w:rPr>
          <w:sz w:val="28"/>
          <w:szCs w:val="28"/>
        </w:rPr>
        <w:t>,</w:t>
      </w:r>
      <w:proofErr w:type="gramEnd"/>
      <w:r w:rsidR="00082835" w:rsidRPr="006F63FD">
        <w:rPr>
          <w:sz w:val="28"/>
          <w:szCs w:val="28"/>
        </w:rPr>
        <w:t xml:space="preserve"> 201</w:t>
      </w:r>
      <w:r w:rsidR="00082835">
        <w:rPr>
          <w:sz w:val="28"/>
          <w:szCs w:val="28"/>
        </w:rPr>
        <w:t>9</w:t>
      </w:r>
      <w:r w:rsidR="00082835" w:rsidRPr="006F63FD">
        <w:rPr>
          <w:sz w:val="28"/>
          <w:szCs w:val="28"/>
        </w:rPr>
        <w:t>.</w:t>
      </w:r>
    </w:p>
    <w:p w14:paraId="5EF97120" w14:textId="77777777" w:rsidR="00082835" w:rsidRDefault="00082835" w:rsidP="00082835">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p>
    <w:p w14:paraId="2275B756" w14:textId="77777777" w:rsidR="00082835" w:rsidRPr="001A0E99" w:rsidRDefault="00082835" w:rsidP="00082835">
      <w:pPr>
        <w:pStyle w:val="Body"/>
        <w:widowControl w:val="0"/>
        <w:tabs>
          <w:tab w:val="left" w:pos="720"/>
        </w:tabs>
        <w:spacing w:line="240" w:lineRule="auto"/>
        <w:ind w:firstLine="0"/>
        <w:rPr>
          <w:rFonts w:ascii="Lucida Handwriting" w:hAnsi="Lucida Handwriting"/>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u w:val="single"/>
        </w:rPr>
        <w:t xml:space="preserve">/s/  </w:t>
      </w:r>
      <w:r>
        <w:rPr>
          <w:rFonts w:ascii="Lucida Handwriting" w:hAnsi="Lucida Handwriting"/>
          <w:sz w:val="28"/>
          <w:szCs w:val="28"/>
          <w:u w:val="single"/>
        </w:rPr>
        <w:t>Elizabeth Burton Ortiz</w:t>
      </w:r>
      <w:r>
        <w:rPr>
          <w:rFonts w:ascii="Lucida Handwriting" w:hAnsi="Lucida Handwriting"/>
          <w:sz w:val="28"/>
          <w:szCs w:val="28"/>
          <w:u w:val="single"/>
        </w:rPr>
        <w:tab/>
      </w:r>
      <w:r>
        <w:rPr>
          <w:rFonts w:ascii="Lucida Handwriting" w:hAnsi="Lucida Handwriting"/>
          <w:sz w:val="28"/>
          <w:szCs w:val="28"/>
          <w:u w:val="single"/>
        </w:rPr>
        <w:tab/>
      </w:r>
    </w:p>
    <w:p w14:paraId="19072880" w14:textId="77777777" w:rsidR="00082835" w:rsidRPr="006F63FD" w:rsidRDefault="00082835" w:rsidP="00082835">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Elizabeth Burton Ortiz, #012838</w:t>
      </w:r>
    </w:p>
    <w:p w14:paraId="42A96A33" w14:textId="77777777" w:rsidR="00082835" w:rsidRDefault="00082835" w:rsidP="00082835">
      <w:pPr>
        <w:pStyle w:val="PleadingSignature"/>
        <w:keepNext w:val="0"/>
        <w:keepLines w:val="0"/>
        <w:spacing w:line="240" w:lineRule="auto"/>
        <w:ind w:left="3600" w:firstLine="720"/>
        <w:rPr>
          <w:sz w:val="28"/>
          <w:szCs w:val="28"/>
        </w:rPr>
      </w:pPr>
      <w:r>
        <w:rPr>
          <w:sz w:val="28"/>
          <w:szCs w:val="28"/>
        </w:rPr>
        <w:t>Executive Director</w:t>
      </w:r>
    </w:p>
    <w:p w14:paraId="785C0D1A" w14:textId="77777777" w:rsidR="00082835" w:rsidRDefault="00082835" w:rsidP="00082835">
      <w:pPr>
        <w:pStyle w:val="PleadingSignature"/>
        <w:keepNext w:val="0"/>
        <w:keepLines w:val="0"/>
        <w:spacing w:line="240" w:lineRule="auto"/>
        <w:ind w:left="3600" w:firstLine="720"/>
        <w:rPr>
          <w:sz w:val="28"/>
          <w:szCs w:val="28"/>
        </w:rPr>
      </w:pPr>
      <w:r>
        <w:rPr>
          <w:sz w:val="28"/>
          <w:szCs w:val="28"/>
        </w:rPr>
        <w:t>Arizona Prosecuting Attorneys’</w:t>
      </w:r>
    </w:p>
    <w:p w14:paraId="7E6F91D5" w14:textId="77777777" w:rsidR="00082835" w:rsidRPr="006F63FD" w:rsidRDefault="00082835" w:rsidP="00082835">
      <w:pPr>
        <w:pStyle w:val="PleadingSignature"/>
        <w:keepNext w:val="0"/>
        <w:keepLines w:val="0"/>
        <w:spacing w:line="240" w:lineRule="auto"/>
        <w:ind w:left="3600" w:firstLine="720"/>
        <w:rPr>
          <w:sz w:val="28"/>
          <w:szCs w:val="28"/>
        </w:rPr>
      </w:pPr>
      <w:r>
        <w:rPr>
          <w:sz w:val="28"/>
          <w:szCs w:val="28"/>
        </w:rPr>
        <w:t xml:space="preserve">   Advisory Council</w:t>
      </w:r>
    </w:p>
    <w:p w14:paraId="193A8E18" w14:textId="77777777" w:rsidR="00082835" w:rsidRPr="000F7A7F" w:rsidRDefault="00082835" w:rsidP="00082835">
      <w:pPr>
        <w:pStyle w:val="PleadingSignature"/>
        <w:keepNext w:val="0"/>
        <w:keepLines w:val="0"/>
        <w:spacing w:line="240" w:lineRule="auto"/>
        <w:ind w:left="5070"/>
        <w:rPr>
          <w:szCs w:val="26"/>
        </w:rPr>
      </w:pPr>
    </w:p>
    <w:p w14:paraId="7669EFFA" w14:textId="77777777" w:rsidR="00082835" w:rsidRDefault="00082835" w:rsidP="00082835">
      <w:pPr>
        <w:widowControl w:val="0"/>
        <w:spacing w:line="240" w:lineRule="auto"/>
        <w:ind w:right="4140"/>
        <w:rPr>
          <w:sz w:val="28"/>
          <w:szCs w:val="28"/>
        </w:rPr>
      </w:pPr>
    </w:p>
    <w:p w14:paraId="5928520A" w14:textId="77777777" w:rsidR="00082835" w:rsidRPr="00C52E56" w:rsidRDefault="00082835" w:rsidP="00082835">
      <w:pPr>
        <w:widowControl w:val="0"/>
        <w:spacing w:line="240" w:lineRule="auto"/>
        <w:ind w:right="4140"/>
        <w:rPr>
          <w:sz w:val="28"/>
          <w:szCs w:val="28"/>
        </w:rPr>
      </w:pPr>
      <w:r w:rsidRPr="00C52E56">
        <w:rPr>
          <w:sz w:val="28"/>
          <w:szCs w:val="28"/>
        </w:rPr>
        <w:t>Electronic copy filed with the</w:t>
      </w:r>
    </w:p>
    <w:p w14:paraId="7AE02C29" w14:textId="77777777" w:rsidR="00082835" w:rsidRPr="00C52E56" w:rsidRDefault="00082835" w:rsidP="00082835">
      <w:pPr>
        <w:spacing w:line="240" w:lineRule="auto"/>
        <w:ind w:right="4140"/>
        <w:rPr>
          <w:sz w:val="28"/>
          <w:szCs w:val="28"/>
        </w:rPr>
      </w:pPr>
      <w:r w:rsidRPr="00C52E56">
        <w:rPr>
          <w:sz w:val="28"/>
          <w:szCs w:val="28"/>
        </w:rPr>
        <w:t>Clerk of the Arizona Supreme Court</w:t>
      </w:r>
    </w:p>
    <w:p w14:paraId="050B1BA2" w14:textId="77777777" w:rsidR="00082835" w:rsidRPr="00C52E56" w:rsidRDefault="00082835" w:rsidP="00082835">
      <w:pPr>
        <w:tabs>
          <w:tab w:val="left" w:pos="4836"/>
        </w:tabs>
        <w:spacing w:line="240" w:lineRule="auto"/>
        <w:ind w:right="3870"/>
        <w:rPr>
          <w:sz w:val="28"/>
          <w:szCs w:val="28"/>
        </w:rPr>
      </w:pPr>
      <w:r w:rsidRPr="00C52E56">
        <w:rPr>
          <w:sz w:val="28"/>
          <w:szCs w:val="28"/>
        </w:rPr>
        <w:t xml:space="preserve">this </w:t>
      </w:r>
      <w:r>
        <w:rPr>
          <w:sz w:val="28"/>
          <w:szCs w:val="28"/>
          <w:u w:val="single"/>
        </w:rPr>
        <w:t xml:space="preserve"> 18</w:t>
      </w:r>
      <w:r w:rsidRPr="001A0E99">
        <w:rPr>
          <w:sz w:val="28"/>
          <w:szCs w:val="28"/>
          <w:u w:val="single"/>
          <w:vertAlign w:val="superscript"/>
        </w:rPr>
        <w:t>th</w:t>
      </w:r>
      <w:r>
        <w:rPr>
          <w:sz w:val="28"/>
          <w:szCs w:val="28"/>
          <w:u w:val="single"/>
        </w:rPr>
        <w:t xml:space="preserve"> </w:t>
      </w:r>
      <w:r w:rsidRPr="00C52E56">
        <w:rPr>
          <w:sz w:val="28"/>
          <w:szCs w:val="28"/>
        </w:rPr>
        <w:t xml:space="preserve"> day of </w:t>
      </w:r>
      <w:proofErr w:type="gramStart"/>
      <w:r>
        <w:rPr>
          <w:sz w:val="28"/>
          <w:szCs w:val="28"/>
        </w:rPr>
        <w:t>March</w:t>
      </w:r>
      <w:r w:rsidRPr="00C52E56">
        <w:rPr>
          <w:sz w:val="28"/>
          <w:szCs w:val="28"/>
        </w:rPr>
        <w:t>,</w:t>
      </w:r>
      <w:proofErr w:type="gramEnd"/>
      <w:r w:rsidRPr="00C52E56">
        <w:rPr>
          <w:sz w:val="28"/>
          <w:szCs w:val="28"/>
        </w:rPr>
        <w:t xml:space="preserve"> 201</w:t>
      </w:r>
      <w:r>
        <w:rPr>
          <w:sz w:val="28"/>
          <w:szCs w:val="28"/>
        </w:rPr>
        <w:t>9</w:t>
      </w:r>
      <w:r w:rsidRPr="00C52E56">
        <w:rPr>
          <w:sz w:val="28"/>
          <w:szCs w:val="28"/>
        </w:rPr>
        <w:t>.</w:t>
      </w:r>
    </w:p>
    <w:p w14:paraId="162FB759" w14:textId="77777777" w:rsidR="00082835" w:rsidRDefault="00082835" w:rsidP="00082835">
      <w:pPr>
        <w:spacing w:line="240" w:lineRule="auto"/>
        <w:ind w:right="4572"/>
        <w:rPr>
          <w:sz w:val="28"/>
          <w:szCs w:val="28"/>
        </w:rPr>
      </w:pPr>
    </w:p>
    <w:p w14:paraId="3F998C3A" w14:textId="77777777" w:rsidR="00082835" w:rsidRDefault="00082835" w:rsidP="00082835">
      <w:pPr>
        <w:spacing w:line="240" w:lineRule="auto"/>
        <w:ind w:right="4572"/>
        <w:rPr>
          <w:sz w:val="28"/>
          <w:szCs w:val="28"/>
        </w:rPr>
      </w:pPr>
      <w:bookmarkStart w:id="2" w:name="_Hlk3808272"/>
    </w:p>
    <w:p w14:paraId="00A55E12" w14:textId="77777777" w:rsidR="00082835" w:rsidRPr="00C52E56" w:rsidRDefault="00082835" w:rsidP="00082835">
      <w:pPr>
        <w:spacing w:line="240" w:lineRule="auto"/>
        <w:ind w:right="4572"/>
        <w:rPr>
          <w:sz w:val="28"/>
          <w:szCs w:val="28"/>
        </w:rPr>
      </w:pPr>
      <w:r>
        <w:rPr>
          <w:sz w:val="28"/>
          <w:szCs w:val="28"/>
        </w:rPr>
        <w:t>B</w:t>
      </w:r>
      <w:r w:rsidRPr="00C52E56">
        <w:rPr>
          <w:sz w:val="28"/>
          <w:szCs w:val="28"/>
        </w:rPr>
        <w:t>y:</w:t>
      </w:r>
      <w:r>
        <w:rPr>
          <w:sz w:val="28"/>
          <w:szCs w:val="28"/>
          <w:u w:val="single"/>
        </w:rPr>
        <w:t xml:space="preserve">  /s/    </w:t>
      </w:r>
      <w:r w:rsidRPr="001A0E99">
        <w:rPr>
          <w:rFonts w:ascii="Bradley Hand ITC" w:hAnsi="Bradley Hand ITC"/>
          <w:sz w:val="32"/>
          <w:szCs w:val="28"/>
          <w:u w:val="single"/>
        </w:rPr>
        <w:t>Diana Cooney</w:t>
      </w:r>
      <w:r w:rsidRPr="001A0E99">
        <w:rPr>
          <w:rFonts w:ascii="Bradley Hand ITC" w:hAnsi="Bradley Hand ITC"/>
          <w:sz w:val="32"/>
          <w:szCs w:val="28"/>
          <w:u w:val="single"/>
        </w:rPr>
        <w:tab/>
      </w:r>
      <w:r>
        <w:rPr>
          <w:rFonts w:ascii="Bradley Hand ITC" w:hAnsi="Bradley Hand ITC"/>
          <w:sz w:val="32"/>
          <w:szCs w:val="28"/>
          <w:u w:val="single"/>
        </w:rPr>
        <w:tab/>
      </w:r>
    </w:p>
    <w:bookmarkEnd w:id="2"/>
    <w:p w14:paraId="63169993" w14:textId="77777777" w:rsidR="00082835" w:rsidRPr="000F7A7F" w:rsidRDefault="00082835" w:rsidP="00082835">
      <w:pPr>
        <w:pStyle w:val="Body"/>
        <w:widowControl w:val="0"/>
        <w:ind w:firstLine="0"/>
        <w:jc w:val="both"/>
        <w:rPr>
          <w:szCs w:val="26"/>
        </w:rPr>
      </w:pPr>
    </w:p>
    <w:p w14:paraId="750E8FB7" w14:textId="77777777" w:rsidR="00082835" w:rsidRPr="000F7A7F" w:rsidRDefault="00082835" w:rsidP="00082835">
      <w:pPr>
        <w:tabs>
          <w:tab w:val="left" w:pos="8145"/>
        </w:tabs>
        <w:rPr>
          <w:sz w:val="26"/>
          <w:szCs w:val="26"/>
        </w:rPr>
      </w:pPr>
    </w:p>
    <w:p w14:paraId="4AAC59B0" w14:textId="77777777" w:rsidR="00082835" w:rsidRDefault="00082835" w:rsidP="00082835">
      <w:pPr>
        <w:spacing w:line="240" w:lineRule="auto"/>
        <w:ind w:right="4572"/>
      </w:pPr>
    </w:p>
    <w:p w14:paraId="7A652556" w14:textId="38E873DC" w:rsidR="00052372" w:rsidRPr="000F7A7F" w:rsidRDefault="00052372" w:rsidP="00082835">
      <w:pPr>
        <w:pStyle w:val="Body"/>
        <w:widowControl w:val="0"/>
        <w:tabs>
          <w:tab w:val="left" w:pos="720"/>
        </w:tabs>
        <w:ind w:firstLine="0"/>
        <w:rPr>
          <w:szCs w:val="26"/>
        </w:rPr>
      </w:pPr>
      <w:bookmarkStart w:id="3" w:name="_GoBack"/>
      <w:bookmarkEnd w:id="3"/>
    </w:p>
    <w:sectPr w:rsidR="00052372" w:rsidRPr="000F7A7F" w:rsidSect="006F63FD">
      <w:headerReference w:type="even" r:id="rId11"/>
      <w:headerReference w:type="default" r:id="rId12"/>
      <w:footerReference w:type="even" r:id="rId13"/>
      <w:footerReference w:type="default" r:id="rId14"/>
      <w:headerReference w:type="first" r:id="rId15"/>
      <w:footerReference w:type="first" r:id="rId16"/>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CA3E1" w14:textId="77777777" w:rsidR="00497812" w:rsidRDefault="00497812">
      <w:r>
        <w:separator/>
      </w:r>
    </w:p>
  </w:endnote>
  <w:endnote w:type="continuationSeparator" w:id="0">
    <w:p w14:paraId="089FCDE9" w14:textId="77777777" w:rsidR="00497812" w:rsidRDefault="0049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E4592" w14:textId="77777777" w:rsidR="00967F61" w:rsidRDefault="00967F61"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FD937" w14:textId="77777777" w:rsidR="00967F61" w:rsidRDefault="00967F61" w:rsidP="00861563">
    <w:pPr>
      <w:pStyle w:val="Footer"/>
      <w:ind w:right="360"/>
    </w:pPr>
  </w:p>
  <w:p w14:paraId="1E6CF164" w14:textId="77777777" w:rsidR="00967F61" w:rsidRDefault="00967F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35A6C317" w14:textId="256FA35E" w:rsidR="00967F61" w:rsidRPr="006B4F9A" w:rsidRDefault="00967F6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75606F">
          <w:rPr>
            <w:noProof/>
            <w:sz w:val="26"/>
            <w:szCs w:val="26"/>
          </w:rPr>
          <w:t>15</w:t>
        </w:r>
        <w:r w:rsidRPr="006B4F9A">
          <w:rPr>
            <w:noProof/>
            <w:sz w:val="26"/>
            <w:szCs w:val="26"/>
          </w:rPr>
          <w:fldChar w:fldCharType="end"/>
        </w:r>
      </w:p>
    </w:sdtContent>
  </w:sdt>
  <w:p w14:paraId="59970812" w14:textId="77777777" w:rsidR="00967F61" w:rsidRDefault="00967F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250B" w14:textId="77777777" w:rsidR="001949D7" w:rsidRDefault="00194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7D70B" w14:textId="77777777" w:rsidR="00497812" w:rsidRDefault="00497812">
      <w:r>
        <w:separator/>
      </w:r>
    </w:p>
  </w:footnote>
  <w:footnote w:type="continuationSeparator" w:id="0">
    <w:p w14:paraId="59A7DB82" w14:textId="77777777" w:rsidR="00497812" w:rsidRDefault="0049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7B7BF" w14:textId="77777777" w:rsidR="001949D7" w:rsidRDefault="00194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CE94" w14:textId="65C35BF8" w:rsidR="00967F61" w:rsidRDefault="00967F61">
    <w:pPr>
      <w:pStyle w:val="Header"/>
    </w:pPr>
    <w:r>
      <w:rPr>
        <w:noProof/>
      </w:rPr>
      <mc:AlternateContent>
        <mc:Choice Requires="wps">
          <w:drawing>
            <wp:anchor distT="0" distB="0" distL="114300" distR="114300" simplePos="0" relativeHeight="251657728"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75A8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C4E7C"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83C6B"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6C95D955" w14:textId="77777777" w:rsidR="00967F61" w:rsidRDefault="00967F61">
    <w:r>
      <w:rPr>
        <w:noProof/>
      </w:rPr>
      <mc:AlternateContent>
        <mc:Choice Requires="wps">
          <w:drawing>
            <wp:anchor distT="0" distB="0" distL="114300" distR="114300" simplePos="0" relativeHeight="251658752"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0D1A" w14:textId="77777777" w:rsidR="00967F61" w:rsidRPr="00000C35" w:rsidRDefault="00967F61">
                          <w:pPr>
                            <w:jc w:val="right"/>
                            <w:rPr>
                              <w:sz w:val="28"/>
                              <w:szCs w:val="28"/>
                            </w:rPr>
                          </w:pPr>
                          <w:r w:rsidRPr="00000C35">
                            <w:rPr>
                              <w:sz w:val="28"/>
                              <w:szCs w:val="28"/>
                            </w:rPr>
                            <w:t>1</w:t>
                          </w:r>
                        </w:p>
                        <w:p w14:paraId="51B95C09" w14:textId="77777777" w:rsidR="00967F61" w:rsidRPr="00000C35" w:rsidRDefault="00967F61">
                          <w:pPr>
                            <w:jc w:val="right"/>
                            <w:rPr>
                              <w:sz w:val="28"/>
                              <w:szCs w:val="28"/>
                            </w:rPr>
                          </w:pPr>
                          <w:r w:rsidRPr="00000C35">
                            <w:rPr>
                              <w:sz w:val="28"/>
                              <w:szCs w:val="28"/>
                            </w:rPr>
                            <w:t>2</w:t>
                          </w:r>
                        </w:p>
                        <w:p w14:paraId="4F0CAAF2" w14:textId="77777777" w:rsidR="00967F61" w:rsidRPr="00000C35" w:rsidRDefault="00967F61">
                          <w:pPr>
                            <w:jc w:val="right"/>
                            <w:rPr>
                              <w:sz w:val="28"/>
                              <w:szCs w:val="28"/>
                            </w:rPr>
                          </w:pPr>
                          <w:r w:rsidRPr="00000C35">
                            <w:rPr>
                              <w:sz w:val="28"/>
                              <w:szCs w:val="28"/>
                            </w:rPr>
                            <w:t>3</w:t>
                          </w:r>
                        </w:p>
                        <w:p w14:paraId="3406F269" w14:textId="77777777" w:rsidR="00967F61" w:rsidRPr="00000C35" w:rsidRDefault="00967F61">
                          <w:pPr>
                            <w:jc w:val="right"/>
                            <w:rPr>
                              <w:sz w:val="28"/>
                              <w:szCs w:val="28"/>
                            </w:rPr>
                          </w:pPr>
                          <w:r w:rsidRPr="00000C35">
                            <w:rPr>
                              <w:sz w:val="28"/>
                              <w:szCs w:val="28"/>
                            </w:rPr>
                            <w:t>4</w:t>
                          </w:r>
                        </w:p>
                        <w:p w14:paraId="098E8096" w14:textId="77777777" w:rsidR="00967F61" w:rsidRPr="00000C35" w:rsidRDefault="00967F61">
                          <w:pPr>
                            <w:jc w:val="right"/>
                            <w:rPr>
                              <w:sz w:val="28"/>
                              <w:szCs w:val="28"/>
                            </w:rPr>
                          </w:pPr>
                          <w:r w:rsidRPr="00000C35">
                            <w:rPr>
                              <w:sz w:val="28"/>
                              <w:szCs w:val="28"/>
                            </w:rPr>
                            <w:t>5</w:t>
                          </w:r>
                        </w:p>
                        <w:p w14:paraId="3AE7B72F" w14:textId="77777777" w:rsidR="00967F61" w:rsidRPr="00000C35" w:rsidRDefault="00967F61">
                          <w:pPr>
                            <w:jc w:val="right"/>
                            <w:rPr>
                              <w:sz w:val="28"/>
                              <w:szCs w:val="28"/>
                            </w:rPr>
                          </w:pPr>
                          <w:r w:rsidRPr="00000C35">
                            <w:rPr>
                              <w:sz w:val="28"/>
                              <w:szCs w:val="28"/>
                            </w:rPr>
                            <w:t>6</w:t>
                          </w:r>
                        </w:p>
                        <w:p w14:paraId="666B64DB" w14:textId="77777777" w:rsidR="00967F61" w:rsidRPr="00000C35" w:rsidRDefault="00967F61">
                          <w:pPr>
                            <w:jc w:val="right"/>
                            <w:rPr>
                              <w:sz w:val="28"/>
                              <w:szCs w:val="28"/>
                            </w:rPr>
                          </w:pPr>
                          <w:r w:rsidRPr="00000C35">
                            <w:rPr>
                              <w:sz w:val="28"/>
                              <w:szCs w:val="28"/>
                            </w:rPr>
                            <w:t>7</w:t>
                          </w:r>
                        </w:p>
                        <w:p w14:paraId="41091D25" w14:textId="77777777" w:rsidR="00967F61" w:rsidRPr="00000C35" w:rsidRDefault="00967F61">
                          <w:pPr>
                            <w:jc w:val="right"/>
                            <w:rPr>
                              <w:sz w:val="28"/>
                              <w:szCs w:val="28"/>
                            </w:rPr>
                          </w:pPr>
                          <w:r w:rsidRPr="00000C35">
                            <w:rPr>
                              <w:sz w:val="28"/>
                              <w:szCs w:val="28"/>
                            </w:rPr>
                            <w:t>8</w:t>
                          </w:r>
                        </w:p>
                        <w:p w14:paraId="15AFEA63" w14:textId="77777777" w:rsidR="00967F61" w:rsidRPr="00000C35" w:rsidRDefault="00967F61">
                          <w:pPr>
                            <w:jc w:val="right"/>
                            <w:rPr>
                              <w:sz w:val="28"/>
                              <w:szCs w:val="28"/>
                            </w:rPr>
                          </w:pPr>
                          <w:r w:rsidRPr="00000C35">
                            <w:rPr>
                              <w:sz w:val="28"/>
                              <w:szCs w:val="28"/>
                            </w:rPr>
                            <w:t>9</w:t>
                          </w:r>
                        </w:p>
                        <w:p w14:paraId="18BF988E" w14:textId="77777777" w:rsidR="00967F61" w:rsidRPr="00000C35" w:rsidRDefault="00967F61">
                          <w:pPr>
                            <w:jc w:val="right"/>
                            <w:rPr>
                              <w:sz w:val="28"/>
                              <w:szCs w:val="28"/>
                            </w:rPr>
                          </w:pPr>
                          <w:r w:rsidRPr="00000C35">
                            <w:rPr>
                              <w:sz w:val="28"/>
                              <w:szCs w:val="28"/>
                            </w:rPr>
                            <w:t>10</w:t>
                          </w:r>
                        </w:p>
                        <w:p w14:paraId="094C4918" w14:textId="77777777" w:rsidR="00967F61" w:rsidRPr="00000C35" w:rsidRDefault="00967F61">
                          <w:pPr>
                            <w:jc w:val="right"/>
                            <w:rPr>
                              <w:sz w:val="28"/>
                              <w:szCs w:val="28"/>
                            </w:rPr>
                          </w:pPr>
                          <w:r w:rsidRPr="00000C35">
                            <w:rPr>
                              <w:sz w:val="28"/>
                              <w:szCs w:val="28"/>
                            </w:rPr>
                            <w:t>11</w:t>
                          </w:r>
                        </w:p>
                        <w:p w14:paraId="4E9CD876" w14:textId="77777777" w:rsidR="00967F61" w:rsidRPr="00000C35" w:rsidRDefault="00967F61">
                          <w:pPr>
                            <w:jc w:val="right"/>
                            <w:rPr>
                              <w:sz w:val="28"/>
                              <w:szCs w:val="28"/>
                            </w:rPr>
                          </w:pPr>
                          <w:r w:rsidRPr="00000C35">
                            <w:rPr>
                              <w:sz w:val="28"/>
                              <w:szCs w:val="28"/>
                            </w:rPr>
                            <w:t>12</w:t>
                          </w:r>
                        </w:p>
                        <w:p w14:paraId="7229104A" w14:textId="77777777" w:rsidR="00967F61" w:rsidRPr="00000C35" w:rsidRDefault="00967F61">
                          <w:pPr>
                            <w:jc w:val="right"/>
                            <w:rPr>
                              <w:sz w:val="28"/>
                              <w:szCs w:val="28"/>
                            </w:rPr>
                          </w:pPr>
                          <w:r w:rsidRPr="00000C35">
                            <w:rPr>
                              <w:sz w:val="28"/>
                              <w:szCs w:val="28"/>
                            </w:rPr>
                            <w:t>13</w:t>
                          </w:r>
                        </w:p>
                        <w:p w14:paraId="2C62D687" w14:textId="77777777" w:rsidR="00967F61" w:rsidRPr="00000C35" w:rsidRDefault="00967F61">
                          <w:pPr>
                            <w:jc w:val="right"/>
                            <w:rPr>
                              <w:sz w:val="28"/>
                              <w:szCs w:val="28"/>
                            </w:rPr>
                          </w:pPr>
                          <w:r w:rsidRPr="00000C35">
                            <w:rPr>
                              <w:sz w:val="28"/>
                              <w:szCs w:val="28"/>
                            </w:rPr>
                            <w:t>14</w:t>
                          </w:r>
                        </w:p>
                        <w:p w14:paraId="66CCC565" w14:textId="77777777" w:rsidR="00967F61" w:rsidRPr="00000C35" w:rsidRDefault="00967F61">
                          <w:pPr>
                            <w:jc w:val="right"/>
                            <w:rPr>
                              <w:sz w:val="28"/>
                              <w:szCs w:val="28"/>
                            </w:rPr>
                          </w:pPr>
                          <w:r w:rsidRPr="00000C35">
                            <w:rPr>
                              <w:sz w:val="28"/>
                              <w:szCs w:val="28"/>
                            </w:rPr>
                            <w:t>15</w:t>
                          </w:r>
                        </w:p>
                        <w:p w14:paraId="58BD910D" w14:textId="77777777" w:rsidR="00967F61" w:rsidRPr="00000C35" w:rsidRDefault="00967F61">
                          <w:pPr>
                            <w:jc w:val="right"/>
                            <w:rPr>
                              <w:sz w:val="28"/>
                              <w:szCs w:val="28"/>
                            </w:rPr>
                          </w:pPr>
                          <w:r w:rsidRPr="00000C35">
                            <w:rPr>
                              <w:sz w:val="28"/>
                              <w:szCs w:val="28"/>
                            </w:rPr>
                            <w:t>16</w:t>
                          </w:r>
                        </w:p>
                        <w:p w14:paraId="7B7285FF" w14:textId="77777777" w:rsidR="00967F61" w:rsidRPr="00000C35" w:rsidRDefault="00967F61">
                          <w:pPr>
                            <w:jc w:val="right"/>
                            <w:rPr>
                              <w:sz w:val="28"/>
                              <w:szCs w:val="28"/>
                            </w:rPr>
                          </w:pPr>
                          <w:r w:rsidRPr="00000C35">
                            <w:rPr>
                              <w:sz w:val="28"/>
                              <w:szCs w:val="28"/>
                            </w:rPr>
                            <w:t>17</w:t>
                          </w:r>
                        </w:p>
                        <w:p w14:paraId="738B8583" w14:textId="77777777" w:rsidR="00967F61" w:rsidRPr="00000C35" w:rsidRDefault="00967F61">
                          <w:pPr>
                            <w:jc w:val="right"/>
                            <w:rPr>
                              <w:sz w:val="28"/>
                              <w:szCs w:val="28"/>
                            </w:rPr>
                          </w:pPr>
                          <w:r w:rsidRPr="00000C35">
                            <w:rPr>
                              <w:sz w:val="28"/>
                              <w:szCs w:val="28"/>
                            </w:rPr>
                            <w:t>18</w:t>
                          </w:r>
                        </w:p>
                        <w:p w14:paraId="4A8DF8C9" w14:textId="77777777" w:rsidR="00967F61" w:rsidRPr="00000C35" w:rsidRDefault="00967F61">
                          <w:pPr>
                            <w:jc w:val="right"/>
                            <w:rPr>
                              <w:sz w:val="28"/>
                              <w:szCs w:val="28"/>
                            </w:rPr>
                          </w:pPr>
                          <w:r w:rsidRPr="00000C35">
                            <w:rPr>
                              <w:sz w:val="28"/>
                              <w:szCs w:val="28"/>
                            </w:rPr>
                            <w:t>19</w:t>
                          </w:r>
                        </w:p>
                        <w:p w14:paraId="438E1D26" w14:textId="77777777" w:rsidR="00967F61" w:rsidRPr="00000C35" w:rsidRDefault="00967F61">
                          <w:pPr>
                            <w:jc w:val="right"/>
                            <w:rPr>
                              <w:sz w:val="28"/>
                              <w:szCs w:val="28"/>
                            </w:rPr>
                          </w:pPr>
                          <w:r w:rsidRPr="00000C35">
                            <w:rPr>
                              <w:sz w:val="28"/>
                              <w:szCs w:val="28"/>
                            </w:rPr>
                            <w:t>20</w:t>
                          </w:r>
                        </w:p>
                        <w:p w14:paraId="3E010462" w14:textId="77777777" w:rsidR="00967F61" w:rsidRPr="00000C35" w:rsidRDefault="00967F61">
                          <w:pPr>
                            <w:jc w:val="right"/>
                            <w:rPr>
                              <w:sz w:val="28"/>
                              <w:szCs w:val="28"/>
                            </w:rPr>
                          </w:pPr>
                          <w:r w:rsidRPr="00000C35">
                            <w:rPr>
                              <w:sz w:val="28"/>
                              <w:szCs w:val="28"/>
                            </w:rPr>
                            <w:t>21</w:t>
                          </w:r>
                        </w:p>
                        <w:p w14:paraId="48120BAD" w14:textId="77777777" w:rsidR="00967F61" w:rsidRPr="00000C35" w:rsidRDefault="00967F61">
                          <w:pPr>
                            <w:jc w:val="right"/>
                            <w:rPr>
                              <w:sz w:val="28"/>
                              <w:szCs w:val="28"/>
                            </w:rPr>
                          </w:pPr>
                          <w:r w:rsidRPr="00000C35">
                            <w:rPr>
                              <w:sz w:val="28"/>
                              <w:szCs w:val="28"/>
                            </w:rPr>
                            <w:t>22</w:t>
                          </w:r>
                        </w:p>
                        <w:p w14:paraId="7756D126" w14:textId="77777777" w:rsidR="00967F61" w:rsidRPr="00000C35" w:rsidRDefault="00967F61">
                          <w:pPr>
                            <w:jc w:val="right"/>
                            <w:rPr>
                              <w:sz w:val="28"/>
                              <w:szCs w:val="28"/>
                            </w:rPr>
                          </w:pPr>
                          <w:r w:rsidRPr="00000C35">
                            <w:rPr>
                              <w:sz w:val="28"/>
                              <w:szCs w:val="28"/>
                            </w:rPr>
                            <w:t>23</w:t>
                          </w:r>
                        </w:p>
                        <w:p w14:paraId="58A28ED2" w14:textId="77777777" w:rsidR="00967F61" w:rsidRPr="00000C35" w:rsidRDefault="00967F61">
                          <w:pPr>
                            <w:jc w:val="right"/>
                            <w:rPr>
                              <w:sz w:val="28"/>
                              <w:szCs w:val="28"/>
                            </w:rPr>
                          </w:pPr>
                          <w:r w:rsidRPr="00000C35">
                            <w:rPr>
                              <w:sz w:val="28"/>
                              <w:szCs w:val="28"/>
                            </w:rPr>
                            <w:t>24</w:t>
                          </w:r>
                        </w:p>
                        <w:p w14:paraId="6F4DFD68" w14:textId="77777777" w:rsidR="00967F61" w:rsidRPr="00000C35" w:rsidRDefault="00967F61">
                          <w:pPr>
                            <w:jc w:val="right"/>
                            <w:rPr>
                              <w:sz w:val="28"/>
                              <w:szCs w:val="28"/>
                            </w:rPr>
                          </w:pPr>
                          <w:r w:rsidRPr="00000C35">
                            <w:rPr>
                              <w:sz w:val="28"/>
                              <w:szCs w:val="28"/>
                            </w:rPr>
                            <w:t>25</w:t>
                          </w:r>
                        </w:p>
                        <w:p w14:paraId="1DFF66EF" w14:textId="77777777" w:rsidR="00967F61" w:rsidRPr="00000C35" w:rsidRDefault="00967F61">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102E0D1A" w14:textId="77777777" w:rsidR="00967F61" w:rsidRPr="00000C35" w:rsidRDefault="00967F61">
                    <w:pPr>
                      <w:jc w:val="right"/>
                      <w:rPr>
                        <w:sz w:val="28"/>
                        <w:szCs w:val="28"/>
                      </w:rPr>
                    </w:pPr>
                    <w:r w:rsidRPr="00000C35">
                      <w:rPr>
                        <w:sz w:val="28"/>
                        <w:szCs w:val="28"/>
                      </w:rPr>
                      <w:t>1</w:t>
                    </w:r>
                  </w:p>
                  <w:p w14:paraId="51B95C09" w14:textId="77777777" w:rsidR="00967F61" w:rsidRPr="00000C35" w:rsidRDefault="00967F61">
                    <w:pPr>
                      <w:jc w:val="right"/>
                      <w:rPr>
                        <w:sz w:val="28"/>
                        <w:szCs w:val="28"/>
                      </w:rPr>
                    </w:pPr>
                    <w:r w:rsidRPr="00000C35">
                      <w:rPr>
                        <w:sz w:val="28"/>
                        <w:szCs w:val="28"/>
                      </w:rPr>
                      <w:t>2</w:t>
                    </w:r>
                  </w:p>
                  <w:p w14:paraId="4F0CAAF2" w14:textId="77777777" w:rsidR="00967F61" w:rsidRPr="00000C35" w:rsidRDefault="00967F61">
                    <w:pPr>
                      <w:jc w:val="right"/>
                      <w:rPr>
                        <w:sz w:val="28"/>
                        <w:szCs w:val="28"/>
                      </w:rPr>
                    </w:pPr>
                    <w:r w:rsidRPr="00000C35">
                      <w:rPr>
                        <w:sz w:val="28"/>
                        <w:szCs w:val="28"/>
                      </w:rPr>
                      <w:t>3</w:t>
                    </w:r>
                  </w:p>
                  <w:p w14:paraId="3406F269" w14:textId="77777777" w:rsidR="00967F61" w:rsidRPr="00000C35" w:rsidRDefault="00967F61">
                    <w:pPr>
                      <w:jc w:val="right"/>
                      <w:rPr>
                        <w:sz w:val="28"/>
                        <w:szCs w:val="28"/>
                      </w:rPr>
                    </w:pPr>
                    <w:r w:rsidRPr="00000C35">
                      <w:rPr>
                        <w:sz w:val="28"/>
                        <w:szCs w:val="28"/>
                      </w:rPr>
                      <w:t>4</w:t>
                    </w:r>
                  </w:p>
                  <w:p w14:paraId="098E8096" w14:textId="77777777" w:rsidR="00967F61" w:rsidRPr="00000C35" w:rsidRDefault="00967F61">
                    <w:pPr>
                      <w:jc w:val="right"/>
                      <w:rPr>
                        <w:sz w:val="28"/>
                        <w:szCs w:val="28"/>
                      </w:rPr>
                    </w:pPr>
                    <w:r w:rsidRPr="00000C35">
                      <w:rPr>
                        <w:sz w:val="28"/>
                        <w:szCs w:val="28"/>
                      </w:rPr>
                      <w:t>5</w:t>
                    </w:r>
                  </w:p>
                  <w:p w14:paraId="3AE7B72F" w14:textId="77777777" w:rsidR="00967F61" w:rsidRPr="00000C35" w:rsidRDefault="00967F61">
                    <w:pPr>
                      <w:jc w:val="right"/>
                      <w:rPr>
                        <w:sz w:val="28"/>
                        <w:szCs w:val="28"/>
                      </w:rPr>
                    </w:pPr>
                    <w:r w:rsidRPr="00000C35">
                      <w:rPr>
                        <w:sz w:val="28"/>
                        <w:szCs w:val="28"/>
                      </w:rPr>
                      <w:t>6</w:t>
                    </w:r>
                  </w:p>
                  <w:p w14:paraId="666B64DB" w14:textId="77777777" w:rsidR="00967F61" w:rsidRPr="00000C35" w:rsidRDefault="00967F61">
                    <w:pPr>
                      <w:jc w:val="right"/>
                      <w:rPr>
                        <w:sz w:val="28"/>
                        <w:szCs w:val="28"/>
                      </w:rPr>
                    </w:pPr>
                    <w:r w:rsidRPr="00000C35">
                      <w:rPr>
                        <w:sz w:val="28"/>
                        <w:szCs w:val="28"/>
                      </w:rPr>
                      <w:t>7</w:t>
                    </w:r>
                  </w:p>
                  <w:p w14:paraId="41091D25" w14:textId="77777777" w:rsidR="00967F61" w:rsidRPr="00000C35" w:rsidRDefault="00967F61">
                    <w:pPr>
                      <w:jc w:val="right"/>
                      <w:rPr>
                        <w:sz w:val="28"/>
                        <w:szCs w:val="28"/>
                      </w:rPr>
                    </w:pPr>
                    <w:r w:rsidRPr="00000C35">
                      <w:rPr>
                        <w:sz w:val="28"/>
                        <w:szCs w:val="28"/>
                      </w:rPr>
                      <w:t>8</w:t>
                    </w:r>
                  </w:p>
                  <w:p w14:paraId="15AFEA63" w14:textId="77777777" w:rsidR="00967F61" w:rsidRPr="00000C35" w:rsidRDefault="00967F61">
                    <w:pPr>
                      <w:jc w:val="right"/>
                      <w:rPr>
                        <w:sz w:val="28"/>
                        <w:szCs w:val="28"/>
                      </w:rPr>
                    </w:pPr>
                    <w:r w:rsidRPr="00000C35">
                      <w:rPr>
                        <w:sz w:val="28"/>
                        <w:szCs w:val="28"/>
                      </w:rPr>
                      <w:t>9</w:t>
                    </w:r>
                  </w:p>
                  <w:p w14:paraId="18BF988E" w14:textId="77777777" w:rsidR="00967F61" w:rsidRPr="00000C35" w:rsidRDefault="00967F61">
                    <w:pPr>
                      <w:jc w:val="right"/>
                      <w:rPr>
                        <w:sz w:val="28"/>
                        <w:szCs w:val="28"/>
                      </w:rPr>
                    </w:pPr>
                    <w:r w:rsidRPr="00000C35">
                      <w:rPr>
                        <w:sz w:val="28"/>
                        <w:szCs w:val="28"/>
                      </w:rPr>
                      <w:t>10</w:t>
                    </w:r>
                  </w:p>
                  <w:p w14:paraId="094C4918" w14:textId="77777777" w:rsidR="00967F61" w:rsidRPr="00000C35" w:rsidRDefault="00967F61">
                    <w:pPr>
                      <w:jc w:val="right"/>
                      <w:rPr>
                        <w:sz w:val="28"/>
                        <w:szCs w:val="28"/>
                      </w:rPr>
                    </w:pPr>
                    <w:r w:rsidRPr="00000C35">
                      <w:rPr>
                        <w:sz w:val="28"/>
                        <w:szCs w:val="28"/>
                      </w:rPr>
                      <w:t>11</w:t>
                    </w:r>
                  </w:p>
                  <w:p w14:paraId="4E9CD876" w14:textId="77777777" w:rsidR="00967F61" w:rsidRPr="00000C35" w:rsidRDefault="00967F61">
                    <w:pPr>
                      <w:jc w:val="right"/>
                      <w:rPr>
                        <w:sz w:val="28"/>
                        <w:szCs w:val="28"/>
                      </w:rPr>
                    </w:pPr>
                    <w:r w:rsidRPr="00000C35">
                      <w:rPr>
                        <w:sz w:val="28"/>
                        <w:szCs w:val="28"/>
                      </w:rPr>
                      <w:t>12</w:t>
                    </w:r>
                  </w:p>
                  <w:p w14:paraId="7229104A" w14:textId="77777777" w:rsidR="00967F61" w:rsidRPr="00000C35" w:rsidRDefault="00967F61">
                    <w:pPr>
                      <w:jc w:val="right"/>
                      <w:rPr>
                        <w:sz w:val="28"/>
                        <w:szCs w:val="28"/>
                      </w:rPr>
                    </w:pPr>
                    <w:r w:rsidRPr="00000C35">
                      <w:rPr>
                        <w:sz w:val="28"/>
                        <w:szCs w:val="28"/>
                      </w:rPr>
                      <w:t>13</w:t>
                    </w:r>
                  </w:p>
                  <w:p w14:paraId="2C62D687" w14:textId="77777777" w:rsidR="00967F61" w:rsidRPr="00000C35" w:rsidRDefault="00967F61">
                    <w:pPr>
                      <w:jc w:val="right"/>
                      <w:rPr>
                        <w:sz w:val="28"/>
                        <w:szCs w:val="28"/>
                      </w:rPr>
                    </w:pPr>
                    <w:r w:rsidRPr="00000C35">
                      <w:rPr>
                        <w:sz w:val="28"/>
                        <w:szCs w:val="28"/>
                      </w:rPr>
                      <w:t>14</w:t>
                    </w:r>
                  </w:p>
                  <w:p w14:paraId="66CCC565" w14:textId="77777777" w:rsidR="00967F61" w:rsidRPr="00000C35" w:rsidRDefault="00967F61">
                    <w:pPr>
                      <w:jc w:val="right"/>
                      <w:rPr>
                        <w:sz w:val="28"/>
                        <w:szCs w:val="28"/>
                      </w:rPr>
                    </w:pPr>
                    <w:r w:rsidRPr="00000C35">
                      <w:rPr>
                        <w:sz w:val="28"/>
                        <w:szCs w:val="28"/>
                      </w:rPr>
                      <w:t>15</w:t>
                    </w:r>
                  </w:p>
                  <w:p w14:paraId="58BD910D" w14:textId="77777777" w:rsidR="00967F61" w:rsidRPr="00000C35" w:rsidRDefault="00967F61">
                    <w:pPr>
                      <w:jc w:val="right"/>
                      <w:rPr>
                        <w:sz w:val="28"/>
                        <w:szCs w:val="28"/>
                      </w:rPr>
                    </w:pPr>
                    <w:r w:rsidRPr="00000C35">
                      <w:rPr>
                        <w:sz w:val="28"/>
                        <w:szCs w:val="28"/>
                      </w:rPr>
                      <w:t>16</w:t>
                    </w:r>
                  </w:p>
                  <w:p w14:paraId="7B7285FF" w14:textId="77777777" w:rsidR="00967F61" w:rsidRPr="00000C35" w:rsidRDefault="00967F61">
                    <w:pPr>
                      <w:jc w:val="right"/>
                      <w:rPr>
                        <w:sz w:val="28"/>
                        <w:szCs w:val="28"/>
                      </w:rPr>
                    </w:pPr>
                    <w:r w:rsidRPr="00000C35">
                      <w:rPr>
                        <w:sz w:val="28"/>
                        <w:szCs w:val="28"/>
                      </w:rPr>
                      <w:t>17</w:t>
                    </w:r>
                  </w:p>
                  <w:p w14:paraId="738B8583" w14:textId="77777777" w:rsidR="00967F61" w:rsidRPr="00000C35" w:rsidRDefault="00967F61">
                    <w:pPr>
                      <w:jc w:val="right"/>
                      <w:rPr>
                        <w:sz w:val="28"/>
                        <w:szCs w:val="28"/>
                      </w:rPr>
                    </w:pPr>
                    <w:r w:rsidRPr="00000C35">
                      <w:rPr>
                        <w:sz w:val="28"/>
                        <w:szCs w:val="28"/>
                      </w:rPr>
                      <w:t>18</w:t>
                    </w:r>
                  </w:p>
                  <w:p w14:paraId="4A8DF8C9" w14:textId="77777777" w:rsidR="00967F61" w:rsidRPr="00000C35" w:rsidRDefault="00967F61">
                    <w:pPr>
                      <w:jc w:val="right"/>
                      <w:rPr>
                        <w:sz w:val="28"/>
                        <w:szCs w:val="28"/>
                      </w:rPr>
                    </w:pPr>
                    <w:r w:rsidRPr="00000C35">
                      <w:rPr>
                        <w:sz w:val="28"/>
                        <w:szCs w:val="28"/>
                      </w:rPr>
                      <w:t>19</w:t>
                    </w:r>
                  </w:p>
                  <w:p w14:paraId="438E1D26" w14:textId="77777777" w:rsidR="00967F61" w:rsidRPr="00000C35" w:rsidRDefault="00967F61">
                    <w:pPr>
                      <w:jc w:val="right"/>
                      <w:rPr>
                        <w:sz w:val="28"/>
                        <w:szCs w:val="28"/>
                      </w:rPr>
                    </w:pPr>
                    <w:r w:rsidRPr="00000C35">
                      <w:rPr>
                        <w:sz w:val="28"/>
                        <w:szCs w:val="28"/>
                      </w:rPr>
                      <w:t>20</w:t>
                    </w:r>
                  </w:p>
                  <w:p w14:paraId="3E010462" w14:textId="77777777" w:rsidR="00967F61" w:rsidRPr="00000C35" w:rsidRDefault="00967F61">
                    <w:pPr>
                      <w:jc w:val="right"/>
                      <w:rPr>
                        <w:sz w:val="28"/>
                        <w:szCs w:val="28"/>
                      </w:rPr>
                    </w:pPr>
                    <w:r w:rsidRPr="00000C35">
                      <w:rPr>
                        <w:sz w:val="28"/>
                        <w:szCs w:val="28"/>
                      </w:rPr>
                      <w:t>21</w:t>
                    </w:r>
                  </w:p>
                  <w:p w14:paraId="48120BAD" w14:textId="77777777" w:rsidR="00967F61" w:rsidRPr="00000C35" w:rsidRDefault="00967F61">
                    <w:pPr>
                      <w:jc w:val="right"/>
                      <w:rPr>
                        <w:sz w:val="28"/>
                        <w:szCs w:val="28"/>
                      </w:rPr>
                    </w:pPr>
                    <w:r w:rsidRPr="00000C35">
                      <w:rPr>
                        <w:sz w:val="28"/>
                        <w:szCs w:val="28"/>
                      </w:rPr>
                      <w:t>22</w:t>
                    </w:r>
                  </w:p>
                  <w:p w14:paraId="7756D126" w14:textId="77777777" w:rsidR="00967F61" w:rsidRPr="00000C35" w:rsidRDefault="00967F61">
                    <w:pPr>
                      <w:jc w:val="right"/>
                      <w:rPr>
                        <w:sz w:val="28"/>
                        <w:szCs w:val="28"/>
                      </w:rPr>
                    </w:pPr>
                    <w:r w:rsidRPr="00000C35">
                      <w:rPr>
                        <w:sz w:val="28"/>
                        <w:szCs w:val="28"/>
                      </w:rPr>
                      <w:t>23</w:t>
                    </w:r>
                  </w:p>
                  <w:p w14:paraId="58A28ED2" w14:textId="77777777" w:rsidR="00967F61" w:rsidRPr="00000C35" w:rsidRDefault="00967F61">
                    <w:pPr>
                      <w:jc w:val="right"/>
                      <w:rPr>
                        <w:sz w:val="28"/>
                        <w:szCs w:val="28"/>
                      </w:rPr>
                    </w:pPr>
                    <w:r w:rsidRPr="00000C35">
                      <w:rPr>
                        <w:sz w:val="28"/>
                        <w:szCs w:val="28"/>
                      </w:rPr>
                      <w:t>24</w:t>
                    </w:r>
                  </w:p>
                  <w:p w14:paraId="6F4DFD68" w14:textId="77777777" w:rsidR="00967F61" w:rsidRPr="00000C35" w:rsidRDefault="00967F61">
                    <w:pPr>
                      <w:jc w:val="right"/>
                      <w:rPr>
                        <w:sz w:val="28"/>
                        <w:szCs w:val="28"/>
                      </w:rPr>
                    </w:pPr>
                    <w:r w:rsidRPr="00000C35">
                      <w:rPr>
                        <w:sz w:val="28"/>
                        <w:szCs w:val="28"/>
                      </w:rPr>
                      <w:t>25</w:t>
                    </w:r>
                  </w:p>
                  <w:p w14:paraId="1DFF66EF" w14:textId="77777777" w:rsidR="00967F61" w:rsidRPr="00000C35" w:rsidRDefault="00967F61">
                    <w:pPr>
                      <w:jc w:val="right"/>
                      <w:rPr>
                        <w:sz w:val="28"/>
                        <w:szCs w:val="2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BC560" w14:textId="77777777" w:rsidR="001949D7" w:rsidRDefault="00194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E8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814D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A73C0B"/>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9B4FD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8E2D02"/>
    <w:multiLevelType w:val="hybridMultilevel"/>
    <w:tmpl w:val="EF02DEEA"/>
    <w:lvl w:ilvl="0" w:tplc="EF82D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602D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D2776"/>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1B027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73DC6"/>
    <w:multiLevelType w:val="hybridMultilevel"/>
    <w:tmpl w:val="C58C34BE"/>
    <w:lvl w:ilvl="0" w:tplc="26B071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7886E8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00428E"/>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E418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84C47"/>
    <w:multiLevelType w:val="hybridMultilevel"/>
    <w:tmpl w:val="88605894"/>
    <w:lvl w:ilvl="0" w:tplc="2A266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224C33"/>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AC372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1D38B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0B5C52"/>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4F6FF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4351E1"/>
    <w:multiLevelType w:val="hybridMultilevel"/>
    <w:tmpl w:val="59184A4C"/>
    <w:lvl w:ilvl="0" w:tplc="E8BC27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A85CA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28"/>
  </w:num>
  <w:num w:numId="3">
    <w:abstractNumId w:val="6"/>
  </w:num>
  <w:num w:numId="4">
    <w:abstractNumId w:val="11"/>
  </w:num>
  <w:num w:numId="5">
    <w:abstractNumId w:val="17"/>
  </w:num>
  <w:num w:numId="6">
    <w:abstractNumId w:val="19"/>
  </w:num>
  <w:num w:numId="7">
    <w:abstractNumId w:val="7"/>
  </w:num>
  <w:num w:numId="8">
    <w:abstractNumId w:val="33"/>
  </w:num>
  <w:num w:numId="9">
    <w:abstractNumId w:val="20"/>
  </w:num>
  <w:num w:numId="10">
    <w:abstractNumId w:val="25"/>
  </w:num>
  <w:num w:numId="11">
    <w:abstractNumId w:val="23"/>
  </w:num>
  <w:num w:numId="12">
    <w:abstractNumId w:val="13"/>
  </w:num>
  <w:num w:numId="13">
    <w:abstractNumId w:val="8"/>
  </w:num>
  <w:num w:numId="14">
    <w:abstractNumId w:val="10"/>
  </w:num>
  <w:num w:numId="15">
    <w:abstractNumId w:val="21"/>
  </w:num>
  <w:num w:numId="16">
    <w:abstractNumId w:val="31"/>
  </w:num>
  <w:num w:numId="17">
    <w:abstractNumId w:val="26"/>
  </w:num>
  <w:num w:numId="18">
    <w:abstractNumId w:val="4"/>
  </w:num>
  <w:num w:numId="19">
    <w:abstractNumId w:val="12"/>
  </w:num>
  <w:num w:numId="20">
    <w:abstractNumId w:val="32"/>
  </w:num>
  <w:num w:numId="21">
    <w:abstractNumId w:val="3"/>
  </w:num>
  <w:num w:numId="22">
    <w:abstractNumId w:val="24"/>
  </w:num>
  <w:num w:numId="23">
    <w:abstractNumId w:val="1"/>
  </w:num>
  <w:num w:numId="24">
    <w:abstractNumId w:val="16"/>
  </w:num>
  <w:num w:numId="25">
    <w:abstractNumId w:val="5"/>
  </w:num>
  <w:num w:numId="26">
    <w:abstractNumId w:val="22"/>
  </w:num>
  <w:num w:numId="27">
    <w:abstractNumId w:val="2"/>
  </w:num>
  <w:num w:numId="28">
    <w:abstractNumId w:val="30"/>
  </w:num>
  <w:num w:numId="29">
    <w:abstractNumId w:val="29"/>
  </w:num>
  <w:num w:numId="30">
    <w:abstractNumId w:val="9"/>
  </w:num>
  <w:num w:numId="31">
    <w:abstractNumId w:val="0"/>
  </w:num>
  <w:num w:numId="32">
    <w:abstractNumId w:val="15"/>
  </w:num>
  <w:num w:numId="33">
    <w:abstractNumId w:val="18"/>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05824"/>
    <w:rsid w:val="00012531"/>
    <w:rsid w:val="00013CE0"/>
    <w:rsid w:val="00025B19"/>
    <w:rsid w:val="00035056"/>
    <w:rsid w:val="000410B3"/>
    <w:rsid w:val="00043D4D"/>
    <w:rsid w:val="0004786F"/>
    <w:rsid w:val="00052372"/>
    <w:rsid w:val="00056CA0"/>
    <w:rsid w:val="0006397E"/>
    <w:rsid w:val="000666D1"/>
    <w:rsid w:val="00072E08"/>
    <w:rsid w:val="00076747"/>
    <w:rsid w:val="00082835"/>
    <w:rsid w:val="000829A0"/>
    <w:rsid w:val="000868BC"/>
    <w:rsid w:val="000917C0"/>
    <w:rsid w:val="000A1D6B"/>
    <w:rsid w:val="000A62F3"/>
    <w:rsid w:val="000C48A9"/>
    <w:rsid w:val="000C58DC"/>
    <w:rsid w:val="000D5D16"/>
    <w:rsid w:val="000D7E6C"/>
    <w:rsid w:val="000F54A9"/>
    <w:rsid w:val="000F690F"/>
    <w:rsid w:val="000F71D8"/>
    <w:rsid w:val="000F7A7F"/>
    <w:rsid w:val="000F7C13"/>
    <w:rsid w:val="001003C3"/>
    <w:rsid w:val="00107707"/>
    <w:rsid w:val="00116D61"/>
    <w:rsid w:val="00120C0E"/>
    <w:rsid w:val="0012408C"/>
    <w:rsid w:val="001242B6"/>
    <w:rsid w:val="00131578"/>
    <w:rsid w:val="00133760"/>
    <w:rsid w:val="00134B99"/>
    <w:rsid w:val="00135326"/>
    <w:rsid w:val="00156D8F"/>
    <w:rsid w:val="00177417"/>
    <w:rsid w:val="0018360F"/>
    <w:rsid w:val="001949D7"/>
    <w:rsid w:val="0019690A"/>
    <w:rsid w:val="001A2520"/>
    <w:rsid w:val="001A741A"/>
    <w:rsid w:val="001B054C"/>
    <w:rsid w:val="001B25E1"/>
    <w:rsid w:val="001C5E17"/>
    <w:rsid w:val="001D0AAA"/>
    <w:rsid w:val="001E6473"/>
    <w:rsid w:val="001F591C"/>
    <w:rsid w:val="00203A04"/>
    <w:rsid w:val="00213ABC"/>
    <w:rsid w:val="00245270"/>
    <w:rsid w:val="00262BE7"/>
    <w:rsid w:val="00264B7E"/>
    <w:rsid w:val="00267532"/>
    <w:rsid w:val="0027359D"/>
    <w:rsid w:val="00274D6A"/>
    <w:rsid w:val="00291360"/>
    <w:rsid w:val="00297773"/>
    <w:rsid w:val="002B0C94"/>
    <w:rsid w:val="002B5F7C"/>
    <w:rsid w:val="002D2738"/>
    <w:rsid w:val="002D2E4D"/>
    <w:rsid w:val="002E6D70"/>
    <w:rsid w:val="002F00F4"/>
    <w:rsid w:val="003024C2"/>
    <w:rsid w:val="00303F08"/>
    <w:rsid w:val="00303F65"/>
    <w:rsid w:val="00305B80"/>
    <w:rsid w:val="003160E1"/>
    <w:rsid w:val="00327BB4"/>
    <w:rsid w:val="00331ECE"/>
    <w:rsid w:val="00336E01"/>
    <w:rsid w:val="00341028"/>
    <w:rsid w:val="00352347"/>
    <w:rsid w:val="003566D6"/>
    <w:rsid w:val="00357F4D"/>
    <w:rsid w:val="003617D1"/>
    <w:rsid w:val="003617F7"/>
    <w:rsid w:val="00364150"/>
    <w:rsid w:val="0036551C"/>
    <w:rsid w:val="003700EE"/>
    <w:rsid w:val="003755A5"/>
    <w:rsid w:val="00377199"/>
    <w:rsid w:val="00397E14"/>
    <w:rsid w:val="003A28AC"/>
    <w:rsid w:val="003B3AB7"/>
    <w:rsid w:val="003B402A"/>
    <w:rsid w:val="003B699A"/>
    <w:rsid w:val="003B706E"/>
    <w:rsid w:val="003C2FDA"/>
    <w:rsid w:val="003C33ED"/>
    <w:rsid w:val="003C4B1B"/>
    <w:rsid w:val="003C4E7F"/>
    <w:rsid w:val="003D0699"/>
    <w:rsid w:val="003D1B33"/>
    <w:rsid w:val="003E6A88"/>
    <w:rsid w:val="00401FE1"/>
    <w:rsid w:val="00407E2D"/>
    <w:rsid w:val="00415FD2"/>
    <w:rsid w:val="00422F15"/>
    <w:rsid w:val="00427673"/>
    <w:rsid w:val="00431CB5"/>
    <w:rsid w:val="004331B2"/>
    <w:rsid w:val="00440E4C"/>
    <w:rsid w:val="00443C91"/>
    <w:rsid w:val="0044693C"/>
    <w:rsid w:val="00447944"/>
    <w:rsid w:val="00460947"/>
    <w:rsid w:val="00460E63"/>
    <w:rsid w:val="00463734"/>
    <w:rsid w:val="0046578F"/>
    <w:rsid w:val="004833CE"/>
    <w:rsid w:val="00484BAB"/>
    <w:rsid w:val="004918F5"/>
    <w:rsid w:val="004927FD"/>
    <w:rsid w:val="00492B42"/>
    <w:rsid w:val="00492F69"/>
    <w:rsid w:val="00494BDF"/>
    <w:rsid w:val="004972F3"/>
    <w:rsid w:val="0049776A"/>
    <w:rsid w:val="00497812"/>
    <w:rsid w:val="00497CE7"/>
    <w:rsid w:val="004A7A9D"/>
    <w:rsid w:val="004B6016"/>
    <w:rsid w:val="004C1B73"/>
    <w:rsid w:val="004C3AE3"/>
    <w:rsid w:val="004D303F"/>
    <w:rsid w:val="004D6622"/>
    <w:rsid w:val="004D6C64"/>
    <w:rsid w:val="00504B1A"/>
    <w:rsid w:val="00504E1E"/>
    <w:rsid w:val="00504E81"/>
    <w:rsid w:val="00506803"/>
    <w:rsid w:val="00506859"/>
    <w:rsid w:val="005074BE"/>
    <w:rsid w:val="00510EAE"/>
    <w:rsid w:val="0051273D"/>
    <w:rsid w:val="00520F93"/>
    <w:rsid w:val="00522009"/>
    <w:rsid w:val="00522758"/>
    <w:rsid w:val="0052337B"/>
    <w:rsid w:val="00526087"/>
    <w:rsid w:val="005275CC"/>
    <w:rsid w:val="005303B6"/>
    <w:rsid w:val="005328E8"/>
    <w:rsid w:val="00532975"/>
    <w:rsid w:val="00540770"/>
    <w:rsid w:val="00550D25"/>
    <w:rsid w:val="00553D1B"/>
    <w:rsid w:val="00564D07"/>
    <w:rsid w:val="00566856"/>
    <w:rsid w:val="00592FD8"/>
    <w:rsid w:val="00594E2D"/>
    <w:rsid w:val="005971F4"/>
    <w:rsid w:val="00597A0F"/>
    <w:rsid w:val="005A1A7A"/>
    <w:rsid w:val="005A21B0"/>
    <w:rsid w:val="005A5C62"/>
    <w:rsid w:val="005A6282"/>
    <w:rsid w:val="005B1356"/>
    <w:rsid w:val="005B2DC1"/>
    <w:rsid w:val="005B3B5D"/>
    <w:rsid w:val="005B5161"/>
    <w:rsid w:val="005C4410"/>
    <w:rsid w:val="005C58BA"/>
    <w:rsid w:val="005C59C8"/>
    <w:rsid w:val="005D598D"/>
    <w:rsid w:val="005D699A"/>
    <w:rsid w:val="005D6AD4"/>
    <w:rsid w:val="005D6E38"/>
    <w:rsid w:val="005F02F8"/>
    <w:rsid w:val="005F457C"/>
    <w:rsid w:val="006027AB"/>
    <w:rsid w:val="00621727"/>
    <w:rsid w:val="0062695B"/>
    <w:rsid w:val="00630F92"/>
    <w:rsid w:val="006338C1"/>
    <w:rsid w:val="00636F5E"/>
    <w:rsid w:val="00640CC4"/>
    <w:rsid w:val="006410A6"/>
    <w:rsid w:val="006435A1"/>
    <w:rsid w:val="00646C62"/>
    <w:rsid w:val="00656EA2"/>
    <w:rsid w:val="00660556"/>
    <w:rsid w:val="00661732"/>
    <w:rsid w:val="00664CB9"/>
    <w:rsid w:val="00665CCF"/>
    <w:rsid w:val="006666D1"/>
    <w:rsid w:val="006721EC"/>
    <w:rsid w:val="00673192"/>
    <w:rsid w:val="00677063"/>
    <w:rsid w:val="00682EA7"/>
    <w:rsid w:val="006932BA"/>
    <w:rsid w:val="006957E9"/>
    <w:rsid w:val="006A0AFF"/>
    <w:rsid w:val="006A1DDB"/>
    <w:rsid w:val="006B4F9A"/>
    <w:rsid w:val="006B65D1"/>
    <w:rsid w:val="006C1366"/>
    <w:rsid w:val="006C5CE4"/>
    <w:rsid w:val="006D6031"/>
    <w:rsid w:val="006F5ECA"/>
    <w:rsid w:val="006F63FD"/>
    <w:rsid w:val="00703AE1"/>
    <w:rsid w:val="00720FE6"/>
    <w:rsid w:val="00722B0F"/>
    <w:rsid w:val="007265D8"/>
    <w:rsid w:val="00727D5D"/>
    <w:rsid w:val="00732169"/>
    <w:rsid w:val="007326C8"/>
    <w:rsid w:val="00732ED8"/>
    <w:rsid w:val="00735659"/>
    <w:rsid w:val="007361D0"/>
    <w:rsid w:val="00744130"/>
    <w:rsid w:val="007479DC"/>
    <w:rsid w:val="00751E69"/>
    <w:rsid w:val="00752B4C"/>
    <w:rsid w:val="00753914"/>
    <w:rsid w:val="0075606F"/>
    <w:rsid w:val="00757E5B"/>
    <w:rsid w:val="007639B5"/>
    <w:rsid w:val="007658D4"/>
    <w:rsid w:val="0077110E"/>
    <w:rsid w:val="00775B02"/>
    <w:rsid w:val="00783B45"/>
    <w:rsid w:val="007870CB"/>
    <w:rsid w:val="007A2140"/>
    <w:rsid w:val="007A24CC"/>
    <w:rsid w:val="007A3F0F"/>
    <w:rsid w:val="007B12B3"/>
    <w:rsid w:val="007B5BD9"/>
    <w:rsid w:val="007C4A3E"/>
    <w:rsid w:val="007D3836"/>
    <w:rsid w:val="007D5C49"/>
    <w:rsid w:val="007D73FF"/>
    <w:rsid w:val="007D7E88"/>
    <w:rsid w:val="007E445B"/>
    <w:rsid w:val="007F0A6F"/>
    <w:rsid w:val="008006ED"/>
    <w:rsid w:val="00806B52"/>
    <w:rsid w:val="0081185D"/>
    <w:rsid w:val="00814DCF"/>
    <w:rsid w:val="008172B1"/>
    <w:rsid w:val="00822598"/>
    <w:rsid w:val="00822C54"/>
    <w:rsid w:val="0083469E"/>
    <w:rsid w:val="008360A1"/>
    <w:rsid w:val="0084227D"/>
    <w:rsid w:val="008540F9"/>
    <w:rsid w:val="00861563"/>
    <w:rsid w:val="00871AAA"/>
    <w:rsid w:val="00877C59"/>
    <w:rsid w:val="00891AAA"/>
    <w:rsid w:val="00896CBF"/>
    <w:rsid w:val="0089784A"/>
    <w:rsid w:val="008B2BBE"/>
    <w:rsid w:val="008B31DD"/>
    <w:rsid w:val="008D6D4C"/>
    <w:rsid w:val="008F64B4"/>
    <w:rsid w:val="008F67E6"/>
    <w:rsid w:val="00901A7B"/>
    <w:rsid w:val="00902557"/>
    <w:rsid w:val="00910EF5"/>
    <w:rsid w:val="009160E9"/>
    <w:rsid w:val="00933723"/>
    <w:rsid w:val="00933EA1"/>
    <w:rsid w:val="00945929"/>
    <w:rsid w:val="00947DB1"/>
    <w:rsid w:val="00951416"/>
    <w:rsid w:val="00960D21"/>
    <w:rsid w:val="00967F61"/>
    <w:rsid w:val="00970718"/>
    <w:rsid w:val="00970A6F"/>
    <w:rsid w:val="00971F3A"/>
    <w:rsid w:val="00974566"/>
    <w:rsid w:val="00981D29"/>
    <w:rsid w:val="00981E11"/>
    <w:rsid w:val="00986498"/>
    <w:rsid w:val="009A647F"/>
    <w:rsid w:val="009C1CAA"/>
    <w:rsid w:val="009E153B"/>
    <w:rsid w:val="009F4B43"/>
    <w:rsid w:val="00A0595A"/>
    <w:rsid w:val="00A07874"/>
    <w:rsid w:val="00A11510"/>
    <w:rsid w:val="00A133C4"/>
    <w:rsid w:val="00A14B4F"/>
    <w:rsid w:val="00A1564B"/>
    <w:rsid w:val="00A27EB9"/>
    <w:rsid w:val="00A37211"/>
    <w:rsid w:val="00A42BE2"/>
    <w:rsid w:val="00A4629B"/>
    <w:rsid w:val="00A50A82"/>
    <w:rsid w:val="00A5194F"/>
    <w:rsid w:val="00A57220"/>
    <w:rsid w:val="00A622FD"/>
    <w:rsid w:val="00A62C72"/>
    <w:rsid w:val="00A641B3"/>
    <w:rsid w:val="00A871D6"/>
    <w:rsid w:val="00AA768E"/>
    <w:rsid w:val="00AB1635"/>
    <w:rsid w:val="00AB401C"/>
    <w:rsid w:val="00AC5069"/>
    <w:rsid w:val="00AD4B21"/>
    <w:rsid w:val="00AD6948"/>
    <w:rsid w:val="00AE30C2"/>
    <w:rsid w:val="00AE75A0"/>
    <w:rsid w:val="00AF005F"/>
    <w:rsid w:val="00AF282C"/>
    <w:rsid w:val="00AF3FF7"/>
    <w:rsid w:val="00AF4649"/>
    <w:rsid w:val="00AF7028"/>
    <w:rsid w:val="00B02AF3"/>
    <w:rsid w:val="00B0715E"/>
    <w:rsid w:val="00B11617"/>
    <w:rsid w:val="00B12FD4"/>
    <w:rsid w:val="00B137E3"/>
    <w:rsid w:val="00B14571"/>
    <w:rsid w:val="00B1491D"/>
    <w:rsid w:val="00B1673F"/>
    <w:rsid w:val="00B3627A"/>
    <w:rsid w:val="00B41664"/>
    <w:rsid w:val="00B43995"/>
    <w:rsid w:val="00B47B7D"/>
    <w:rsid w:val="00B5499E"/>
    <w:rsid w:val="00B65963"/>
    <w:rsid w:val="00B8736F"/>
    <w:rsid w:val="00B87B69"/>
    <w:rsid w:val="00B92950"/>
    <w:rsid w:val="00B92D7E"/>
    <w:rsid w:val="00BA0826"/>
    <w:rsid w:val="00BB54FE"/>
    <w:rsid w:val="00BB5AD1"/>
    <w:rsid w:val="00BC0ABB"/>
    <w:rsid w:val="00BF0E36"/>
    <w:rsid w:val="00C03E0F"/>
    <w:rsid w:val="00C052DC"/>
    <w:rsid w:val="00C17C29"/>
    <w:rsid w:val="00C20779"/>
    <w:rsid w:val="00C33B68"/>
    <w:rsid w:val="00C34AB4"/>
    <w:rsid w:val="00C35DE3"/>
    <w:rsid w:val="00C37715"/>
    <w:rsid w:val="00C40CF4"/>
    <w:rsid w:val="00C42E3B"/>
    <w:rsid w:val="00C52E56"/>
    <w:rsid w:val="00C5407A"/>
    <w:rsid w:val="00C662B0"/>
    <w:rsid w:val="00C7106E"/>
    <w:rsid w:val="00C84FD4"/>
    <w:rsid w:val="00C958EE"/>
    <w:rsid w:val="00CA1515"/>
    <w:rsid w:val="00CA4CBA"/>
    <w:rsid w:val="00CA6C25"/>
    <w:rsid w:val="00CC2E2B"/>
    <w:rsid w:val="00CD21FB"/>
    <w:rsid w:val="00CE6871"/>
    <w:rsid w:val="00CF7E14"/>
    <w:rsid w:val="00D0470C"/>
    <w:rsid w:val="00D05018"/>
    <w:rsid w:val="00D0655B"/>
    <w:rsid w:val="00D165CB"/>
    <w:rsid w:val="00D20A63"/>
    <w:rsid w:val="00D2753B"/>
    <w:rsid w:val="00D41134"/>
    <w:rsid w:val="00D423FE"/>
    <w:rsid w:val="00D442E4"/>
    <w:rsid w:val="00D45473"/>
    <w:rsid w:val="00D4799C"/>
    <w:rsid w:val="00D513DC"/>
    <w:rsid w:val="00D51D03"/>
    <w:rsid w:val="00D6666E"/>
    <w:rsid w:val="00D706B1"/>
    <w:rsid w:val="00D70DC1"/>
    <w:rsid w:val="00D72D57"/>
    <w:rsid w:val="00D76C9A"/>
    <w:rsid w:val="00D770D6"/>
    <w:rsid w:val="00D808EE"/>
    <w:rsid w:val="00D80EDC"/>
    <w:rsid w:val="00D95EA0"/>
    <w:rsid w:val="00DA2F45"/>
    <w:rsid w:val="00DA398A"/>
    <w:rsid w:val="00DC4F14"/>
    <w:rsid w:val="00DD0E34"/>
    <w:rsid w:val="00DD480C"/>
    <w:rsid w:val="00DE52B9"/>
    <w:rsid w:val="00DE7701"/>
    <w:rsid w:val="00DF4F15"/>
    <w:rsid w:val="00E00AF4"/>
    <w:rsid w:val="00E0220D"/>
    <w:rsid w:val="00E047D3"/>
    <w:rsid w:val="00E21F02"/>
    <w:rsid w:val="00E22BA5"/>
    <w:rsid w:val="00E23326"/>
    <w:rsid w:val="00E2485C"/>
    <w:rsid w:val="00E266B7"/>
    <w:rsid w:val="00E321C5"/>
    <w:rsid w:val="00E37197"/>
    <w:rsid w:val="00E42028"/>
    <w:rsid w:val="00E55CEE"/>
    <w:rsid w:val="00E5772B"/>
    <w:rsid w:val="00E66FCC"/>
    <w:rsid w:val="00E67511"/>
    <w:rsid w:val="00E734CC"/>
    <w:rsid w:val="00E7565F"/>
    <w:rsid w:val="00E82D0F"/>
    <w:rsid w:val="00E87BCF"/>
    <w:rsid w:val="00E950B5"/>
    <w:rsid w:val="00EA2B76"/>
    <w:rsid w:val="00EA44EA"/>
    <w:rsid w:val="00EA57BF"/>
    <w:rsid w:val="00EB03E5"/>
    <w:rsid w:val="00EB7FE0"/>
    <w:rsid w:val="00EC4CEE"/>
    <w:rsid w:val="00ED62C5"/>
    <w:rsid w:val="00EF175F"/>
    <w:rsid w:val="00EF31D8"/>
    <w:rsid w:val="00F032D1"/>
    <w:rsid w:val="00F05879"/>
    <w:rsid w:val="00F06F5B"/>
    <w:rsid w:val="00F115F7"/>
    <w:rsid w:val="00F22037"/>
    <w:rsid w:val="00F2485D"/>
    <w:rsid w:val="00F33926"/>
    <w:rsid w:val="00F403C7"/>
    <w:rsid w:val="00F423D9"/>
    <w:rsid w:val="00F54DF7"/>
    <w:rsid w:val="00F56C5C"/>
    <w:rsid w:val="00F60C61"/>
    <w:rsid w:val="00F64B52"/>
    <w:rsid w:val="00F65B6B"/>
    <w:rsid w:val="00F66881"/>
    <w:rsid w:val="00F86C53"/>
    <w:rsid w:val="00FA177C"/>
    <w:rsid w:val="00FA2940"/>
    <w:rsid w:val="00FA711A"/>
    <w:rsid w:val="00FB0EF5"/>
    <w:rsid w:val="00FB5291"/>
    <w:rsid w:val="00FB615D"/>
    <w:rsid w:val="00FC2814"/>
    <w:rsid w:val="00FD0C85"/>
    <w:rsid w:val="00FD3D4E"/>
    <w:rsid w:val="00FD583A"/>
    <w:rsid w:val="00FE2A7E"/>
    <w:rsid w:val="00FE7BE7"/>
    <w:rsid w:val="00FF739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19661"/>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NormalWeb">
    <w:name w:val="Normal (Web)"/>
    <w:basedOn w:val="Normal"/>
    <w:uiPriority w:val="99"/>
    <w:semiHidden/>
    <w:unhideWhenUsed/>
    <w:rsid w:val="006957E9"/>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1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8" ma:contentTypeDescription="Create a new document." ma:contentTypeScope="" ma:versionID="c5e3fe85224c9ab247f2d48931da034f">
  <xsd:schema xmlns:xsd="http://www.w3.org/2001/XMLSchema" xmlns:xs="http://www.w3.org/2001/XMLSchema" xmlns:p="http://schemas.microsoft.com/office/2006/metadata/properties" xmlns:ns2="bf70374b-5ede-4d07-a6d4-3a8a64b98b0b" targetNamespace="http://schemas.microsoft.com/office/2006/metadata/properties" ma:root="true" ma:fieldsID="0bc16e4bba9fb977b648d87e3d141c4b" ns2:_="">
    <xsd:import namespace="bf70374b-5ede-4d07-a6d4-3a8a64b98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A78E0-AD12-4781-A87F-30C5B5A80B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87E92B-0E13-4743-ABA4-140889420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3103D-9951-4448-AD99-46F0062464C3}">
  <ds:schemaRefs>
    <ds:schemaRef ds:uri="http://schemas.microsoft.com/sharepoint/v3/contenttype/forms"/>
  </ds:schemaRefs>
</ds:datastoreItem>
</file>

<file path=customXml/itemProps4.xml><?xml version="1.0" encoding="utf-8"?>
<ds:datastoreItem xmlns:ds="http://schemas.openxmlformats.org/officeDocument/2006/customXml" ds:itemID="{72B4CFBE-AFB6-4FAF-B1F0-C6032C14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3</TotalTime>
  <Pages>6</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APAAC Shared</cp:lastModifiedBy>
  <cp:revision>5</cp:revision>
  <cp:lastPrinted>2019-03-18T16:04:00Z</cp:lastPrinted>
  <dcterms:created xsi:type="dcterms:W3CDTF">2019-03-18T15:59:00Z</dcterms:created>
  <dcterms:modified xsi:type="dcterms:W3CDTF">2019-03-18T20:33:00Z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ContentTypeId">
    <vt:lpwstr>0x0101009A6D02B0C4E2C1469C5472F9B6E92497</vt:lpwstr>
  </property>
</Properties>
</file>