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50" w:type="dxa"/>
        <w:tblLayout w:type="fixed"/>
        <w:tblLook w:val="0000" w:firstRow="0" w:lastRow="0" w:firstColumn="0" w:lastColumn="0" w:noHBand="0" w:noVBand="0"/>
      </w:tblPr>
      <w:tblGrid>
        <w:gridCol w:w="4950"/>
        <w:gridCol w:w="4200"/>
      </w:tblGrid>
      <w:tr w:rsidR="00357F4D" w:rsidRPr="000F7A7F" w14:paraId="1F26B169" w14:textId="77777777" w:rsidTr="00565772">
        <w:trPr>
          <w:cantSplit/>
          <w:trHeight w:val="1987"/>
        </w:trPr>
        <w:tc>
          <w:tcPr>
            <w:tcW w:w="4950" w:type="dxa"/>
          </w:tcPr>
          <w:p w14:paraId="33E53016" w14:textId="17DD03FE"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 xml:space="preserve">Elizabeth </w:t>
            </w:r>
            <w:r w:rsidR="00565772">
              <w:rPr>
                <w:sz w:val="28"/>
                <w:szCs w:val="28"/>
              </w:rPr>
              <w:t xml:space="preserve">Burton </w:t>
            </w:r>
            <w:r>
              <w:rPr>
                <w:sz w:val="28"/>
                <w:szCs w:val="28"/>
              </w:rPr>
              <w:t>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14:paraId="7A728113" w14:textId="77777777"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50590CD6" w14:textId="77777777" w:rsidR="00565772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</w:t>
            </w:r>
          </w:p>
          <w:p w14:paraId="15CEA1E0" w14:textId="2DE10B31" w:rsidR="00494BDF" w:rsidRPr="006F63FD" w:rsidRDefault="00565772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2AF3">
              <w:rPr>
                <w:sz w:val="28"/>
                <w:szCs w:val="28"/>
              </w:rPr>
              <w:t xml:space="preserve"> Advisory Council</w:t>
            </w:r>
          </w:p>
          <w:p w14:paraId="3324DE79" w14:textId="77777777"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14:paraId="2877A877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14:paraId="1186B546" w14:textId="77777777"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77E50250" w14:textId="5A6C2230" w:rsidR="00B02AF3" w:rsidRDefault="00565772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rStyle w:val="Hyperlink"/>
                <w:sz w:val="28"/>
                <w:szCs w:val="28"/>
              </w:rPr>
              <w:t>Elizabeth.Ortiz@apaacaz.com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57F56F19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9209E4">
              <w:rPr>
                <w:b/>
                <w:sz w:val="28"/>
                <w:szCs w:val="28"/>
              </w:rPr>
              <w:t xml:space="preserve">RULE 17.4, </w:t>
            </w:r>
            <w:r w:rsidR="0051273D">
              <w:rPr>
                <w:b/>
                <w:sz w:val="28"/>
                <w:szCs w:val="28"/>
              </w:rPr>
              <w:t>ARIZONA RULES OF CRIMINAL PROCEDURE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357B97EF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51273D">
              <w:rPr>
                <w:sz w:val="28"/>
                <w:szCs w:val="28"/>
              </w:rPr>
              <w:t>8</w:t>
            </w:r>
            <w:r w:rsidR="00B87B69">
              <w:rPr>
                <w:sz w:val="28"/>
                <w:szCs w:val="28"/>
              </w:rPr>
              <w:t>-00</w:t>
            </w:r>
            <w:r w:rsidR="009209E4">
              <w:rPr>
                <w:sz w:val="28"/>
                <w:szCs w:val="28"/>
              </w:rPr>
              <w:t>38</w:t>
            </w:r>
          </w:p>
          <w:p w14:paraId="1B99CC13" w14:textId="68479F26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3A86C9BB" w14:textId="4BF99724" w:rsidR="00A0595A" w:rsidRDefault="00A0595A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20404">
        <w:rPr>
          <w:sz w:val="28"/>
          <w:szCs w:val="28"/>
        </w:rPr>
        <w:t>Maricopa County Office of the Legal Defender</w:t>
      </w:r>
      <w:r w:rsidR="0051273D">
        <w:rPr>
          <w:sz w:val="28"/>
          <w:szCs w:val="28"/>
        </w:rPr>
        <w:t xml:space="preserve"> </w:t>
      </w:r>
      <w:r w:rsidR="00C7106E">
        <w:rPr>
          <w:sz w:val="28"/>
          <w:szCs w:val="28"/>
        </w:rPr>
        <w:t>has petitioned</w:t>
      </w:r>
      <w:r w:rsidR="003700EE">
        <w:rPr>
          <w:sz w:val="28"/>
          <w:szCs w:val="28"/>
        </w:rPr>
        <w:t xml:space="preserve"> the Supreme Court to amend </w:t>
      </w:r>
      <w:r>
        <w:rPr>
          <w:sz w:val="28"/>
          <w:szCs w:val="28"/>
        </w:rPr>
        <w:t xml:space="preserve">the </w:t>
      </w:r>
      <w:r w:rsidR="0051273D">
        <w:rPr>
          <w:sz w:val="28"/>
          <w:szCs w:val="28"/>
        </w:rPr>
        <w:t>Arizona Rules of Criminal Procedure by</w:t>
      </w:r>
      <w:r w:rsidR="00C20404">
        <w:rPr>
          <w:sz w:val="28"/>
          <w:szCs w:val="28"/>
        </w:rPr>
        <w:t xml:space="preserve"> adding a new subsection to Rule 17.4 (“Plea negotiations and agreements”) related to plea discussions, plea proposals, and settlement conference discussions </w:t>
      </w:r>
      <w:r w:rsidR="00115697">
        <w:rPr>
          <w:sz w:val="28"/>
          <w:szCs w:val="28"/>
        </w:rPr>
        <w:t>i</w:t>
      </w:r>
      <w:r w:rsidR="00C20404">
        <w:rPr>
          <w:sz w:val="28"/>
          <w:szCs w:val="28"/>
        </w:rPr>
        <w:t>n capital cases.</w:t>
      </w:r>
      <w:r w:rsidR="00F115F7">
        <w:rPr>
          <w:sz w:val="28"/>
          <w:szCs w:val="28"/>
        </w:rPr>
        <w:t xml:space="preserve">  </w:t>
      </w:r>
      <w:r w:rsidR="00E00AF4" w:rsidRPr="0023316F">
        <w:rPr>
          <w:sz w:val="28"/>
          <w:szCs w:val="28"/>
        </w:rPr>
        <w:t xml:space="preserve">The </w:t>
      </w:r>
      <w:r w:rsidR="00E00AF4"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="00E00AF4" w:rsidRPr="0023316F">
        <w:rPr>
          <w:sz w:val="28"/>
          <w:szCs w:val="28"/>
        </w:rPr>
        <w:t xml:space="preserve"> </w:t>
      </w:r>
      <w:r w:rsidR="00C20404">
        <w:rPr>
          <w:sz w:val="28"/>
          <w:szCs w:val="28"/>
        </w:rPr>
        <w:t>supports this petition.</w:t>
      </w:r>
    </w:p>
    <w:p w14:paraId="5FF5DCAE" w14:textId="77777777" w:rsidR="00AB1635" w:rsidRDefault="00AB1635" w:rsidP="00AB1635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6AF558D9" w14:textId="71D4E27C" w:rsidR="00FC1766" w:rsidRDefault="00456960" w:rsidP="006957E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petition, based on a finding by the 9</w:t>
      </w:r>
      <w:r w:rsidRPr="0045696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Circuit Court of Appeals, is focused on improving settlement negotiations in capital cases.  </w:t>
      </w:r>
      <w:r w:rsidR="00C20404">
        <w:rPr>
          <w:sz w:val="28"/>
          <w:szCs w:val="28"/>
        </w:rPr>
        <w:t xml:space="preserve">In </w:t>
      </w:r>
      <w:r w:rsidR="00C20404" w:rsidRPr="005B0797">
        <w:rPr>
          <w:i/>
          <w:sz w:val="28"/>
          <w:szCs w:val="28"/>
        </w:rPr>
        <w:t xml:space="preserve">Scott v. </w:t>
      </w:r>
      <w:proofErr w:type="spellStart"/>
      <w:r w:rsidR="00C20404" w:rsidRPr="005B0797">
        <w:rPr>
          <w:i/>
          <w:sz w:val="28"/>
          <w:szCs w:val="28"/>
        </w:rPr>
        <w:t>Schriro</w:t>
      </w:r>
      <w:proofErr w:type="spellEnd"/>
      <w:r w:rsidR="00C20404">
        <w:rPr>
          <w:sz w:val="28"/>
          <w:szCs w:val="28"/>
        </w:rPr>
        <w:t xml:space="preserve">, 567 F.3d </w:t>
      </w:r>
      <w:r w:rsidR="00C20404">
        <w:rPr>
          <w:sz w:val="28"/>
          <w:szCs w:val="28"/>
        </w:rPr>
        <w:lastRenderedPageBreak/>
        <w:t>573 (9</w:t>
      </w:r>
      <w:r w:rsidR="00C20404" w:rsidRPr="00C20404">
        <w:rPr>
          <w:sz w:val="28"/>
          <w:szCs w:val="28"/>
          <w:vertAlign w:val="superscript"/>
        </w:rPr>
        <w:t>th</w:t>
      </w:r>
      <w:r w:rsidR="00C20404">
        <w:rPr>
          <w:sz w:val="28"/>
          <w:szCs w:val="28"/>
        </w:rPr>
        <w:t xml:space="preserve"> Cir. 2009), </w:t>
      </w:r>
      <w:r w:rsidR="00637112">
        <w:rPr>
          <w:sz w:val="28"/>
          <w:szCs w:val="28"/>
        </w:rPr>
        <w:t>the 9</w:t>
      </w:r>
      <w:r w:rsidR="00637112" w:rsidRPr="005B0797">
        <w:rPr>
          <w:sz w:val="28"/>
          <w:szCs w:val="28"/>
          <w:vertAlign w:val="superscript"/>
        </w:rPr>
        <w:t>th</w:t>
      </w:r>
      <w:r w:rsidR="00637112">
        <w:rPr>
          <w:sz w:val="28"/>
          <w:szCs w:val="28"/>
        </w:rPr>
        <w:t xml:space="preserve"> Circuit held that </w:t>
      </w:r>
      <w:r w:rsidR="008A0A9F">
        <w:rPr>
          <w:sz w:val="28"/>
          <w:szCs w:val="28"/>
        </w:rPr>
        <w:t>evidence of a favorable</w:t>
      </w:r>
      <w:r w:rsidR="005B5C12">
        <w:rPr>
          <w:sz w:val="28"/>
          <w:szCs w:val="28"/>
        </w:rPr>
        <w:t xml:space="preserve"> plea offer made in a capital case “could have been introduced during the sentencing phase as mitigation</w:t>
      </w:r>
      <w:r w:rsidR="00BD7F84">
        <w:rPr>
          <w:sz w:val="28"/>
          <w:szCs w:val="28"/>
        </w:rPr>
        <w:t>.</w:t>
      </w:r>
      <w:r w:rsidR="005B5C12">
        <w:rPr>
          <w:sz w:val="28"/>
          <w:szCs w:val="28"/>
        </w:rPr>
        <w:t>”</w:t>
      </w:r>
      <w:r w:rsidR="00BD7F84">
        <w:rPr>
          <w:sz w:val="28"/>
          <w:szCs w:val="28"/>
        </w:rPr>
        <w:t xml:space="preserve">  </w:t>
      </w:r>
      <w:proofErr w:type="spellStart"/>
      <w:r w:rsidR="00757978" w:rsidRPr="00757978">
        <w:rPr>
          <w:i/>
          <w:sz w:val="28"/>
          <w:szCs w:val="28"/>
        </w:rPr>
        <w:t>Schriro</w:t>
      </w:r>
      <w:proofErr w:type="spellEnd"/>
      <w:r w:rsidR="00757978">
        <w:rPr>
          <w:sz w:val="28"/>
          <w:szCs w:val="28"/>
        </w:rPr>
        <w:t xml:space="preserve">, at 584.  </w:t>
      </w:r>
      <w:r w:rsidR="00BD7F84">
        <w:rPr>
          <w:sz w:val="28"/>
          <w:szCs w:val="28"/>
        </w:rPr>
        <w:t>The Court remanded the matter to the District Court to consider</w:t>
      </w:r>
      <w:r w:rsidR="00913C78">
        <w:rPr>
          <w:sz w:val="28"/>
          <w:szCs w:val="28"/>
        </w:rPr>
        <w:t>, in a post-conviction relief petition, whether</w:t>
      </w:r>
      <w:r w:rsidR="00BD7F84">
        <w:rPr>
          <w:sz w:val="28"/>
          <w:szCs w:val="28"/>
        </w:rPr>
        <w:t xml:space="preserve"> </w:t>
      </w:r>
      <w:r w:rsidR="00913C78">
        <w:rPr>
          <w:sz w:val="28"/>
          <w:szCs w:val="28"/>
        </w:rPr>
        <w:t xml:space="preserve">the failure of defense counsel to raise the plea offer as mitigation constituted </w:t>
      </w:r>
      <w:r w:rsidR="00BD7F84">
        <w:rPr>
          <w:sz w:val="28"/>
          <w:szCs w:val="28"/>
        </w:rPr>
        <w:t>ineffective assistance of counsel</w:t>
      </w:r>
      <w:r w:rsidR="005B5C12">
        <w:rPr>
          <w:sz w:val="28"/>
          <w:szCs w:val="28"/>
        </w:rPr>
        <w:t>.  As a result</w:t>
      </w:r>
      <w:r w:rsidR="00BD7F84">
        <w:rPr>
          <w:sz w:val="28"/>
          <w:szCs w:val="28"/>
        </w:rPr>
        <w:t xml:space="preserve"> of th</w:t>
      </w:r>
      <w:r w:rsidR="000B2DBA">
        <w:rPr>
          <w:sz w:val="28"/>
          <w:szCs w:val="28"/>
        </w:rPr>
        <w:t>e</w:t>
      </w:r>
      <w:r w:rsidR="00BD7F84">
        <w:rPr>
          <w:sz w:val="28"/>
          <w:szCs w:val="28"/>
        </w:rPr>
        <w:t xml:space="preserve"> decision</w:t>
      </w:r>
      <w:r w:rsidR="000B2DBA">
        <w:rPr>
          <w:sz w:val="28"/>
          <w:szCs w:val="28"/>
        </w:rPr>
        <w:t xml:space="preserve"> in </w:t>
      </w:r>
      <w:proofErr w:type="spellStart"/>
      <w:r w:rsidR="000B2DBA" w:rsidRPr="000B2DBA">
        <w:rPr>
          <w:i/>
          <w:sz w:val="28"/>
          <w:szCs w:val="28"/>
        </w:rPr>
        <w:t>S</w:t>
      </w:r>
      <w:r w:rsidR="00757978">
        <w:rPr>
          <w:i/>
          <w:sz w:val="28"/>
          <w:szCs w:val="28"/>
        </w:rPr>
        <w:t>c</w:t>
      </w:r>
      <w:r w:rsidR="000B2DBA" w:rsidRPr="000B2DBA">
        <w:rPr>
          <w:i/>
          <w:sz w:val="28"/>
          <w:szCs w:val="28"/>
        </w:rPr>
        <w:t>hriro</w:t>
      </w:r>
      <w:proofErr w:type="spellEnd"/>
      <w:r w:rsidR="005B5C12">
        <w:rPr>
          <w:sz w:val="28"/>
          <w:szCs w:val="28"/>
        </w:rPr>
        <w:t xml:space="preserve">, </w:t>
      </w:r>
      <w:r w:rsidR="00913C78">
        <w:rPr>
          <w:sz w:val="28"/>
          <w:szCs w:val="28"/>
        </w:rPr>
        <w:t>P</w:t>
      </w:r>
      <w:r w:rsidR="005B5C12">
        <w:rPr>
          <w:sz w:val="28"/>
          <w:szCs w:val="28"/>
        </w:rPr>
        <w:t>etitioner asserts that</w:t>
      </w:r>
      <w:r w:rsidR="00BD7F84">
        <w:rPr>
          <w:sz w:val="28"/>
          <w:szCs w:val="28"/>
        </w:rPr>
        <w:t xml:space="preserve"> plea negotiations on capital cases </w:t>
      </w:r>
      <w:r w:rsidR="00FC1766">
        <w:rPr>
          <w:sz w:val="28"/>
          <w:szCs w:val="28"/>
        </w:rPr>
        <w:t>no longer</w:t>
      </w:r>
      <w:r w:rsidR="00BD7F84">
        <w:rPr>
          <w:sz w:val="28"/>
          <w:szCs w:val="28"/>
        </w:rPr>
        <w:t xml:space="preserve"> occur</w:t>
      </w:r>
      <w:r w:rsidR="00FC1766">
        <w:rPr>
          <w:sz w:val="28"/>
          <w:szCs w:val="28"/>
        </w:rPr>
        <w:t xml:space="preserve"> – at least in Maricopa County, which has </w:t>
      </w:r>
      <w:proofErr w:type="gramStart"/>
      <w:r w:rsidR="00FC1766">
        <w:rPr>
          <w:sz w:val="28"/>
          <w:szCs w:val="28"/>
        </w:rPr>
        <w:t>the vast majority of</w:t>
      </w:r>
      <w:proofErr w:type="gramEnd"/>
      <w:r w:rsidR="00FC1766">
        <w:rPr>
          <w:sz w:val="28"/>
          <w:szCs w:val="28"/>
        </w:rPr>
        <w:t xml:space="preserve"> capital cases statewide</w:t>
      </w:r>
      <w:r w:rsidR="00BD7F84">
        <w:rPr>
          <w:sz w:val="28"/>
          <w:szCs w:val="28"/>
        </w:rPr>
        <w:t>.</w:t>
      </w:r>
    </w:p>
    <w:p w14:paraId="3C48675E" w14:textId="550810B4" w:rsidR="00D816F9" w:rsidRDefault="00BD7F84" w:rsidP="006957E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address this concern, </w:t>
      </w:r>
      <w:r w:rsidR="00913C78">
        <w:rPr>
          <w:sz w:val="28"/>
          <w:szCs w:val="28"/>
        </w:rPr>
        <w:t>P</w:t>
      </w:r>
      <w:r>
        <w:rPr>
          <w:sz w:val="28"/>
          <w:szCs w:val="28"/>
        </w:rPr>
        <w:t xml:space="preserve">etitioner has proposed amending Rule 17.4 to add a </w:t>
      </w:r>
      <w:r w:rsidRPr="00FC1766">
        <w:rPr>
          <w:i/>
          <w:sz w:val="28"/>
          <w:szCs w:val="28"/>
        </w:rPr>
        <w:t>new</w:t>
      </w:r>
      <w:r>
        <w:rPr>
          <w:sz w:val="28"/>
          <w:szCs w:val="28"/>
        </w:rPr>
        <w:t xml:space="preserve"> subsection which would </w:t>
      </w:r>
      <w:r w:rsidR="00FC1766">
        <w:rPr>
          <w:sz w:val="28"/>
          <w:szCs w:val="28"/>
        </w:rPr>
        <w:t xml:space="preserve">expand the protections of Evidence Rule 410 to include the State.  The proposal would </w:t>
      </w:r>
      <w:r>
        <w:rPr>
          <w:sz w:val="28"/>
          <w:szCs w:val="28"/>
        </w:rPr>
        <w:t>allow a court, on motion of any party or by stipulation, to prohibit</w:t>
      </w:r>
      <w:r w:rsidR="00FC1766">
        <w:rPr>
          <w:sz w:val="28"/>
          <w:szCs w:val="28"/>
        </w:rPr>
        <w:t>, in any phase of the trial,</w:t>
      </w:r>
      <w:r>
        <w:rPr>
          <w:sz w:val="28"/>
          <w:szCs w:val="28"/>
        </w:rPr>
        <w:t xml:space="preserve"> admission of </w:t>
      </w:r>
      <w:r w:rsidR="00757978">
        <w:rPr>
          <w:sz w:val="28"/>
          <w:szCs w:val="28"/>
        </w:rPr>
        <w:t xml:space="preserve">plea proposals and </w:t>
      </w:r>
      <w:r>
        <w:rPr>
          <w:sz w:val="28"/>
          <w:szCs w:val="28"/>
        </w:rPr>
        <w:t>statements made during capital case plea discussion</w:t>
      </w:r>
      <w:r w:rsidR="00FC1766">
        <w:rPr>
          <w:sz w:val="28"/>
          <w:szCs w:val="28"/>
        </w:rPr>
        <w:t>s</w:t>
      </w:r>
      <w:r w:rsidR="004B34A6">
        <w:rPr>
          <w:sz w:val="28"/>
          <w:szCs w:val="28"/>
        </w:rPr>
        <w:t xml:space="preserve"> or settlement conferences</w:t>
      </w:r>
      <w:r w:rsidR="00FC1766">
        <w:rPr>
          <w:sz w:val="28"/>
          <w:szCs w:val="28"/>
        </w:rPr>
        <w:t>.  In addition, it would prohibit</w:t>
      </w:r>
      <w:r w:rsidR="00115697">
        <w:rPr>
          <w:sz w:val="28"/>
          <w:szCs w:val="28"/>
        </w:rPr>
        <w:t>, absent agreement of the parties, the disclosure of any information provided as part of the settlement discussions</w:t>
      </w:r>
      <w:r w:rsidR="004B34A6">
        <w:rPr>
          <w:sz w:val="28"/>
          <w:szCs w:val="28"/>
        </w:rPr>
        <w:t xml:space="preserve"> or plea negotiations</w:t>
      </w:r>
      <w:r w:rsidR="00115697">
        <w:rPr>
          <w:sz w:val="28"/>
          <w:szCs w:val="28"/>
        </w:rPr>
        <w:t>.</w:t>
      </w:r>
      <w:r w:rsidR="004B34A6">
        <w:rPr>
          <w:sz w:val="28"/>
          <w:szCs w:val="28"/>
        </w:rPr>
        <w:t xml:space="preserve">  APAAC supports this proposal as a practical solution to a problem </w:t>
      </w:r>
      <w:r w:rsidR="00C37069">
        <w:rPr>
          <w:sz w:val="28"/>
          <w:szCs w:val="28"/>
        </w:rPr>
        <w:t xml:space="preserve">currently </w:t>
      </w:r>
      <w:r w:rsidR="004B34A6">
        <w:rPr>
          <w:sz w:val="28"/>
          <w:szCs w:val="28"/>
        </w:rPr>
        <w:t xml:space="preserve">existing in </w:t>
      </w:r>
      <w:r w:rsidR="00757978">
        <w:rPr>
          <w:sz w:val="28"/>
          <w:szCs w:val="28"/>
        </w:rPr>
        <w:t>capital case settlements</w:t>
      </w:r>
      <w:r w:rsidR="004B34A6">
        <w:rPr>
          <w:sz w:val="28"/>
          <w:szCs w:val="28"/>
        </w:rPr>
        <w:t>.</w:t>
      </w:r>
    </w:p>
    <w:p w14:paraId="2E589120" w14:textId="6AA8A4F9" w:rsidR="00E16C24" w:rsidRDefault="00115697" w:rsidP="006957E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To address any concerns about counsel</w:t>
      </w:r>
      <w:r w:rsidR="00913C78">
        <w:rPr>
          <w:sz w:val="28"/>
          <w:szCs w:val="28"/>
        </w:rPr>
        <w:t>’s performance</w:t>
      </w:r>
      <w:r>
        <w:rPr>
          <w:sz w:val="28"/>
          <w:szCs w:val="28"/>
        </w:rPr>
        <w:t xml:space="preserve">, </w:t>
      </w:r>
      <w:r w:rsidR="004B34A6">
        <w:rPr>
          <w:sz w:val="28"/>
          <w:szCs w:val="28"/>
        </w:rPr>
        <w:t xml:space="preserve">under the proposal </w:t>
      </w:r>
      <w:r>
        <w:rPr>
          <w:sz w:val="28"/>
          <w:szCs w:val="28"/>
        </w:rPr>
        <w:t xml:space="preserve">the court would not issue an order unless defense counsel averred that the decision to enter into settlement discussions is a </w:t>
      </w:r>
      <w:r w:rsidR="00757978">
        <w:rPr>
          <w:sz w:val="28"/>
          <w:szCs w:val="28"/>
        </w:rPr>
        <w:t>“</w:t>
      </w:r>
      <w:r>
        <w:rPr>
          <w:sz w:val="28"/>
          <w:szCs w:val="28"/>
        </w:rPr>
        <w:t xml:space="preserve">strategic </w:t>
      </w:r>
      <w:r w:rsidR="00757978">
        <w:rPr>
          <w:sz w:val="28"/>
          <w:szCs w:val="28"/>
        </w:rPr>
        <w:t>decision</w:t>
      </w:r>
      <w:r>
        <w:rPr>
          <w:sz w:val="28"/>
          <w:szCs w:val="28"/>
        </w:rPr>
        <w:t>.</w:t>
      </w:r>
      <w:r w:rsidR="00757978">
        <w:rPr>
          <w:sz w:val="28"/>
          <w:szCs w:val="28"/>
        </w:rPr>
        <w:t>”</w:t>
      </w:r>
      <w:r w:rsidR="00E16C24">
        <w:rPr>
          <w:sz w:val="28"/>
          <w:szCs w:val="28"/>
        </w:rPr>
        <w:t xml:space="preserve">  Because </w:t>
      </w:r>
      <w:r w:rsidR="00757978">
        <w:rPr>
          <w:sz w:val="28"/>
          <w:szCs w:val="28"/>
        </w:rPr>
        <w:t xml:space="preserve">the participation </w:t>
      </w:r>
      <w:r w:rsidR="00757978">
        <w:rPr>
          <w:sz w:val="28"/>
          <w:szCs w:val="28"/>
        </w:rPr>
        <w:lastRenderedPageBreak/>
        <w:t>in settlement discussions</w:t>
      </w:r>
      <w:r w:rsidR="00E16C24">
        <w:rPr>
          <w:sz w:val="28"/>
          <w:szCs w:val="28"/>
        </w:rPr>
        <w:t xml:space="preserve"> would be a strategic decision, this </w:t>
      </w:r>
      <w:r w:rsidR="004B34A6">
        <w:rPr>
          <w:sz w:val="28"/>
          <w:szCs w:val="28"/>
        </w:rPr>
        <w:t xml:space="preserve">averment </w:t>
      </w:r>
      <w:r w:rsidR="00E16C24">
        <w:rPr>
          <w:sz w:val="28"/>
          <w:szCs w:val="28"/>
        </w:rPr>
        <w:t>should withstand constitutional scrutiny:</w:t>
      </w:r>
    </w:p>
    <w:p w14:paraId="4EB24CBD" w14:textId="7310CF04" w:rsidR="00115697" w:rsidRDefault="00E16C24" w:rsidP="000B2DBA">
      <w:pPr>
        <w:pStyle w:val="Body"/>
        <w:widowControl w:val="0"/>
        <w:spacing w:line="240" w:lineRule="auto"/>
        <w:ind w:left="720" w:righ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“[C]</w:t>
      </w:r>
      <w:proofErr w:type="spellStart"/>
      <w:r>
        <w:rPr>
          <w:sz w:val="28"/>
          <w:szCs w:val="28"/>
        </w:rPr>
        <w:t>ounsel</w:t>
      </w:r>
      <w:proofErr w:type="spellEnd"/>
      <w:r>
        <w:rPr>
          <w:sz w:val="28"/>
          <w:szCs w:val="28"/>
        </w:rPr>
        <w:t xml:space="preserve"> acting alone may make decisions of strategy,” even if those decisions involve constitutional rights.  </w:t>
      </w:r>
      <w:r w:rsidRPr="000B2DBA">
        <w:rPr>
          <w:i/>
          <w:sz w:val="28"/>
          <w:szCs w:val="28"/>
        </w:rPr>
        <w:t xml:space="preserve">State v. </w:t>
      </w:r>
      <w:proofErr w:type="spellStart"/>
      <w:r w:rsidRPr="000B2DBA">
        <w:rPr>
          <w:i/>
          <w:sz w:val="28"/>
          <w:szCs w:val="28"/>
        </w:rPr>
        <w:t>Levato</w:t>
      </w:r>
      <w:proofErr w:type="spellEnd"/>
      <w:r>
        <w:rPr>
          <w:sz w:val="28"/>
          <w:szCs w:val="28"/>
        </w:rPr>
        <w:t xml:space="preserve">, 186 Ariz. 441, 444, 924 P.2d 445, 448 (1996).  A defendant is bound by counsel’s trial strategy “so long as counsel’s assistance at trial was not reduced to a mere ‘farce or sham.’” </w:t>
      </w:r>
      <w:r w:rsidR="006E6C8C" w:rsidRPr="000B2DBA">
        <w:rPr>
          <w:i/>
          <w:sz w:val="28"/>
          <w:szCs w:val="28"/>
        </w:rPr>
        <w:t>State v. (John L.)</w:t>
      </w:r>
      <w:r w:rsidRPr="000B2DBA">
        <w:rPr>
          <w:i/>
          <w:sz w:val="28"/>
          <w:szCs w:val="28"/>
        </w:rPr>
        <w:t xml:space="preserve"> </w:t>
      </w:r>
      <w:r w:rsidRPr="00E16C24">
        <w:rPr>
          <w:i/>
          <w:sz w:val="28"/>
          <w:szCs w:val="28"/>
        </w:rPr>
        <w:t>Jones</w:t>
      </w:r>
      <w:r>
        <w:rPr>
          <w:sz w:val="28"/>
          <w:szCs w:val="28"/>
        </w:rPr>
        <w:t>, 110 Ariz. 546, 550</w:t>
      </w:r>
      <w:r w:rsidR="000B2DBA">
        <w:rPr>
          <w:sz w:val="28"/>
          <w:szCs w:val="28"/>
        </w:rPr>
        <w:t>, 521 P.2d 978, 982 (1974).</w:t>
      </w:r>
    </w:p>
    <w:p w14:paraId="66E2B979" w14:textId="77777777" w:rsidR="000B2DBA" w:rsidRDefault="000B2DBA" w:rsidP="000B2DBA">
      <w:pPr>
        <w:pStyle w:val="Body"/>
        <w:widowControl w:val="0"/>
        <w:spacing w:line="240" w:lineRule="auto"/>
        <w:ind w:left="720" w:right="720" w:firstLine="0"/>
        <w:jc w:val="both"/>
        <w:rPr>
          <w:sz w:val="28"/>
          <w:szCs w:val="28"/>
        </w:rPr>
      </w:pPr>
    </w:p>
    <w:p w14:paraId="10E05074" w14:textId="098667FC" w:rsidR="000B2DBA" w:rsidRDefault="000B2DBA" w:rsidP="000B2DBA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 w:rsidRPr="000B2DBA">
        <w:rPr>
          <w:i/>
          <w:sz w:val="28"/>
          <w:szCs w:val="28"/>
        </w:rPr>
        <w:t>State v. Medina</w:t>
      </w:r>
      <w:r>
        <w:rPr>
          <w:sz w:val="28"/>
          <w:szCs w:val="28"/>
        </w:rPr>
        <w:t>, 232 Ariz. 391, 403, ¶ 34 (2013).</w:t>
      </w:r>
      <w:r w:rsidR="004B34A6">
        <w:rPr>
          <w:sz w:val="28"/>
          <w:szCs w:val="28"/>
        </w:rPr>
        <w:t xml:space="preserve">  The purpose of the proposed averment is to facilitate negotiation between the parties of a favorable plea offer to the defendant.  Defense counsel have a duty to make tactical, strategic decisions</w:t>
      </w:r>
      <w:r w:rsidR="00C37069">
        <w:rPr>
          <w:sz w:val="28"/>
          <w:szCs w:val="28"/>
        </w:rPr>
        <w:t xml:space="preserve"> to best serve their clients.  </w:t>
      </w:r>
      <w:r w:rsidR="00C37069" w:rsidRPr="00C37069">
        <w:rPr>
          <w:i/>
          <w:sz w:val="28"/>
          <w:szCs w:val="28"/>
        </w:rPr>
        <w:t>State v. Lee</w:t>
      </w:r>
      <w:r w:rsidR="00C37069">
        <w:rPr>
          <w:sz w:val="28"/>
          <w:szCs w:val="28"/>
        </w:rPr>
        <w:t>, 142 Ariz. 210, 216 (1984).  An averment, as required by the proposed amendments, constitutes</w:t>
      </w:r>
      <w:r w:rsidR="004B34A6">
        <w:rPr>
          <w:sz w:val="28"/>
          <w:szCs w:val="28"/>
        </w:rPr>
        <w:t xml:space="preserve"> a reasonable strategy by defense counsel.</w:t>
      </w:r>
      <w:r w:rsidRPr="00456960">
        <w:rPr>
          <w:i/>
          <w:sz w:val="28"/>
          <w:szCs w:val="28"/>
        </w:rPr>
        <w:t xml:space="preserve"> </w:t>
      </w:r>
      <w:r w:rsidR="004B34A6">
        <w:rPr>
          <w:i/>
          <w:sz w:val="28"/>
          <w:szCs w:val="28"/>
        </w:rPr>
        <w:t xml:space="preserve"> </w:t>
      </w:r>
      <w:r w:rsidRPr="00456960">
        <w:rPr>
          <w:i/>
          <w:sz w:val="28"/>
          <w:szCs w:val="28"/>
        </w:rPr>
        <w:t xml:space="preserve">State v. </w:t>
      </w:r>
      <w:proofErr w:type="spellStart"/>
      <w:r w:rsidRPr="00456960">
        <w:rPr>
          <w:i/>
          <w:sz w:val="28"/>
          <w:szCs w:val="28"/>
        </w:rPr>
        <w:t>D</w:t>
      </w:r>
      <w:r w:rsidR="00456960" w:rsidRPr="00456960">
        <w:rPr>
          <w:i/>
          <w:sz w:val="28"/>
          <w:szCs w:val="28"/>
        </w:rPr>
        <w:t>enz</w:t>
      </w:r>
      <w:proofErr w:type="spellEnd"/>
      <w:r w:rsidR="00456960">
        <w:rPr>
          <w:sz w:val="28"/>
          <w:szCs w:val="28"/>
        </w:rPr>
        <w:t xml:space="preserve">, 232 Ariz. 441, 445, ¶ 11 (2013) (strategic decisions are </w:t>
      </w:r>
      <w:r w:rsidR="00757978">
        <w:rPr>
          <w:sz w:val="28"/>
          <w:szCs w:val="28"/>
        </w:rPr>
        <w:t>“</w:t>
      </w:r>
      <w:r w:rsidR="00456960">
        <w:rPr>
          <w:sz w:val="28"/>
          <w:szCs w:val="28"/>
        </w:rPr>
        <w:t>conscious, reasonably informed decision[s] made by an attorney with an eye to benefitting his client</w:t>
      </w:r>
      <w:r w:rsidR="00757978">
        <w:rPr>
          <w:sz w:val="28"/>
          <w:szCs w:val="28"/>
        </w:rPr>
        <w:t>”</w:t>
      </w:r>
      <w:r w:rsidR="00456960">
        <w:rPr>
          <w:sz w:val="28"/>
          <w:szCs w:val="28"/>
        </w:rPr>
        <w:t>).</w:t>
      </w:r>
    </w:p>
    <w:p w14:paraId="044FDFA1" w14:textId="34B96EB4" w:rsidR="00757978" w:rsidRDefault="00757978" w:rsidP="000B2DBA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Plea negotiations involve the prosecutor and defendant </w:t>
      </w:r>
      <w:r w:rsidR="004E69F7">
        <w:rPr>
          <w:sz w:val="28"/>
          <w:szCs w:val="28"/>
        </w:rPr>
        <w:t>bargaining</w:t>
      </w:r>
      <w:r>
        <w:rPr>
          <w:sz w:val="28"/>
          <w:szCs w:val="28"/>
        </w:rPr>
        <w:t xml:space="preserve"> whether the defendant will plead guilty or no cont</w:t>
      </w:r>
      <w:r w:rsidR="00AF55B2">
        <w:rPr>
          <w:sz w:val="28"/>
          <w:szCs w:val="28"/>
        </w:rPr>
        <w:t>es</w:t>
      </w:r>
      <w:r>
        <w:rPr>
          <w:sz w:val="28"/>
          <w:szCs w:val="28"/>
        </w:rPr>
        <w:t>t to a criminal offense in exchange for some concession</w:t>
      </w:r>
      <w:r w:rsidR="004E69F7">
        <w:rPr>
          <w:sz w:val="28"/>
          <w:szCs w:val="28"/>
        </w:rPr>
        <w:t xml:space="preserve"> on the disposition of the case</w:t>
      </w:r>
      <w:r>
        <w:rPr>
          <w:sz w:val="28"/>
          <w:szCs w:val="28"/>
        </w:rPr>
        <w:t>.</w:t>
      </w:r>
      <w:r w:rsidR="004E69F7">
        <w:rPr>
          <w:sz w:val="28"/>
          <w:szCs w:val="28"/>
        </w:rPr>
        <w:t xml:space="preserve">  </w:t>
      </w:r>
      <w:r w:rsidR="004E69F7" w:rsidRPr="004E69F7">
        <w:rPr>
          <w:i/>
          <w:sz w:val="28"/>
          <w:szCs w:val="28"/>
        </w:rPr>
        <w:t>State v. Gill</w:t>
      </w:r>
      <w:r w:rsidR="004E69F7">
        <w:rPr>
          <w:sz w:val="28"/>
          <w:szCs w:val="28"/>
        </w:rPr>
        <w:t xml:space="preserve">, 242 Ariz. 1, 4, ¶ 12 (2017).  It may involve a “series of offers, rejections, and counter-offers” before a plea and disposition is successfully concluded.  </w:t>
      </w:r>
      <w:r w:rsidR="004E69F7" w:rsidRPr="004E69F7">
        <w:rPr>
          <w:i/>
          <w:sz w:val="28"/>
          <w:szCs w:val="28"/>
        </w:rPr>
        <w:t>Id.</w:t>
      </w:r>
      <w:r w:rsidR="004E69F7">
        <w:rPr>
          <w:sz w:val="28"/>
          <w:szCs w:val="28"/>
        </w:rPr>
        <w:t xml:space="preserve"> at ¶ 14.  While a criminal defendant has no constitutional right to a plea agreement (</w:t>
      </w:r>
      <w:r w:rsidR="004E69F7" w:rsidRPr="004E69F7">
        <w:rPr>
          <w:i/>
          <w:sz w:val="28"/>
          <w:szCs w:val="28"/>
        </w:rPr>
        <w:t>State v. McKinney</w:t>
      </w:r>
      <w:r w:rsidR="004E69F7">
        <w:rPr>
          <w:sz w:val="28"/>
          <w:szCs w:val="28"/>
        </w:rPr>
        <w:t xml:space="preserve">, 185 </w:t>
      </w:r>
      <w:r w:rsidR="004E69F7">
        <w:rPr>
          <w:sz w:val="28"/>
          <w:szCs w:val="28"/>
        </w:rPr>
        <w:lastRenderedPageBreak/>
        <w:t xml:space="preserve">Ariz. 567 575 (1996), </w:t>
      </w:r>
      <w:r w:rsidR="004E69F7" w:rsidRPr="004E69F7">
        <w:rPr>
          <w:i/>
          <w:sz w:val="28"/>
          <w:szCs w:val="28"/>
        </w:rPr>
        <w:t>superseded by statute on other grounds</w:t>
      </w:r>
      <w:r w:rsidR="004E69F7">
        <w:rPr>
          <w:sz w:val="28"/>
          <w:szCs w:val="28"/>
        </w:rPr>
        <w:t>),</w:t>
      </w:r>
      <w:r w:rsidR="0080151A">
        <w:rPr>
          <w:sz w:val="28"/>
          <w:szCs w:val="28"/>
        </w:rPr>
        <w:t xml:space="preserve"> the complexities of capital case litigation make the availability of plea negotiations desirable on the part of both the State and defendant.</w:t>
      </w:r>
    </w:p>
    <w:p w14:paraId="0A6B3B8B" w14:textId="77777777" w:rsidR="00526087" w:rsidRPr="00104F4E" w:rsidRDefault="00526087" w:rsidP="007361D0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4ED7F5FF" w14:textId="4C449E42" w:rsidR="00526087" w:rsidRPr="00CF58A1" w:rsidRDefault="00E00AF4" w:rsidP="00C3706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 w:rsidR="00C37069" w:rsidRPr="00C37069">
        <w:rPr>
          <w:sz w:val="28"/>
          <w:szCs w:val="28"/>
        </w:rPr>
        <w:t xml:space="preserve"> </w:t>
      </w:r>
      <w:r w:rsidR="00C37069">
        <w:rPr>
          <w:sz w:val="28"/>
          <w:szCs w:val="28"/>
        </w:rPr>
        <w:t>APAAC supports</w:t>
      </w:r>
      <w:r w:rsidR="0080151A">
        <w:rPr>
          <w:sz w:val="28"/>
          <w:szCs w:val="28"/>
        </w:rPr>
        <w:t xml:space="preserve"> petition R-18-0038.  It presents</w:t>
      </w:r>
      <w:r w:rsidR="00C37069">
        <w:rPr>
          <w:sz w:val="28"/>
          <w:szCs w:val="28"/>
        </w:rPr>
        <w:t xml:space="preserve"> a means of facilitating plea negotiations, settlement conference discussions, and plea offers on capital cases.</w:t>
      </w:r>
    </w:p>
    <w:p w14:paraId="280DEFDE" w14:textId="6E231AEF" w:rsidR="00BE0201" w:rsidRDefault="00BE0201" w:rsidP="00BE0201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bookmarkStart w:id="2" w:name="_GoBack"/>
      <w:bookmarkEnd w:id="2"/>
      <w:r w:rsidRPr="006F63FD">
        <w:rPr>
          <w:sz w:val="28"/>
          <w:szCs w:val="28"/>
        </w:rPr>
        <w:t xml:space="preserve">RESPECTFULLY SUBMITTED this </w:t>
      </w:r>
      <w:r>
        <w:rPr>
          <w:sz w:val="28"/>
          <w:szCs w:val="28"/>
          <w:u w:val="single"/>
        </w:rPr>
        <w:t xml:space="preserve"> 18</w:t>
      </w:r>
      <w:r w:rsidRPr="001A0E99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</w:t>
      </w:r>
      <w:r w:rsidRPr="001A0E99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March</w:t>
      </w:r>
      <w:r w:rsidRPr="006F63FD">
        <w:rPr>
          <w:sz w:val="28"/>
          <w:szCs w:val="28"/>
        </w:rPr>
        <w:t>,</w:t>
      </w:r>
      <w:proofErr w:type="gramEnd"/>
      <w:r w:rsidRPr="006F63F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F63FD">
        <w:rPr>
          <w:sz w:val="28"/>
          <w:szCs w:val="28"/>
        </w:rPr>
        <w:t>.</w:t>
      </w:r>
    </w:p>
    <w:p w14:paraId="39B7F16A" w14:textId="77777777" w:rsidR="00BE0201" w:rsidRDefault="00BE0201" w:rsidP="00BE020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B53A36" w14:textId="77777777" w:rsidR="00BE0201" w:rsidRPr="001A0E99" w:rsidRDefault="00BE0201" w:rsidP="00BE020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/s/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23870721" w14:textId="77777777" w:rsidR="00BE0201" w:rsidRPr="006F63FD" w:rsidRDefault="00BE0201" w:rsidP="00BE020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0E294AD8" w14:textId="77777777" w:rsidR="00BE0201" w:rsidRDefault="00BE0201" w:rsidP="00BE020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6128E961" w14:textId="77777777" w:rsidR="00BE0201" w:rsidRDefault="00BE0201" w:rsidP="00BE020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798E0ED1" w14:textId="77777777" w:rsidR="00BE0201" w:rsidRPr="006F63FD" w:rsidRDefault="00BE0201" w:rsidP="00BE020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Advisory Council</w:t>
      </w:r>
    </w:p>
    <w:p w14:paraId="59DB6D4C" w14:textId="77777777" w:rsidR="00BE0201" w:rsidRPr="000F7A7F" w:rsidRDefault="00BE0201" w:rsidP="00BE0201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51FCE2BC" w14:textId="77777777" w:rsidR="00BE0201" w:rsidRDefault="00BE0201" w:rsidP="00BE0201">
      <w:pPr>
        <w:widowControl w:val="0"/>
        <w:spacing w:line="240" w:lineRule="auto"/>
        <w:ind w:right="4140"/>
        <w:rPr>
          <w:sz w:val="28"/>
          <w:szCs w:val="28"/>
        </w:rPr>
      </w:pPr>
    </w:p>
    <w:p w14:paraId="6D93363D" w14:textId="77777777" w:rsidR="00BE0201" w:rsidRPr="00C52E56" w:rsidRDefault="00BE0201" w:rsidP="00BE0201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4394AA3C" w14:textId="77777777" w:rsidR="00BE0201" w:rsidRPr="00C52E56" w:rsidRDefault="00BE0201" w:rsidP="00BE0201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3953A52D" w14:textId="77777777" w:rsidR="00BE0201" w:rsidRPr="00C52E56" w:rsidRDefault="00BE0201" w:rsidP="00BE0201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18</w:t>
      </w:r>
      <w:r w:rsidRPr="001A0E99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March</w:t>
      </w:r>
      <w:r w:rsidRPr="00C52E56">
        <w:rPr>
          <w:sz w:val="28"/>
          <w:szCs w:val="28"/>
        </w:rPr>
        <w:t>,</w:t>
      </w:r>
      <w:proofErr w:type="gramEnd"/>
      <w:r w:rsidRPr="00C52E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C52E56">
        <w:rPr>
          <w:sz w:val="28"/>
          <w:szCs w:val="28"/>
        </w:rPr>
        <w:t>.</w:t>
      </w:r>
    </w:p>
    <w:p w14:paraId="58F47FF8" w14:textId="77777777" w:rsidR="00BE0201" w:rsidRDefault="00BE0201" w:rsidP="00BE0201">
      <w:pPr>
        <w:spacing w:line="240" w:lineRule="auto"/>
        <w:ind w:right="4572"/>
        <w:rPr>
          <w:sz w:val="28"/>
          <w:szCs w:val="28"/>
        </w:rPr>
      </w:pPr>
    </w:p>
    <w:p w14:paraId="36DE3804" w14:textId="77777777" w:rsidR="00BE0201" w:rsidRDefault="00BE0201" w:rsidP="00BE0201">
      <w:pPr>
        <w:spacing w:line="240" w:lineRule="auto"/>
        <w:ind w:right="4572"/>
        <w:rPr>
          <w:sz w:val="28"/>
          <w:szCs w:val="28"/>
        </w:rPr>
      </w:pPr>
      <w:bookmarkStart w:id="3" w:name="_Hlk3808272"/>
    </w:p>
    <w:p w14:paraId="0617D303" w14:textId="77777777" w:rsidR="00BE0201" w:rsidRPr="00C52E56" w:rsidRDefault="00BE0201" w:rsidP="00BE0201">
      <w:pPr>
        <w:spacing w:line="240" w:lineRule="auto"/>
        <w:ind w:right="4572"/>
        <w:rPr>
          <w:sz w:val="28"/>
          <w:szCs w:val="28"/>
        </w:rPr>
      </w:pPr>
      <w:r>
        <w:rPr>
          <w:sz w:val="28"/>
          <w:szCs w:val="28"/>
        </w:rPr>
        <w:t>B</w:t>
      </w:r>
      <w:r w:rsidRPr="00C52E56">
        <w:rPr>
          <w:sz w:val="28"/>
          <w:szCs w:val="28"/>
        </w:rPr>
        <w:t>y:</w:t>
      </w:r>
      <w:r>
        <w:rPr>
          <w:sz w:val="28"/>
          <w:szCs w:val="28"/>
          <w:u w:val="single"/>
        </w:rPr>
        <w:t xml:space="preserve">  /s/    </w:t>
      </w:r>
      <w:r w:rsidRPr="001A0E99">
        <w:rPr>
          <w:rFonts w:ascii="Bradley Hand ITC" w:hAnsi="Bradley Hand ITC"/>
          <w:sz w:val="32"/>
          <w:szCs w:val="28"/>
          <w:u w:val="single"/>
        </w:rPr>
        <w:t>Diana Cooney</w:t>
      </w:r>
      <w:r w:rsidRPr="001A0E99">
        <w:rPr>
          <w:rFonts w:ascii="Bradley Hand ITC" w:hAnsi="Bradley Hand ITC"/>
          <w:sz w:val="32"/>
          <w:szCs w:val="28"/>
          <w:u w:val="single"/>
        </w:rPr>
        <w:tab/>
      </w:r>
      <w:r>
        <w:rPr>
          <w:rFonts w:ascii="Bradley Hand ITC" w:hAnsi="Bradley Hand ITC"/>
          <w:sz w:val="32"/>
          <w:szCs w:val="28"/>
          <w:u w:val="single"/>
        </w:rPr>
        <w:tab/>
      </w:r>
    </w:p>
    <w:bookmarkEnd w:id="3"/>
    <w:p w14:paraId="5B06E099" w14:textId="77777777" w:rsidR="00BE0201" w:rsidRPr="000F7A7F" w:rsidRDefault="00BE0201" w:rsidP="00BE0201">
      <w:pPr>
        <w:pStyle w:val="Body"/>
        <w:widowControl w:val="0"/>
        <w:ind w:firstLine="0"/>
        <w:jc w:val="both"/>
        <w:rPr>
          <w:szCs w:val="26"/>
        </w:rPr>
      </w:pPr>
    </w:p>
    <w:p w14:paraId="7A652556" w14:textId="58E6C484" w:rsidR="00052372" w:rsidRPr="000F7A7F" w:rsidRDefault="00052372" w:rsidP="00BE0201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sectPr w:rsidR="00052372" w:rsidRPr="000F7A7F" w:rsidSect="006F63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13AD" w14:textId="77777777" w:rsidR="00E722B3" w:rsidRDefault="00E722B3">
      <w:r>
        <w:separator/>
      </w:r>
    </w:p>
  </w:endnote>
  <w:endnote w:type="continuationSeparator" w:id="0">
    <w:p w14:paraId="62D60AAA" w14:textId="77777777" w:rsidR="00E722B3" w:rsidRDefault="00E7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4592" w14:textId="77777777" w:rsidR="00967F61" w:rsidRDefault="00967F61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967F61" w:rsidRDefault="00967F61" w:rsidP="00861563">
    <w:pPr>
      <w:pStyle w:val="Footer"/>
      <w:ind w:right="360"/>
    </w:pPr>
  </w:p>
  <w:p w14:paraId="1E6CF164" w14:textId="77777777" w:rsidR="00967F61" w:rsidRDefault="009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967F61" w:rsidRPr="006B4F9A" w:rsidRDefault="00967F6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75606F"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967F61" w:rsidRDefault="00967F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2D2C" w14:textId="77777777" w:rsidR="00565772" w:rsidRDefault="0056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D9A5B" w14:textId="77777777" w:rsidR="00E722B3" w:rsidRDefault="00E722B3">
      <w:r>
        <w:separator/>
      </w:r>
    </w:p>
  </w:footnote>
  <w:footnote w:type="continuationSeparator" w:id="0">
    <w:p w14:paraId="1C06D690" w14:textId="77777777" w:rsidR="00E722B3" w:rsidRDefault="00E7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43725" w14:textId="77777777" w:rsidR="00565772" w:rsidRDefault="00565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CE94" w14:textId="7B8FC1BB" w:rsidR="00967F61" w:rsidRDefault="00967F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1DE58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F25DF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213E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6C95D955" w14:textId="77777777" w:rsidR="00967F61" w:rsidRDefault="00967F6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967F61" w:rsidRPr="00000C35" w:rsidRDefault="00967F6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102E0D1A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967F61" w:rsidRPr="00000C35" w:rsidRDefault="00967F6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3023" w14:textId="77777777" w:rsidR="00565772" w:rsidRDefault="00565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2"/>
  </w:num>
  <w:num w:numId="9">
    <w:abstractNumId w:val="19"/>
  </w:num>
  <w:num w:numId="10">
    <w:abstractNumId w:val="24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0"/>
  </w:num>
  <w:num w:numId="17">
    <w:abstractNumId w:val="25"/>
  </w:num>
  <w:num w:numId="18">
    <w:abstractNumId w:val="4"/>
  </w:num>
  <w:num w:numId="19">
    <w:abstractNumId w:val="12"/>
  </w:num>
  <w:num w:numId="20">
    <w:abstractNumId w:val="31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29"/>
  </w:num>
  <w:num w:numId="29">
    <w:abstractNumId w:val="28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824"/>
    <w:rsid w:val="00012531"/>
    <w:rsid w:val="00013CE0"/>
    <w:rsid w:val="00025B19"/>
    <w:rsid w:val="00035056"/>
    <w:rsid w:val="000410B3"/>
    <w:rsid w:val="00043D4D"/>
    <w:rsid w:val="0004786F"/>
    <w:rsid w:val="00052372"/>
    <w:rsid w:val="00056CA0"/>
    <w:rsid w:val="0006397E"/>
    <w:rsid w:val="000666D1"/>
    <w:rsid w:val="00072E08"/>
    <w:rsid w:val="00076747"/>
    <w:rsid w:val="000829A0"/>
    <w:rsid w:val="000868BC"/>
    <w:rsid w:val="000917C0"/>
    <w:rsid w:val="000A1D6B"/>
    <w:rsid w:val="000B2DBA"/>
    <w:rsid w:val="000C48A9"/>
    <w:rsid w:val="000C58DC"/>
    <w:rsid w:val="000D5D16"/>
    <w:rsid w:val="000D7E6C"/>
    <w:rsid w:val="000F291E"/>
    <w:rsid w:val="000F54A9"/>
    <w:rsid w:val="000F690F"/>
    <w:rsid w:val="000F71D8"/>
    <w:rsid w:val="000F7A7F"/>
    <w:rsid w:val="000F7C13"/>
    <w:rsid w:val="001003C3"/>
    <w:rsid w:val="00115697"/>
    <w:rsid w:val="00116D61"/>
    <w:rsid w:val="0012408C"/>
    <w:rsid w:val="001242B6"/>
    <w:rsid w:val="00131578"/>
    <w:rsid w:val="00133760"/>
    <w:rsid w:val="00134B99"/>
    <w:rsid w:val="00135326"/>
    <w:rsid w:val="00156D8F"/>
    <w:rsid w:val="00177417"/>
    <w:rsid w:val="0018360F"/>
    <w:rsid w:val="0019690A"/>
    <w:rsid w:val="001A2520"/>
    <w:rsid w:val="001A741A"/>
    <w:rsid w:val="001B054C"/>
    <w:rsid w:val="001B25E1"/>
    <w:rsid w:val="001C5E17"/>
    <w:rsid w:val="001D0AAA"/>
    <w:rsid w:val="001E6473"/>
    <w:rsid w:val="001F591C"/>
    <w:rsid w:val="00203A04"/>
    <w:rsid w:val="00213ABC"/>
    <w:rsid w:val="00245270"/>
    <w:rsid w:val="00262BE7"/>
    <w:rsid w:val="00267532"/>
    <w:rsid w:val="0027359D"/>
    <w:rsid w:val="00274D6A"/>
    <w:rsid w:val="00297773"/>
    <w:rsid w:val="002B0C94"/>
    <w:rsid w:val="002D2738"/>
    <w:rsid w:val="002D2E4D"/>
    <w:rsid w:val="002E6D70"/>
    <w:rsid w:val="003024C2"/>
    <w:rsid w:val="00303F08"/>
    <w:rsid w:val="00303F65"/>
    <w:rsid w:val="00305B80"/>
    <w:rsid w:val="003160E1"/>
    <w:rsid w:val="00327BB4"/>
    <w:rsid w:val="00331ECE"/>
    <w:rsid w:val="00341028"/>
    <w:rsid w:val="00344342"/>
    <w:rsid w:val="00352347"/>
    <w:rsid w:val="003566D6"/>
    <w:rsid w:val="00357F4D"/>
    <w:rsid w:val="003617D1"/>
    <w:rsid w:val="003617F7"/>
    <w:rsid w:val="00364150"/>
    <w:rsid w:val="0036551C"/>
    <w:rsid w:val="003700EE"/>
    <w:rsid w:val="003755A5"/>
    <w:rsid w:val="00377199"/>
    <w:rsid w:val="00397E14"/>
    <w:rsid w:val="003A28AC"/>
    <w:rsid w:val="003B402A"/>
    <w:rsid w:val="003B699A"/>
    <w:rsid w:val="003B706E"/>
    <w:rsid w:val="003C2FDA"/>
    <w:rsid w:val="003C33ED"/>
    <w:rsid w:val="003C4B1B"/>
    <w:rsid w:val="003D1B33"/>
    <w:rsid w:val="003E6A88"/>
    <w:rsid w:val="00401FE1"/>
    <w:rsid w:val="00407E2D"/>
    <w:rsid w:val="00415FD2"/>
    <w:rsid w:val="00422F15"/>
    <w:rsid w:val="00427673"/>
    <w:rsid w:val="00431CB5"/>
    <w:rsid w:val="004331B2"/>
    <w:rsid w:val="00440E4C"/>
    <w:rsid w:val="00443C91"/>
    <w:rsid w:val="0044693C"/>
    <w:rsid w:val="00447944"/>
    <w:rsid w:val="00456960"/>
    <w:rsid w:val="00460947"/>
    <w:rsid w:val="00460E63"/>
    <w:rsid w:val="00463734"/>
    <w:rsid w:val="0046578F"/>
    <w:rsid w:val="004833CE"/>
    <w:rsid w:val="00484BAB"/>
    <w:rsid w:val="004918F5"/>
    <w:rsid w:val="004927FD"/>
    <w:rsid w:val="00492B42"/>
    <w:rsid w:val="00492F69"/>
    <w:rsid w:val="00494BDF"/>
    <w:rsid w:val="0049776A"/>
    <w:rsid w:val="00497CE7"/>
    <w:rsid w:val="004A7A9D"/>
    <w:rsid w:val="004B34A6"/>
    <w:rsid w:val="004B6016"/>
    <w:rsid w:val="004C1B73"/>
    <w:rsid w:val="004C3AE3"/>
    <w:rsid w:val="004D303F"/>
    <w:rsid w:val="004D6622"/>
    <w:rsid w:val="004D6C64"/>
    <w:rsid w:val="004E69F7"/>
    <w:rsid w:val="00504E1E"/>
    <w:rsid w:val="00504E81"/>
    <w:rsid w:val="00506803"/>
    <w:rsid w:val="00506859"/>
    <w:rsid w:val="005074BE"/>
    <w:rsid w:val="00510EAE"/>
    <w:rsid w:val="0051273D"/>
    <w:rsid w:val="00520F93"/>
    <w:rsid w:val="00522009"/>
    <w:rsid w:val="0052337B"/>
    <w:rsid w:val="00526087"/>
    <w:rsid w:val="005275CC"/>
    <w:rsid w:val="005303B6"/>
    <w:rsid w:val="00532975"/>
    <w:rsid w:val="00540770"/>
    <w:rsid w:val="00550D25"/>
    <w:rsid w:val="00564D07"/>
    <w:rsid w:val="00565772"/>
    <w:rsid w:val="00566856"/>
    <w:rsid w:val="00592FD8"/>
    <w:rsid w:val="00594E2D"/>
    <w:rsid w:val="005971F4"/>
    <w:rsid w:val="00597A0F"/>
    <w:rsid w:val="005A1A7A"/>
    <w:rsid w:val="005A21B0"/>
    <w:rsid w:val="005A5C62"/>
    <w:rsid w:val="005A6282"/>
    <w:rsid w:val="005B0797"/>
    <w:rsid w:val="005B1356"/>
    <w:rsid w:val="005B2DC1"/>
    <w:rsid w:val="005B3B5D"/>
    <w:rsid w:val="005B5161"/>
    <w:rsid w:val="005B5C12"/>
    <w:rsid w:val="005C58BA"/>
    <w:rsid w:val="005C59C8"/>
    <w:rsid w:val="005D598D"/>
    <w:rsid w:val="005D699A"/>
    <w:rsid w:val="005D6AD4"/>
    <w:rsid w:val="005D6E38"/>
    <w:rsid w:val="005F02F8"/>
    <w:rsid w:val="005F457C"/>
    <w:rsid w:val="006027AB"/>
    <w:rsid w:val="00621727"/>
    <w:rsid w:val="0062695B"/>
    <w:rsid w:val="00630F92"/>
    <w:rsid w:val="006338C1"/>
    <w:rsid w:val="00636F5E"/>
    <w:rsid w:val="00637112"/>
    <w:rsid w:val="00640CC4"/>
    <w:rsid w:val="006410A6"/>
    <w:rsid w:val="006435A1"/>
    <w:rsid w:val="00656EA2"/>
    <w:rsid w:val="00660556"/>
    <w:rsid w:val="00661732"/>
    <w:rsid w:val="00664CB9"/>
    <w:rsid w:val="00665CCF"/>
    <w:rsid w:val="006666D1"/>
    <w:rsid w:val="006721EC"/>
    <w:rsid w:val="00673192"/>
    <w:rsid w:val="00677063"/>
    <w:rsid w:val="00682EA7"/>
    <w:rsid w:val="006932BA"/>
    <w:rsid w:val="006957E9"/>
    <w:rsid w:val="006A1DDB"/>
    <w:rsid w:val="006B4F9A"/>
    <w:rsid w:val="006B65D1"/>
    <w:rsid w:val="006C1366"/>
    <w:rsid w:val="006C47EC"/>
    <w:rsid w:val="006C5CE4"/>
    <w:rsid w:val="006D6031"/>
    <w:rsid w:val="006E6C8C"/>
    <w:rsid w:val="006F5ECA"/>
    <w:rsid w:val="006F63FD"/>
    <w:rsid w:val="00703AE1"/>
    <w:rsid w:val="00722B0F"/>
    <w:rsid w:val="007265D8"/>
    <w:rsid w:val="00727D5D"/>
    <w:rsid w:val="00732169"/>
    <w:rsid w:val="007326C8"/>
    <w:rsid w:val="00735659"/>
    <w:rsid w:val="007361D0"/>
    <w:rsid w:val="00744130"/>
    <w:rsid w:val="007479DC"/>
    <w:rsid w:val="00751E69"/>
    <w:rsid w:val="00752B4C"/>
    <w:rsid w:val="00753914"/>
    <w:rsid w:val="0075606F"/>
    <w:rsid w:val="00757978"/>
    <w:rsid w:val="00757E5B"/>
    <w:rsid w:val="007639B5"/>
    <w:rsid w:val="007658D4"/>
    <w:rsid w:val="0077110E"/>
    <w:rsid w:val="00775B02"/>
    <w:rsid w:val="007870CB"/>
    <w:rsid w:val="007A2140"/>
    <w:rsid w:val="007A24CC"/>
    <w:rsid w:val="007A3F0F"/>
    <w:rsid w:val="007B12B3"/>
    <w:rsid w:val="007B5BD9"/>
    <w:rsid w:val="007C4A3E"/>
    <w:rsid w:val="007D5C49"/>
    <w:rsid w:val="007D73FF"/>
    <w:rsid w:val="007F0A6F"/>
    <w:rsid w:val="008006ED"/>
    <w:rsid w:val="0080151A"/>
    <w:rsid w:val="00806B52"/>
    <w:rsid w:val="0081185D"/>
    <w:rsid w:val="00814DCF"/>
    <w:rsid w:val="00822598"/>
    <w:rsid w:val="00822C54"/>
    <w:rsid w:val="0083469E"/>
    <w:rsid w:val="008360A1"/>
    <w:rsid w:val="0084227D"/>
    <w:rsid w:val="008540F9"/>
    <w:rsid w:val="00861563"/>
    <w:rsid w:val="00871AAA"/>
    <w:rsid w:val="00877C59"/>
    <w:rsid w:val="00891AAA"/>
    <w:rsid w:val="00896CBF"/>
    <w:rsid w:val="008A0A9F"/>
    <w:rsid w:val="008B2BBE"/>
    <w:rsid w:val="008B31DD"/>
    <w:rsid w:val="008D6D4C"/>
    <w:rsid w:val="008F64B4"/>
    <w:rsid w:val="008F67E6"/>
    <w:rsid w:val="00901A7B"/>
    <w:rsid w:val="00902557"/>
    <w:rsid w:val="00910EF5"/>
    <w:rsid w:val="00913C78"/>
    <w:rsid w:val="009160E9"/>
    <w:rsid w:val="009209E4"/>
    <w:rsid w:val="00933723"/>
    <w:rsid w:val="00933EA1"/>
    <w:rsid w:val="00945929"/>
    <w:rsid w:val="00947DB1"/>
    <w:rsid w:val="00951416"/>
    <w:rsid w:val="00960D21"/>
    <w:rsid w:val="00967F61"/>
    <w:rsid w:val="00970A6F"/>
    <w:rsid w:val="00971F3A"/>
    <w:rsid w:val="00974566"/>
    <w:rsid w:val="00981D29"/>
    <w:rsid w:val="00981E11"/>
    <w:rsid w:val="00986498"/>
    <w:rsid w:val="009A647F"/>
    <w:rsid w:val="009C1CAA"/>
    <w:rsid w:val="009E153B"/>
    <w:rsid w:val="009F4B43"/>
    <w:rsid w:val="00A0595A"/>
    <w:rsid w:val="00A07874"/>
    <w:rsid w:val="00A112B4"/>
    <w:rsid w:val="00A11510"/>
    <w:rsid w:val="00A133C4"/>
    <w:rsid w:val="00A14B4F"/>
    <w:rsid w:val="00A1564B"/>
    <w:rsid w:val="00A27EB9"/>
    <w:rsid w:val="00A37211"/>
    <w:rsid w:val="00A45B15"/>
    <w:rsid w:val="00A4629B"/>
    <w:rsid w:val="00A50A82"/>
    <w:rsid w:val="00A5194F"/>
    <w:rsid w:val="00A57220"/>
    <w:rsid w:val="00A622FD"/>
    <w:rsid w:val="00A62C72"/>
    <w:rsid w:val="00A641B3"/>
    <w:rsid w:val="00A871D6"/>
    <w:rsid w:val="00AA768E"/>
    <w:rsid w:val="00AB1635"/>
    <w:rsid w:val="00AB401C"/>
    <w:rsid w:val="00AC5069"/>
    <w:rsid w:val="00AD4B21"/>
    <w:rsid w:val="00AD6948"/>
    <w:rsid w:val="00AE30C2"/>
    <w:rsid w:val="00AE75A0"/>
    <w:rsid w:val="00AF005F"/>
    <w:rsid w:val="00AF282C"/>
    <w:rsid w:val="00AF3FF7"/>
    <w:rsid w:val="00AF4649"/>
    <w:rsid w:val="00AF55B2"/>
    <w:rsid w:val="00AF7028"/>
    <w:rsid w:val="00B02AF3"/>
    <w:rsid w:val="00B0715E"/>
    <w:rsid w:val="00B11617"/>
    <w:rsid w:val="00B12FD4"/>
    <w:rsid w:val="00B14571"/>
    <w:rsid w:val="00B1491D"/>
    <w:rsid w:val="00B1673F"/>
    <w:rsid w:val="00B3627A"/>
    <w:rsid w:val="00B41664"/>
    <w:rsid w:val="00B43995"/>
    <w:rsid w:val="00B47B7D"/>
    <w:rsid w:val="00B5499E"/>
    <w:rsid w:val="00B87B69"/>
    <w:rsid w:val="00B92950"/>
    <w:rsid w:val="00B92D7E"/>
    <w:rsid w:val="00BA0826"/>
    <w:rsid w:val="00BB54FE"/>
    <w:rsid w:val="00BB5AD1"/>
    <w:rsid w:val="00BC0ABB"/>
    <w:rsid w:val="00BD7F84"/>
    <w:rsid w:val="00BE0201"/>
    <w:rsid w:val="00BF0E36"/>
    <w:rsid w:val="00C03E0F"/>
    <w:rsid w:val="00C17C29"/>
    <w:rsid w:val="00C20404"/>
    <w:rsid w:val="00C20779"/>
    <w:rsid w:val="00C33B68"/>
    <w:rsid w:val="00C34AB4"/>
    <w:rsid w:val="00C35DE3"/>
    <w:rsid w:val="00C37069"/>
    <w:rsid w:val="00C37715"/>
    <w:rsid w:val="00C42E3B"/>
    <w:rsid w:val="00C52E56"/>
    <w:rsid w:val="00C5407A"/>
    <w:rsid w:val="00C662B0"/>
    <w:rsid w:val="00C7106E"/>
    <w:rsid w:val="00C84FD4"/>
    <w:rsid w:val="00C958EE"/>
    <w:rsid w:val="00CA1515"/>
    <w:rsid w:val="00CC2E2B"/>
    <w:rsid w:val="00CD21FB"/>
    <w:rsid w:val="00CE6871"/>
    <w:rsid w:val="00CF7E14"/>
    <w:rsid w:val="00D0470C"/>
    <w:rsid w:val="00D05018"/>
    <w:rsid w:val="00D0655B"/>
    <w:rsid w:val="00D2753B"/>
    <w:rsid w:val="00D41134"/>
    <w:rsid w:val="00D423FE"/>
    <w:rsid w:val="00D442E4"/>
    <w:rsid w:val="00D45473"/>
    <w:rsid w:val="00D4799C"/>
    <w:rsid w:val="00D513DC"/>
    <w:rsid w:val="00D51D03"/>
    <w:rsid w:val="00D6666E"/>
    <w:rsid w:val="00D706B1"/>
    <w:rsid w:val="00D70DC1"/>
    <w:rsid w:val="00D72D57"/>
    <w:rsid w:val="00D76C9A"/>
    <w:rsid w:val="00D80EDC"/>
    <w:rsid w:val="00D816F9"/>
    <w:rsid w:val="00D95EA0"/>
    <w:rsid w:val="00DA2F45"/>
    <w:rsid w:val="00DC4F14"/>
    <w:rsid w:val="00DD0E34"/>
    <w:rsid w:val="00DE52B9"/>
    <w:rsid w:val="00DE7701"/>
    <w:rsid w:val="00DF4F15"/>
    <w:rsid w:val="00E00AF4"/>
    <w:rsid w:val="00E0220D"/>
    <w:rsid w:val="00E047D3"/>
    <w:rsid w:val="00E16C24"/>
    <w:rsid w:val="00E21F02"/>
    <w:rsid w:val="00E22BA5"/>
    <w:rsid w:val="00E23326"/>
    <w:rsid w:val="00E2485C"/>
    <w:rsid w:val="00E266B7"/>
    <w:rsid w:val="00E321C5"/>
    <w:rsid w:val="00E37197"/>
    <w:rsid w:val="00E42028"/>
    <w:rsid w:val="00E5772B"/>
    <w:rsid w:val="00E66FCC"/>
    <w:rsid w:val="00E67511"/>
    <w:rsid w:val="00E722B3"/>
    <w:rsid w:val="00E734CC"/>
    <w:rsid w:val="00E7565F"/>
    <w:rsid w:val="00E82D0F"/>
    <w:rsid w:val="00E950B5"/>
    <w:rsid w:val="00EA2B76"/>
    <w:rsid w:val="00EA44EA"/>
    <w:rsid w:val="00EA57BF"/>
    <w:rsid w:val="00EB7FE0"/>
    <w:rsid w:val="00EC4CEE"/>
    <w:rsid w:val="00ED62C5"/>
    <w:rsid w:val="00EF175F"/>
    <w:rsid w:val="00EF31D8"/>
    <w:rsid w:val="00F05879"/>
    <w:rsid w:val="00F06F5B"/>
    <w:rsid w:val="00F115F7"/>
    <w:rsid w:val="00F22037"/>
    <w:rsid w:val="00F2485D"/>
    <w:rsid w:val="00F33926"/>
    <w:rsid w:val="00F423D9"/>
    <w:rsid w:val="00F54DF7"/>
    <w:rsid w:val="00F56C5C"/>
    <w:rsid w:val="00F60C61"/>
    <w:rsid w:val="00F64B52"/>
    <w:rsid w:val="00F66881"/>
    <w:rsid w:val="00F86C53"/>
    <w:rsid w:val="00FA177C"/>
    <w:rsid w:val="00FA2940"/>
    <w:rsid w:val="00FA711A"/>
    <w:rsid w:val="00FB0EF5"/>
    <w:rsid w:val="00FB5291"/>
    <w:rsid w:val="00FB615D"/>
    <w:rsid w:val="00FC1766"/>
    <w:rsid w:val="00FD0C85"/>
    <w:rsid w:val="00FD3D4E"/>
    <w:rsid w:val="00FD583A"/>
    <w:rsid w:val="00FE2A7E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8" ma:contentTypeDescription="Create a new document." ma:contentTypeScope="" ma:versionID="c5e3fe85224c9ab247f2d48931da034f">
  <xsd:schema xmlns:xsd="http://www.w3.org/2001/XMLSchema" xmlns:xs="http://www.w3.org/2001/XMLSchema" xmlns:p="http://schemas.microsoft.com/office/2006/metadata/properties" xmlns:ns2="bf70374b-5ede-4d07-a6d4-3a8a64b98b0b" targetNamespace="http://schemas.microsoft.com/office/2006/metadata/properties" ma:root="true" ma:fieldsID="0bc16e4bba9fb977b648d87e3d141c4b" ns2:_="">
    <xsd:import namespace="bf70374b-5ede-4d07-a6d4-3a8a64b98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71C0-0A43-4167-9F79-7F5D28324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8125D-D9F4-473D-9322-E82DA4F52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D1E34-E383-4FB3-8411-B06977085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91349-205C-4EA6-BD6D-1763493F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APAAC Shared</cp:lastModifiedBy>
  <cp:revision>4</cp:revision>
  <cp:lastPrinted>2019-03-18T16:01:00Z</cp:lastPrinted>
  <dcterms:created xsi:type="dcterms:W3CDTF">2019-03-18T16:01:00Z</dcterms:created>
  <dcterms:modified xsi:type="dcterms:W3CDTF">2019-03-18T20:35:00Z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