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950"/>
        <w:gridCol w:w="4086"/>
      </w:tblGrid>
      <w:tr w:rsidR="00357F4D" w:rsidRPr="000F7A7F" w14:paraId="1F26B169" w14:textId="77777777" w:rsidTr="00BB44A3">
        <w:trPr>
          <w:cantSplit/>
          <w:trHeight w:val="1987"/>
        </w:trPr>
        <w:tc>
          <w:tcPr>
            <w:tcW w:w="4950" w:type="dxa"/>
          </w:tcPr>
          <w:p w14:paraId="33E53016" w14:textId="3F093A5B" w:rsidR="00B02AF3" w:rsidRDefault="00B02AF3" w:rsidP="00000C35">
            <w:pPr>
              <w:pStyle w:val="FirmInformation"/>
              <w:spacing w:line="240" w:lineRule="auto"/>
              <w:rPr>
                <w:sz w:val="28"/>
                <w:szCs w:val="28"/>
              </w:rPr>
            </w:pPr>
            <w:bookmarkStart w:id="0" w:name="_zzmpFIXED_CounselTable"/>
            <w:r>
              <w:rPr>
                <w:sz w:val="28"/>
                <w:szCs w:val="28"/>
              </w:rPr>
              <w:t xml:space="preserve">Elizabeth </w:t>
            </w:r>
            <w:r w:rsidR="00BB44A3">
              <w:rPr>
                <w:sz w:val="28"/>
                <w:szCs w:val="28"/>
              </w:rPr>
              <w:t xml:space="preserve">Burton </w:t>
            </w:r>
            <w:r>
              <w:rPr>
                <w:sz w:val="28"/>
                <w:szCs w:val="28"/>
              </w:rPr>
              <w:t>Ortiz</w:t>
            </w:r>
            <w:r w:rsidR="00732169">
              <w:rPr>
                <w:sz w:val="28"/>
                <w:szCs w:val="28"/>
              </w:rPr>
              <w:t xml:space="preserve">, </w:t>
            </w:r>
            <w:r>
              <w:rPr>
                <w:sz w:val="28"/>
                <w:szCs w:val="28"/>
              </w:rPr>
              <w:t>Bar No. 012838</w:t>
            </w:r>
          </w:p>
          <w:p w14:paraId="7A728113" w14:textId="77777777" w:rsidR="00000C35" w:rsidRDefault="00B02AF3" w:rsidP="00000C35">
            <w:pPr>
              <w:pStyle w:val="FirmInformation"/>
              <w:spacing w:line="240" w:lineRule="auto"/>
              <w:rPr>
                <w:sz w:val="28"/>
                <w:szCs w:val="28"/>
              </w:rPr>
            </w:pPr>
            <w:r>
              <w:rPr>
                <w:sz w:val="28"/>
                <w:szCs w:val="28"/>
              </w:rPr>
              <w:t>Executive Director</w:t>
            </w:r>
          </w:p>
          <w:p w14:paraId="7E4F67F4" w14:textId="77777777" w:rsidR="00BB44A3" w:rsidRDefault="00B02AF3" w:rsidP="00000C35">
            <w:pPr>
              <w:pStyle w:val="FirmInformation"/>
              <w:spacing w:line="240" w:lineRule="auto"/>
              <w:rPr>
                <w:sz w:val="28"/>
                <w:szCs w:val="28"/>
              </w:rPr>
            </w:pPr>
            <w:r>
              <w:rPr>
                <w:sz w:val="28"/>
                <w:szCs w:val="28"/>
              </w:rPr>
              <w:t>Arizona Prosecuting Attorneys’</w:t>
            </w:r>
          </w:p>
          <w:p w14:paraId="15CEA1E0" w14:textId="3E75F5C6" w:rsidR="00494BDF" w:rsidRPr="006F63FD" w:rsidRDefault="00BB44A3" w:rsidP="00000C35">
            <w:pPr>
              <w:pStyle w:val="FirmInformation"/>
              <w:spacing w:line="240" w:lineRule="auto"/>
              <w:rPr>
                <w:sz w:val="28"/>
                <w:szCs w:val="28"/>
              </w:rPr>
            </w:pPr>
            <w:r>
              <w:rPr>
                <w:sz w:val="28"/>
                <w:szCs w:val="28"/>
              </w:rPr>
              <w:t xml:space="preserve"> </w:t>
            </w:r>
            <w:r w:rsidR="00B02AF3">
              <w:rPr>
                <w:sz w:val="28"/>
                <w:szCs w:val="28"/>
              </w:rPr>
              <w:t xml:space="preserve"> </w:t>
            </w:r>
            <w:r>
              <w:rPr>
                <w:sz w:val="28"/>
                <w:szCs w:val="28"/>
              </w:rPr>
              <w:t xml:space="preserve"> </w:t>
            </w:r>
            <w:r w:rsidR="00B02AF3">
              <w:rPr>
                <w:sz w:val="28"/>
                <w:szCs w:val="28"/>
              </w:rPr>
              <w:t>Advisory</w:t>
            </w:r>
            <w:r>
              <w:rPr>
                <w:sz w:val="28"/>
                <w:szCs w:val="28"/>
              </w:rPr>
              <w:t xml:space="preserve"> </w:t>
            </w:r>
            <w:r w:rsidR="00B02AF3">
              <w:rPr>
                <w:sz w:val="28"/>
                <w:szCs w:val="28"/>
              </w:rPr>
              <w:t>Council</w:t>
            </w:r>
          </w:p>
          <w:p w14:paraId="3324DE79" w14:textId="77777777" w:rsidR="00357F4D" w:rsidRPr="006F63FD" w:rsidRDefault="00B02AF3" w:rsidP="00000C35">
            <w:pPr>
              <w:pStyle w:val="FirmInformation"/>
              <w:spacing w:line="240" w:lineRule="auto"/>
              <w:rPr>
                <w:sz w:val="28"/>
                <w:szCs w:val="28"/>
              </w:rPr>
            </w:pPr>
            <w:r>
              <w:rPr>
                <w:sz w:val="28"/>
                <w:szCs w:val="28"/>
              </w:rPr>
              <w:t>1951 West Camelback Road, Suite</w:t>
            </w:r>
            <w:r w:rsidR="00357F4D" w:rsidRPr="006F63FD">
              <w:rPr>
                <w:sz w:val="28"/>
                <w:szCs w:val="28"/>
              </w:rPr>
              <w:t xml:space="preserve"> </w:t>
            </w:r>
            <w:r>
              <w:rPr>
                <w:sz w:val="28"/>
                <w:szCs w:val="28"/>
              </w:rPr>
              <w:t>202</w:t>
            </w:r>
          </w:p>
          <w:p w14:paraId="2877A877" w14:textId="77777777" w:rsidR="00357F4D" w:rsidRPr="006F63FD" w:rsidRDefault="00357F4D" w:rsidP="00000C35">
            <w:pPr>
              <w:pStyle w:val="FirmInformation"/>
              <w:spacing w:line="240" w:lineRule="auto"/>
              <w:rPr>
                <w:sz w:val="28"/>
                <w:szCs w:val="28"/>
              </w:rPr>
            </w:pPr>
            <w:r w:rsidRPr="006F63FD">
              <w:rPr>
                <w:sz w:val="28"/>
                <w:szCs w:val="28"/>
              </w:rPr>
              <w:t>Phoenix, AZ  8501</w:t>
            </w:r>
            <w:r w:rsidR="00B02AF3">
              <w:rPr>
                <w:sz w:val="28"/>
                <w:szCs w:val="28"/>
              </w:rPr>
              <w:t>5</w:t>
            </w:r>
            <w:r w:rsidRPr="006F63FD">
              <w:rPr>
                <w:sz w:val="28"/>
                <w:szCs w:val="28"/>
              </w:rPr>
              <w:t>-</w:t>
            </w:r>
            <w:r w:rsidR="00B02AF3">
              <w:rPr>
                <w:sz w:val="28"/>
                <w:szCs w:val="28"/>
              </w:rPr>
              <w:t>3407</w:t>
            </w:r>
          </w:p>
          <w:p w14:paraId="1186B546" w14:textId="77777777" w:rsidR="00357F4D" w:rsidRPr="006F63FD" w:rsidRDefault="00352347" w:rsidP="00000C35">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14:paraId="77E50250" w14:textId="6036B81C" w:rsidR="00B02AF3" w:rsidRPr="00BB44A3" w:rsidRDefault="00BB44A3" w:rsidP="00735659">
            <w:pPr>
              <w:pStyle w:val="FirmInformation"/>
              <w:spacing w:line="240" w:lineRule="auto"/>
              <w:rPr>
                <w:sz w:val="32"/>
                <w:szCs w:val="28"/>
              </w:rPr>
            </w:pPr>
            <w:r w:rsidRPr="00BB44A3">
              <w:rPr>
                <w:rStyle w:val="Hyperlink"/>
                <w:sz w:val="28"/>
              </w:rPr>
              <w:t>Elizabeth.Ortiz@apaacaz.com</w:t>
            </w:r>
          </w:p>
          <w:p w14:paraId="2796A6A2" w14:textId="77777777" w:rsidR="00B02AF3" w:rsidRPr="00735659" w:rsidRDefault="00B02AF3" w:rsidP="00735659">
            <w:pPr>
              <w:pStyle w:val="FirmInformation"/>
              <w:spacing w:line="240" w:lineRule="auto"/>
              <w:rPr>
                <w:sz w:val="28"/>
                <w:szCs w:val="28"/>
              </w:rPr>
            </w:pPr>
          </w:p>
        </w:tc>
        <w:tc>
          <w:tcPr>
            <w:tcW w:w="4086" w:type="dxa"/>
          </w:tcPr>
          <w:p w14:paraId="59835A29" w14:textId="77777777" w:rsidR="00357F4D" w:rsidRPr="000F7A7F" w:rsidRDefault="00357F4D" w:rsidP="00000C35">
            <w:pPr>
              <w:ind w:left="113" w:right="113"/>
              <w:rPr>
                <w:sz w:val="26"/>
                <w:szCs w:val="26"/>
              </w:rPr>
            </w:pPr>
          </w:p>
        </w:tc>
      </w:tr>
    </w:tbl>
    <w:bookmarkEnd w:id="0"/>
    <w:p w14:paraId="2A70CCCE"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1856143E" w14:textId="77777777" w:rsidTr="004331B2">
        <w:tc>
          <w:tcPr>
            <w:tcW w:w="4680" w:type="dxa"/>
            <w:tcBorders>
              <w:top w:val="nil"/>
              <w:bottom w:val="single" w:sz="4" w:space="0" w:color="auto"/>
              <w:right w:val="single" w:sz="4" w:space="0" w:color="auto"/>
            </w:tcBorders>
            <w:shd w:val="clear" w:color="auto" w:fill="auto"/>
          </w:tcPr>
          <w:p w14:paraId="446DD580"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44A46119" w14:textId="7F18D87A"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CD4746">
              <w:rPr>
                <w:b/>
                <w:sz w:val="28"/>
                <w:szCs w:val="28"/>
              </w:rPr>
              <w:t xml:space="preserve">MODIFY RULES 18.5, 22.5, AND 32.1, </w:t>
            </w:r>
            <w:r w:rsidR="0051273D">
              <w:rPr>
                <w:b/>
                <w:sz w:val="28"/>
                <w:szCs w:val="28"/>
              </w:rPr>
              <w:t>ARIZONA RULES OF CRIMINAL PROCEDURE</w:t>
            </w:r>
          </w:p>
          <w:p w14:paraId="712DCE80" w14:textId="77777777"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14:paraId="0557FD37" w14:textId="0B896EBD"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B87B69">
              <w:rPr>
                <w:sz w:val="28"/>
                <w:szCs w:val="28"/>
              </w:rPr>
              <w:t>1</w:t>
            </w:r>
            <w:r w:rsidR="00CD4746">
              <w:rPr>
                <w:sz w:val="28"/>
                <w:szCs w:val="28"/>
              </w:rPr>
              <w:t>9-0008</w:t>
            </w:r>
          </w:p>
          <w:p w14:paraId="1B99CC13" w14:textId="38A4C196"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14:paraId="7636A501" w14:textId="77777777"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 xml:space="preserve">THE </w:t>
            </w:r>
            <w:r w:rsidR="00B02AF3">
              <w:rPr>
                <w:b/>
                <w:sz w:val="28"/>
                <w:szCs w:val="28"/>
              </w:rPr>
              <w:t>ARIZONA PROSECUTING ATTORNEYS’ ADVISORY COUNCIL</w:t>
            </w:r>
          </w:p>
          <w:p w14:paraId="296508BB" w14:textId="77777777" w:rsidR="00357F4D" w:rsidRPr="000F7A7F" w:rsidRDefault="00357F4D" w:rsidP="00E321C5">
            <w:pPr>
              <w:pStyle w:val="DocumentTitle"/>
              <w:rPr>
                <w:szCs w:val="26"/>
              </w:rPr>
            </w:pPr>
          </w:p>
          <w:p w14:paraId="240CC108" w14:textId="77777777" w:rsidR="00357F4D" w:rsidRPr="000F7A7F" w:rsidRDefault="00357F4D" w:rsidP="00E321C5">
            <w:pPr>
              <w:pStyle w:val="Caption"/>
              <w:ind w:left="1512" w:right="115" w:hanging="1253"/>
              <w:rPr>
                <w:szCs w:val="26"/>
              </w:rPr>
            </w:pPr>
          </w:p>
        </w:tc>
      </w:tr>
      <w:bookmarkEnd w:id="1"/>
    </w:tbl>
    <w:p w14:paraId="39535B2D" w14:textId="77777777" w:rsidR="00B02AF3" w:rsidRDefault="00B02AF3" w:rsidP="00B02AF3">
      <w:pPr>
        <w:pStyle w:val="Body"/>
        <w:widowControl w:val="0"/>
        <w:spacing w:line="240" w:lineRule="auto"/>
        <w:ind w:firstLine="720"/>
        <w:jc w:val="both"/>
        <w:rPr>
          <w:sz w:val="28"/>
          <w:szCs w:val="28"/>
        </w:rPr>
      </w:pPr>
    </w:p>
    <w:p w14:paraId="4DDDA038" w14:textId="77777777" w:rsidR="00526087" w:rsidRDefault="00526087" w:rsidP="00DE52B9">
      <w:pPr>
        <w:pStyle w:val="Body"/>
        <w:widowControl w:val="0"/>
        <w:spacing w:line="240" w:lineRule="auto"/>
        <w:ind w:firstLine="0"/>
        <w:rPr>
          <w:b/>
          <w:sz w:val="28"/>
          <w:szCs w:val="28"/>
        </w:rPr>
      </w:pPr>
      <w:r w:rsidRPr="00B87B69">
        <w:rPr>
          <w:b/>
          <w:sz w:val="28"/>
          <w:szCs w:val="28"/>
        </w:rPr>
        <w:t>I.</w:t>
      </w:r>
      <w:r w:rsidRPr="00B87B69">
        <w:rPr>
          <w:b/>
          <w:sz w:val="28"/>
          <w:szCs w:val="28"/>
        </w:rPr>
        <w:tab/>
        <w:t>BACKGROU</w:t>
      </w:r>
      <w:r>
        <w:rPr>
          <w:b/>
          <w:sz w:val="28"/>
          <w:szCs w:val="28"/>
        </w:rPr>
        <w:t>ND OF PETITION</w:t>
      </w:r>
    </w:p>
    <w:p w14:paraId="4A585A23" w14:textId="77777777" w:rsidR="00526087" w:rsidRDefault="00526087" w:rsidP="00526087">
      <w:pPr>
        <w:pStyle w:val="Body"/>
        <w:widowControl w:val="0"/>
        <w:spacing w:line="240" w:lineRule="auto"/>
        <w:ind w:firstLine="720"/>
        <w:rPr>
          <w:b/>
          <w:sz w:val="28"/>
          <w:szCs w:val="28"/>
        </w:rPr>
      </w:pPr>
    </w:p>
    <w:p w14:paraId="3A86C9BB" w14:textId="67E78F71" w:rsidR="00A0595A" w:rsidRDefault="00A0595A" w:rsidP="00E00AF4">
      <w:pPr>
        <w:pStyle w:val="Body"/>
        <w:widowControl w:val="0"/>
        <w:spacing w:line="480" w:lineRule="auto"/>
        <w:ind w:firstLine="720"/>
        <w:jc w:val="both"/>
        <w:rPr>
          <w:sz w:val="28"/>
          <w:szCs w:val="28"/>
        </w:rPr>
      </w:pPr>
      <w:r>
        <w:rPr>
          <w:sz w:val="28"/>
          <w:szCs w:val="28"/>
        </w:rPr>
        <w:t xml:space="preserve">The </w:t>
      </w:r>
      <w:r w:rsidR="00FB5327">
        <w:rPr>
          <w:sz w:val="28"/>
          <w:szCs w:val="28"/>
        </w:rPr>
        <w:t>Maricopa County Attorney</w:t>
      </w:r>
      <w:r w:rsidR="0051273D">
        <w:rPr>
          <w:sz w:val="28"/>
          <w:szCs w:val="28"/>
        </w:rPr>
        <w:t xml:space="preserve"> </w:t>
      </w:r>
      <w:r w:rsidR="00C7106E">
        <w:rPr>
          <w:sz w:val="28"/>
          <w:szCs w:val="28"/>
        </w:rPr>
        <w:t xml:space="preserve">has </w:t>
      </w:r>
      <w:r w:rsidR="00AE7AD3">
        <w:rPr>
          <w:sz w:val="28"/>
          <w:szCs w:val="28"/>
        </w:rPr>
        <w:t xml:space="preserve">filed a petition </w:t>
      </w:r>
      <w:r w:rsidR="005D2AE2">
        <w:rPr>
          <w:sz w:val="28"/>
          <w:szCs w:val="28"/>
        </w:rPr>
        <w:t xml:space="preserve">seeking to </w:t>
      </w:r>
      <w:r w:rsidR="00AE7AD3">
        <w:rPr>
          <w:sz w:val="28"/>
          <w:szCs w:val="28"/>
        </w:rPr>
        <w:t>amend</w:t>
      </w:r>
      <w:r w:rsidR="005D2AE2">
        <w:rPr>
          <w:sz w:val="28"/>
          <w:szCs w:val="28"/>
        </w:rPr>
        <w:t xml:space="preserve"> </w:t>
      </w:r>
      <w:r w:rsidR="00FF7DB0">
        <w:rPr>
          <w:sz w:val="28"/>
          <w:szCs w:val="28"/>
        </w:rPr>
        <w:t>three</w:t>
      </w:r>
      <w:r w:rsidR="005D2AE2">
        <w:rPr>
          <w:sz w:val="28"/>
          <w:szCs w:val="28"/>
        </w:rPr>
        <w:t xml:space="preserve"> criminal rules affecting </w:t>
      </w:r>
      <w:r w:rsidR="00D83D4E">
        <w:rPr>
          <w:sz w:val="28"/>
          <w:szCs w:val="28"/>
        </w:rPr>
        <w:t xml:space="preserve">a party’s </w:t>
      </w:r>
      <w:r w:rsidR="005D2AE2">
        <w:rPr>
          <w:sz w:val="28"/>
          <w:szCs w:val="28"/>
        </w:rPr>
        <w:t xml:space="preserve">contact with jurors and potential jurors during and after a </w:t>
      </w:r>
      <w:r w:rsidR="00FF7DB0">
        <w:rPr>
          <w:sz w:val="28"/>
          <w:szCs w:val="28"/>
        </w:rPr>
        <w:t xml:space="preserve">criminal </w:t>
      </w:r>
      <w:r w:rsidR="005D2AE2">
        <w:rPr>
          <w:sz w:val="28"/>
          <w:szCs w:val="28"/>
        </w:rPr>
        <w:t>case.  The petition proposes adding new subsections to Rule 18.5 (“Procedure for jury selection”), 22.5</w:t>
      </w:r>
      <w:r w:rsidR="00FF7DB0">
        <w:rPr>
          <w:sz w:val="28"/>
          <w:szCs w:val="28"/>
        </w:rPr>
        <w:t xml:space="preserve"> (“Discharging a jury”), and 32.1 </w:t>
      </w:r>
      <w:r w:rsidR="006F02BE">
        <w:rPr>
          <w:sz w:val="28"/>
          <w:szCs w:val="28"/>
        </w:rPr>
        <w:t xml:space="preserve">(“Scope of remedy” </w:t>
      </w:r>
      <w:r w:rsidR="00FF7DB0">
        <w:rPr>
          <w:sz w:val="28"/>
          <w:szCs w:val="28"/>
        </w:rPr>
        <w:t xml:space="preserve">on post-conviction relief).  </w:t>
      </w:r>
      <w:r w:rsidR="00E00AF4" w:rsidRPr="0023316F">
        <w:rPr>
          <w:sz w:val="28"/>
          <w:szCs w:val="28"/>
        </w:rPr>
        <w:t xml:space="preserve">The </w:t>
      </w:r>
      <w:r w:rsidR="00E00AF4">
        <w:rPr>
          <w:sz w:val="28"/>
          <w:szCs w:val="28"/>
        </w:rPr>
        <w:t xml:space="preserve">Arizona </w:t>
      </w:r>
      <w:r w:rsidR="00FD0C85">
        <w:rPr>
          <w:sz w:val="28"/>
          <w:szCs w:val="28"/>
        </w:rPr>
        <w:t>Prosecuting Attorneys’ Advisory Council (“APAAC”)</w:t>
      </w:r>
      <w:r w:rsidR="00E00AF4" w:rsidRPr="0023316F">
        <w:rPr>
          <w:sz w:val="28"/>
          <w:szCs w:val="28"/>
        </w:rPr>
        <w:t xml:space="preserve"> has considered the proposed change</w:t>
      </w:r>
      <w:r w:rsidR="00F115F7">
        <w:rPr>
          <w:sz w:val="28"/>
          <w:szCs w:val="28"/>
        </w:rPr>
        <w:t>s</w:t>
      </w:r>
      <w:r w:rsidR="00FE7BE7">
        <w:rPr>
          <w:sz w:val="28"/>
          <w:szCs w:val="28"/>
        </w:rPr>
        <w:t xml:space="preserve"> </w:t>
      </w:r>
      <w:r w:rsidR="003700EE">
        <w:rPr>
          <w:sz w:val="28"/>
          <w:szCs w:val="28"/>
        </w:rPr>
        <w:t>in the petition and</w:t>
      </w:r>
      <w:r w:rsidR="00F115F7">
        <w:rPr>
          <w:sz w:val="28"/>
          <w:szCs w:val="28"/>
        </w:rPr>
        <w:t xml:space="preserve"> </w:t>
      </w:r>
      <w:r>
        <w:rPr>
          <w:sz w:val="28"/>
          <w:szCs w:val="28"/>
        </w:rPr>
        <w:t>support</w:t>
      </w:r>
      <w:r w:rsidR="00F115F7">
        <w:rPr>
          <w:sz w:val="28"/>
          <w:szCs w:val="28"/>
        </w:rPr>
        <w:t>s them</w:t>
      </w:r>
      <w:r w:rsidR="00FF7DB0">
        <w:rPr>
          <w:sz w:val="28"/>
          <w:szCs w:val="28"/>
        </w:rPr>
        <w:t>.</w:t>
      </w:r>
    </w:p>
    <w:p w14:paraId="1FA7B6BD" w14:textId="77777777" w:rsidR="006F02BE" w:rsidRDefault="006F02BE" w:rsidP="00AB1635">
      <w:pPr>
        <w:pStyle w:val="Body"/>
        <w:widowControl w:val="0"/>
        <w:spacing w:line="480" w:lineRule="auto"/>
        <w:ind w:firstLine="0"/>
        <w:rPr>
          <w:b/>
          <w:sz w:val="28"/>
          <w:szCs w:val="28"/>
        </w:rPr>
      </w:pPr>
    </w:p>
    <w:p w14:paraId="5FF5DCAE" w14:textId="3976DA76" w:rsidR="00AB1635" w:rsidRDefault="00AB1635" w:rsidP="00AB1635">
      <w:pPr>
        <w:pStyle w:val="Body"/>
        <w:widowControl w:val="0"/>
        <w:spacing w:line="480" w:lineRule="auto"/>
        <w:ind w:firstLine="0"/>
        <w:rPr>
          <w:b/>
          <w:sz w:val="28"/>
          <w:szCs w:val="28"/>
        </w:rPr>
      </w:pPr>
      <w:r w:rsidRPr="009D7A5B">
        <w:rPr>
          <w:b/>
          <w:sz w:val="28"/>
          <w:szCs w:val="28"/>
        </w:rPr>
        <w:lastRenderedPageBreak/>
        <w:t>II.</w:t>
      </w:r>
      <w:r>
        <w:rPr>
          <w:b/>
          <w:sz w:val="28"/>
          <w:szCs w:val="28"/>
        </w:rPr>
        <w:tab/>
      </w:r>
      <w:r w:rsidRPr="009D7A5B">
        <w:rPr>
          <w:b/>
          <w:sz w:val="28"/>
          <w:szCs w:val="28"/>
        </w:rPr>
        <w:t>DISCUSSION/ANALYSIS</w:t>
      </w:r>
    </w:p>
    <w:p w14:paraId="43518E16" w14:textId="5675626C" w:rsidR="00121755" w:rsidRPr="00121755" w:rsidRDefault="00121755" w:rsidP="00326EAA">
      <w:pPr>
        <w:pStyle w:val="Body"/>
        <w:widowControl w:val="0"/>
        <w:spacing w:line="480" w:lineRule="auto"/>
        <w:ind w:firstLine="720"/>
        <w:jc w:val="both"/>
        <w:rPr>
          <w:b/>
          <w:sz w:val="28"/>
          <w:szCs w:val="28"/>
        </w:rPr>
      </w:pPr>
      <w:r w:rsidRPr="00121755">
        <w:rPr>
          <w:b/>
          <w:sz w:val="28"/>
          <w:szCs w:val="28"/>
        </w:rPr>
        <w:t>A.</w:t>
      </w:r>
      <w:r w:rsidRPr="00121755">
        <w:rPr>
          <w:b/>
          <w:sz w:val="28"/>
          <w:szCs w:val="28"/>
        </w:rPr>
        <w:tab/>
      </w:r>
      <w:r w:rsidRPr="00121755">
        <w:rPr>
          <w:b/>
          <w:sz w:val="28"/>
          <w:szCs w:val="28"/>
          <w:u w:val="single"/>
        </w:rPr>
        <w:t>Protecting Juror Privacy is of Paramount Concern</w:t>
      </w:r>
      <w:r w:rsidRPr="00121755">
        <w:rPr>
          <w:b/>
          <w:sz w:val="28"/>
          <w:szCs w:val="28"/>
        </w:rPr>
        <w:t>.</w:t>
      </w:r>
    </w:p>
    <w:p w14:paraId="4CE9F098" w14:textId="673DA78C" w:rsidR="00DC37EB" w:rsidRDefault="00D83D4E" w:rsidP="00326EAA">
      <w:pPr>
        <w:pStyle w:val="Body"/>
        <w:widowControl w:val="0"/>
        <w:spacing w:line="480" w:lineRule="auto"/>
        <w:ind w:firstLine="720"/>
        <w:jc w:val="both"/>
        <w:rPr>
          <w:sz w:val="28"/>
          <w:szCs w:val="28"/>
        </w:rPr>
      </w:pPr>
      <w:r>
        <w:rPr>
          <w:sz w:val="28"/>
          <w:szCs w:val="28"/>
        </w:rPr>
        <w:t>In today’s world of social media</w:t>
      </w:r>
      <w:r w:rsidR="00DC37EB">
        <w:rPr>
          <w:sz w:val="28"/>
          <w:szCs w:val="28"/>
        </w:rPr>
        <w:t xml:space="preserve"> and the internet</w:t>
      </w:r>
      <w:r>
        <w:rPr>
          <w:sz w:val="28"/>
          <w:szCs w:val="28"/>
        </w:rPr>
        <w:t>, a juror or potential juror’s information may be readily available</w:t>
      </w:r>
      <w:r w:rsidR="00DC37EB">
        <w:rPr>
          <w:sz w:val="28"/>
          <w:szCs w:val="28"/>
        </w:rPr>
        <w:t>, if not protected,</w:t>
      </w:r>
      <w:r>
        <w:rPr>
          <w:sz w:val="28"/>
          <w:szCs w:val="28"/>
        </w:rPr>
        <w:t xml:space="preserve"> </w:t>
      </w:r>
      <w:r w:rsidR="00411ADD">
        <w:rPr>
          <w:sz w:val="28"/>
          <w:szCs w:val="28"/>
        </w:rPr>
        <w:t xml:space="preserve">for discovery and dissemination </w:t>
      </w:r>
      <w:r w:rsidR="00DC37EB">
        <w:rPr>
          <w:sz w:val="28"/>
          <w:szCs w:val="28"/>
        </w:rPr>
        <w:t xml:space="preserve">by simple </w:t>
      </w:r>
      <w:r w:rsidR="006F02BE">
        <w:rPr>
          <w:sz w:val="28"/>
          <w:szCs w:val="28"/>
        </w:rPr>
        <w:t xml:space="preserve">internet </w:t>
      </w:r>
      <w:r w:rsidR="00DC37EB">
        <w:rPr>
          <w:sz w:val="28"/>
          <w:szCs w:val="28"/>
        </w:rPr>
        <w:t>searches</w:t>
      </w:r>
      <w:r>
        <w:rPr>
          <w:sz w:val="28"/>
          <w:szCs w:val="28"/>
        </w:rPr>
        <w:t>.</w:t>
      </w:r>
      <w:r w:rsidR="00893F7C">
        <w:rPr>
          <w:sz w:val="28"/>
          <w:szCs w:val="28"/>
        </w:rPr>
        <w:t xml:space="preserve">  </w:t>
      </w:r>
      <w:r w:rsidR="00366E79">
        <w:rPr>
          <w:sz w:val="28"/>
          <w:szCs w:val="28"/>
        </w:rPr>
        <w:t xml:space="preserve">Chopra, Sonia (2012, February). Using the Internet and social media in jury selection. </w:t>
      </w:r>
      <w:r w:rsidR="00366E79" w:rsidRPr="00366E79">
        <w:rPr>
          <w:i/>
          <w:sz w:val="28"/>
          <w:szCs w:val="28"/>
        </w:rPr>
        <w:t>Plaintiff Magazine</w:t>
      </w:r>
      <w:r w:rsidR="00366E79">
        <w:rPr>
          <w:sz w:val="28"/>
          <w:szCs w:val="28"/>
        </w:rPr>
        <w:t>, pp. 1-5.</w:t>
      </w:r>
      <w:r>
        <w:rPr>
          <w:sz w:val="28"/>
          <w:szCs w:val="28"/>
        </w:rPr>
        <w:t xml:space="preserve"> </w:t>
      </w:r>
      <w:hyperlink r:id="rId11" w:history="1">
        <w:r w:rsidR="00366E79" w:rsidRPr="006B39A0">
          <w:rPr>
            <w:rStyle w:val="Hyperlink"/>
            <w:sz w:val="28"/>
            <w:szCs w:val="28"/>
          </w:rPr>
          <w:t>https://www.plaintiffmagazine.com/images/issues/2012/02-february/reprints/Chopra_Using-the-Internet-and-social-media-in-jury-selection_Plaintiff-magazine.pdf</w:t>
        </w:r>
      </w:hyperlink>
      <w:r w:rsidR="006F02BE">
        <w:rPr>
          <w:rStyle w:val="Hyperlink"/>
          <w:sz w:val="28"/>
          <w:szCs w:val="28"/>
        </w:rPr>
        <w:t>.</w:t>
      </w:r>
      <w:r w:rsidR="00DC37EB">
        <w:rPr>
          <w:b/>
          <w:sz w:val="28"/>
          <w:szCs w:val="28"/>
        </w:rPr>
        <w:t xml:space="preserve">  </w:t>
      </w:r>
      <w:r>
        <w:rPr>
          <w:sz w:val="28"/>
          <w:szCs w:val="28"/>
        </w:rPr>
        <w:t>Consequences can</w:t>
      </w:r>
      <w:r w:rsidR="00950A62">
        <w:rPr>
          <w:sz w:val="28"/>
          <w:szCs w:val="28"/>
        </w:rPr>
        <w:t xml:space="preserve"> be serious </w:t>
      </w:r>
      <w:r w:rsidR="000A74DA">
        <w:rPr>
          <w:sz w:val="28"/>
          <w:szCs w:val="28"/>
        </w:rPr>
        <w:t>when</w:t>
      </w:r>
      <w:r w:rsidR="00FF7DB0">
        <w:rPr>
          <w:sz w:val="28"/>
          <w:szCs w:val="28"/>
        </w:rPr>
        <w:t xml:space="preserve"> a party</w:t>
      </w:r>
      <w:r w:rsidR="00326EAA">
        <w:rPr>
          <w:sz w:val="28"/>
          <w:szCs w:val="28"/>
        </w:rPr>
        <w:t xml:space="preserve"> or a party’s representative has had improper contact with a juror or potential juror.  </w:t>
      </w:r>
      <w:r w:rsidR="00DC37EB" w:rsidRPr="00DC37EB">
        <w:rPr>
          <w:i/>
          <w:sz w:val="28"/>
          <w:szCs w:val="28"/>
        </w:rPr>
        <w:t>See</w:t>
      </w:r>
      <w:r w:rsidR="00DC37EB">
        <w:rPr>
          <w:sz w:val="28"/>
          <w:szCs w:val="28"/>
        </w:rPr>
        <w:t xml:space="preserve"> </w:t>
      </w:r>
      <w:r w:rsidR="00411ADD" w:rsidRPr="00E43EC0">
        <w:rPr>
          <w:i/>
          <w:sz w:val="28"/>
          <w:szCs w:val="28"/>
        </w:rPr>
        <w:t>State v. Rojas</w:t>
      </w:r>
      <w:r w:rsidR="00411ADD">
        <w:rPr>
          <w:sz w:val="28"/>
          <w:szCs w:val="28"/>
        </w:rPr>
        <w:t>, 177 Ariz. 454</w:t>
      </w:r>
      <w:r w:rsidR="00E43EC0">
        <w:rPr>
          <w:sz w:val="28"/>
          <w:szCs w:val="28"/>
        </w:rPr>
        <w:t xml:space="preserve"> (App. 1993) (new trial ordered where juror made contact with victim); </w:t>
      </w:r>
      <w:r w:rsidR="00326EAA" w:rsidRPr="003B5677">
        <w:rPr>
          <w:i/>
          <w:sz w:val="28"/>
          <w:szCs w:val="28"/>
        </w:rPr>
        <w:t>State v. Lang</w:t>
      </w:r>
      <w:r w:rsidR="0074796A">
        <w:rPr>
          <w:sz w:val="28"/>
          <w:szCs w:val="28"/>
        </w:rPr>
        <w:t xml:space="preserve">, 176 Ariz. 475 (App. 1993) (new trial ordered for contact between detective and jurors); </w:t>
      </w:r>
      <w:r w:rsidR="00326EAA" w:rsidRPr="003B5677">
        <w:rPr>
          <w:i/>
          <w:sz w:val="28"/>
          <w:szCs w:val="28"/>
        </w:rPr>
        <w:t>State v. Adams</w:t>
      </w:r>
      <w:r w:rsidR="00326EAA">
        <w:rPr>
          <w:sz w:val="28"/>
          <w:szCs w:val="28"/>
        </w:rPr>
        <w:t xml:space="preserve">, 27 Ariz. App. 389 (1976) (new trial </w:t>
      </w:r>
      <w:r w:rsidR="00AD6AFE">
        <w:rPr>
          <w:sz w:val="28"/>
          <w:szCs w:val="28"/>
        </w:rPr>
        <w:t>considered</w:t>
      </w:r>
      <w:r w:rsidR="00326EAA">
        <w:rPr>
          <w:sz w:val="28"/>
          <w:szCs w:val="28"/>
        </w:rPr>
        <w:t xml:space="preserve"> due to communications between a juror and </w:t>
      </w:r>
      <w:r w:rsidR="00AD6AFE">
        <w:rPr>
          <w:sz w:val="28"/>
          <w:szCs w:val="28"/>
        </w:rPr>
        <w:t>the defendant</w:t>
      </w:r>
      <w:r w:rsidR="00326EAA">
        <w:rPr>
          <w:sz w:val="28"/>
          <w:szCs w:val="28"/>
        </w:rPr>
        <w:t>)</w:t>
      </w:r>
      <w:r w:rsidR="006F02BE">
        <w:rPr>
          <w:sz w:val="28"/>
          <w:szCs w:val="28"/>
        </w:rPr>
        <w:t>.</w:t>
      </w:r>
      <w:r w:rsidR="0074796A">
        <w:rPr>
          <w:sz w:val="28"/>
          <w:szCs w:val="28"/>
        </w:rPr>
        <w:t xml:space="preserve"> </w:t>
      </w:r>
      <w:r w:rsidR="006F02BE">
        <w:rPr>
          <w:sz w:val="28"/>
          <w:szCs w:val="28"/>
        </w:rPr>
        <w:t xml:space="preserve"> </w:t>
      </w:r>
      <w:r w:rsidR="006F02BE">
        <w:rPr>
          <w:i/>
          <w:sz w:val="28"/>
          <w:szCs w:val="28"/>
        </w:rPr>
        <w:t>S</w:t>
      </w:r>
      <w:r w:rsidR="00950A62" w:rsidRPr="003B5677">
        <w:rPr>
          <w:i/>
          <w:sz w:val="28"/>
          <w:szCs w:val="28"/>
        </w:rPr>
        <w:t>ee also</w:t>
      </w:r>
      <w:r w:rsidR="00950A62">
        <w:rPr>
          <w:sz w:val="28"/>
          <w:szCs w:val="28"/>
        </w:rPr>
        <w:t xml:space="preserve"> Criminal Rule 24.1(c)(3)(F) (new trial may be granted where juror converse</w:t>
      </w:r>
      <w:r w:rsidR="00E43EC0">
        <w:rPr>
          <w:sz w:val="28"/>
          <w:szCs w:val="28"/>
        </w:rPr>
        <w:t>s</w:t>
      </w:r>
      <w:r w:rsidR="00950A62">
        <w:rPr>
          <w:sz w:val="28"/>
          <w:szCs w:val="28"/>
        </w:rPr>
        <w:t xml:space="preserve"> </w:t>
      </w:r>
      <w:r w:rsidR="00E43EC0">
        <w:rPr>
          <w:sz w:val="28"/>
          <w:szCs w:val="28"/>
        </w:rPr>
        <w:t xml:space="preserve">before verdict </w:t>
      </w:r>
      <w:r w:rsidR="00950A62">
        <w:rPr>
          <w:sz w:val="28"/>
          <w:szCs w:val="28"/>
        </w:rPr>
        <w:t>about outcome of case with interested party).</w:t>
      </w:r>
    </w:p>
    <w:p w14:paraId="6E4CC638" w14:textId="4AD2E721" w:rsidR="00C52778" w:rsidRDefault="00973225" w:rsidP="00326EAA">
      <w:pPr>
        <w:pStyle w:val="Body"/>
        <w:widowControl w:val="0"/>
        <w:spacing w:line="480" w:lineRule="auto"/>
        <w:ind w:firstLine="720"/>
        <w:jc w:val="both"/>
        <w:rPr>
          <w:sz w:val="28"/>
          <w:szCs w:val="28"/>
        </w:rPr>
      </w:pPr>
      <w:r>
        <w:rPr>
          <w:sz w:val="28"/>
          <w:szCs w:val="28"/>
        </w:rPr>
        <w:t>P</w:t>
      </w:r>
      <w:r w:rsidR="00C52778">
        <w:rPr>
          <w:sz w:val="28"/>
          <w:szCs w:val="28"/>
        </w:rPr>
        <w:t>rotecting juror privacy and safety is a paramount concern affecting</w:t>
      </w:r>
      <w:r w:rsidR="003B5677">
        <w:rPr>
          <w:sz w:val="28"/>
          <w:szCs w:val="28"/>
        </w:rPr>
        <w:t xml:space="preserve"> t</w:t>
      </w:r>
      <w:r w:rsidR="00950A62">
        <w:rPr>
          <w:sz w:val="28"/>
          <w:szCs w:val="28"/>
        </w:rPr>
        <w:t>he integrity of the judicial system.</w:t>
      </w:r>
      <w:r w:rsidR="00950A62" w:rsidRPr="00950A62">
        <w:rPr>
          <w:sz w:val="28"/>
          <w:szCs w:val="28"/>
        </w:rPr>
        <w:t xml:space="preserve"> </w:t>
      </w:r>
      <w:r w:rsidR="00E43EC0" w:rsidRPr="003B5677">
        <w:rPr>
          <w:i/>
          <w:sz w:val="28"/>
          <w:szCs w:val="28"/>
        </w:rPr>
        <w:t>State v. Garcia</w:t>
      </w:r>
      <w:r w:rsidR="00E43EC0">
        <w:rPr>
          <w:sz w:val="28"/>
          <w:szCs w:val="28"/>
        </w:rPr>
        <w:t>, 141 Ariz. 580, 583 (App. 1984) (“preservation of the integrity of our judicial system mandates that witnesses and jurors avoid engaging in conversation with one another during a trial”)</w:t>
      </w:r>
      <w:r w:rsidR="00A262E1">
        <w:rPr>
          <w:sz w:val="28"/>
          <w:szCs w:val="28"/>
        </w:rPr>
        <w:t xml:space="preserve">; </w:t>
      </w:r>
      <w:r w:rsidR="00A262E1" w:rsidRPr="00A262E1">
        <w:rPr>
          <w:i/>
          <w:sz w:val="28"/>
          <w:szCs w:val="28"/>
        </w:rPr>
        <w:t xml:space="preserve">People v. </w:t>
      </w:r>
      <w:r w:rsidR="00A262E1" w:rsidRPr="00A262E1">
        <w:rPr>
          <w:i/>
          <w:sz w:val="28"/>
          <w:szCs w:val="28"/>
        </w:rPr>
        <w:lastRenderedPageBreak/>
        <w:t>Rhodes</w:t>
      </w:r>
      <w:r w:rsidR="00A262E1">
        <w:rPr>
          <w:sz w:val="28"/>
          <w:szCs w:val="28"/>
        </w:rPr>
        <w:t>, 212 Cal. App. 3d 541 (1989) (“the integrity of our jury system must be carefully safeguarded”</w:t>
      </w:r>
      <w:r w:rsidR="006F02BE">
        <w:rPr>
          <w:sz w:val="28"/>
          <w:szCs w:val="28"/>
        </w:rPr>
        <w:t xml:space="preserve"> - </w:t>
      </w:r>
      <w:r w:rsidR="00A262E1">
        <w:rPr>
          <w:sz w:val="28"/>
          <w:szCs w:val="28"/>
        </w:rPr>
        <w:t xml:space="preserve">allowing </w:t>
      </w:r>
      <w:r w:rsidR="006F02BE">
        <w:rPr>
          <w:sz w:val="28"/>
          <w:szCs w:val="28"/>
        </w:rPr>
        <w:t xml:space="preserve">free </w:t>
      </w:r>
      <w:r w:rsidR="00A262E1">
        <w:rPr>
          <w:sz w:val="28"/>
          <w:szCs w:val="28"/>
        </w:rPr>
        <w:t>access to jurors’ addresses and telephone numbers “would further jeopardize our jury process”)</w:t>
      </w:r>
      <w:r w:rsidR="006F02BE">
        <w:rPr>
          <w:sz w:val="28"/>
          <w:szCs w:val="28"/>
        </w:rPr>
        <w:t xml:space="preserve">.  </w:t>
      </w:r>
      <w:r w:rsidR="006F02BE">
        <w:rPr>
          <w:i/>
          <w:sz w:val="28"/>
          <w:szCs w:val="28"/>
        </w:rPr>
        <w:t>S</w:t>
      </w:r>
      <w:r w:rsidR="00A262E1">
        <w:rPr>
          <w:i/>
          <w:sz w:val="28"/>
          <w:szCs w:val="28"/>
        </w:rPr>
        <w:t>e</w:t>
      </w:r>
      <w:r w:rsidR="00411ADD" w:rsidRPr="00411ADD">
        <w:rPr>
          <w:i/>
          <w:sz w:val="28"/>
          <w:szCs w:val="28"/>
        </w:rPr>
        <w:t>e</w:t>
      </w:r>
      <w:r w:rsidR="00E43EC0">
        <w:rPr>
          <w:i/>
          <w:sz w:val="28"/>
          <w:szCs w:val="28"/>
        </w:rPr>
        <w:t xml:space="preserve"> also </w:t>
      </w:r>
      <w:r w:rsidR="006F02BE">
        <w:rPr>
          <w:sz w:val="28"/>
          <w:szCs w:val="28"/>
        </w:rPr>
        <w:t xml:space="preserve">A.R.S. § 21-312 (personal juror information is protected from disclosure and dissemination); </w:t>
      </w:r>
      <w:r w:rsidR="00E43EC0">
        <w:rPr>
          <w:sz w:val="28"/>
          <w:szCs w:val="28"/>
        </w:rPr>
        <w:t xml:space="preserve">Rule 23.3(b) (jurors’ names may not be used in polling to ensure jurors’ privacy); </w:t>
      </w:r>
      <w:r w:rsidR="00411ADD" w:rsidRPr="00411ADD">
        <w:rPr>
          <w:i/>
          <w:sz w:val="28"/>
          <w:szCs w:val="28"/>
        </w:rPr>
        <w:t>State v. McIntosh</w:t>
      </w:r>
      <w:r w:rsidR="00411ADD">
        <w:rPr>
          <w:sz w:val="28"/>
          <w:szCs w:val="28"/>
        </w:rPr>
        <w:t xml:space="preserve">, 213 Ariz. 579, 581-82, ¶ 12 (App. 2006) (verdict form </w:t>
      </w:r>
      <w:r w:rsidR="00E43EC0">
        <w:rPr>
          <w:sz w:val="28"/>
          <w:szCs w:val="28"/>
        </w:rPr>
        <w:t xml:space="preserve">may be signed </w:t>
      </w:r>
      <w:r w:rsidR="00411ADD">
        <w:rPr>
          <w:sz w:val="28"/>
          <w:szCs w:val="28"/>
        </w:rPr>
        <w:t>with assigned juror number rather than name)</w:t>
      </w:r>
      <w:r w:rsidR="00950A62">
        <w:rPr>
          <w:sz w:val="28"/>
          <w:szCs w:val="28"/>
        </w:rPr>
        <w:t>.</w:t>
      </w:r>
      <w:r w:rsidR="00C52778">
        <w:rPr>
          <w:sz w:val="28"/>
          <w:szCs w:val="28"/>
        </w:rPr>
        <w:t xml:space="preserve"> </w:t>
      </w:r>
    </w:p>
    <w:p w14:paraId="660A44ED" w14:textId="12C3B717" w:rsidR="00D513DC" w:rsidRDefault="000A74DA" w:rsidP="00326EAA">
      <w:pPr>
        <w:pStyle w:val="Body"/>
        <w:widowControl w:val="0"/>
        <w:spacing w:line="480" w:lineRule="auto"/>
        <w:ind w:firstLine="720"/>
        <w:jc w:val="both"/>
        <w:rPr>
          <w:sz w:val="28"/>
          <w:szCs w:val="28"/>
        </w:rPr>
      </w:pPr>
      <w:r>
        <w:rPr>
          <w:sz w:val="28"/>
          <w:szCs w:val="28"/>
        </w:rPr>
        <w:t xml:space="preserve">Issues involving post-verdict juror contact is a continuing one in Arizona.  In </w:t>
      </w:r>
      <w:r w:rsidRPr="003B5677">
        <w:rPr>
          <w:i/>
          <w:sz w:val="28"/>
          <w:szCs w:val="28"/>
        </w:rPr>
        <w:t xml:space="preserve">State v. </w:t>
      </w:r>
      <w:proofErr w:type="spellStart"/>
      <w:r w:rsidRPr="003B5677">
        <w:rPr>
          <w:i/>
          <w:sz w:val="28"/>
          <w:szCs w:val="28"/>
        </w:rPr>
        <w:t>Olague</w:t>
      </w:r>
      <w:proofErr w:type="spellEnd"/>
      <w:r>
        <w:rPr>
          <w:sz w:val="28"/>
          <w:szCs w:val="28"/>
        </w:rPr>
        <w:t xml:space="preserve">, 240 Ariz. 475 (App. 2016), the defendant, through his own “investigative techniques” obtained contact information from eight </w:t>
      </w:r>
      <w:r w:rsidR="00DC37EB">
        <w:rPr>
          <w:sz w:val="28"/>
          <w:szCs w:val="28"/>
        </w:rPr>
        <w:t xml:space="preserve">former </w:t>
      </w:r>
      <w:r>
        <w:rPr>
          <w:sz w:val="28"/>
          <w:szCs w:val="28"/>
        </w:rPr>
        <w:t>jurors</w:t>
      </w:r>
      <w:r w:rsidR="003B5677">
        <w:rPr>
          <w:sz w:val="28"/>
          <w:szCs w:val="28"/>
        </w:rPr>
        <w:t xml:space="preserve"> and obtained affidavits from two in support of a motion for new trial.  T</w:t>
      </w:r>
      <w:r>
        <w:rPr>
          <w:sz w:val="28"/>
          <w:szCs w:val="28"/>
        </w:rPr>
        <w:t xml:space="preserve">he trial court prohibited defendant from initiating </w:t>
      </w:r>
      <w:r w:rsidR="006F02BE">
        <w:rPr>
          <w:sz w:val="28"/>
          <w:szCs w:val="28"/>
        </w:rPr>
        <w:t xml:space="preserve">any </w:t>
      </w:r>
      <w:r w:rsidR="003B5677">
        <w:rPr>
          <w:sz w:val="28"/>
          <w:szCs w:val="28"/>
        </w:rPr>
        <w:t xml:space="preserve">further contact with </w:t>
      </w:r>
      <w:r w:rsidR="006F02BE">
        <w:rPr>
          <w:sz w:val="28"/>
          <w:szCs w:val="28"/>
        </w:rPr>
        <w:t xml:space="preserve">the </w:t>
      </w:r>
      <w:r w:rsidR="003B5677">
        <w:rPr>
          <w:sz w:val="28"/>
          <w:szCs w:val="28"/>
        </w:rPr>
        <w:t xml:space="preserve">jurors without </w:t>
      </w:r>
      <w:r w:rsidR="00DC37EB">
        <w:rPr>
          <w:sz w:val="28"/>
          <w:szCs w:val="28"/>
        </w:rPr>
        <w:t xml:space="preserve">prior approval and </w:t>
      </w:r>
      <w:r w:rsidR="003B5677">
        <w:rPr>
          <w:sz w:val="28"/>
          <w:szCs w:val="28"/>
        </w:rPr>
        <w:t>a showing of “good cause</w:t>
      </w:r>
      <w:r w:rsidR="00DC37EB">
        <w:rPr>
          <w:sz w:val="28"/>
          <w:szCs w:val="28"/>
        </w:rPr>
        <w:t>.</w:t>
      </w:r>
      <w:r w:rsidR="003B5677">
        <w:rPr>
          <w:sz w:val="28"/>
          <w:szCs w:val="28"/>
        </w:rPr>
        <w:t>”  On appeal, the Court of Appeals, Division Two, affirmed</w:t>
      </w:r>
      <w:r w:rsidR="006F02BE">
        <w:rPr>
          <w:sz w:val="28"/>
          <w:szCs w:val="28"/>
        </w:rPr>
        <w:t xml:space="preserve"> that ruling</w:t>
      </w:r>
      <w:r w:rsidR="003B5677">
        <w:rPr>
          <w:sz w:val="28"/>
          <w:szCs w:val="28"/>
        </w:rPr>
        <w:t xml:space="preserve">. </w:t>
      </w:r>
      <w:r>
        <w:rPr>
          <w:sz w:val="28"/>
          <w:szCs w:val="28"/>
        </w:rPr>
        <w:t xml:space="preserve"> </w:t>
      </w:r>
      <w:r w:rsidR="00D83D4E">
        <w:rPr>
          <w:sz w:val="28"/>
          <w:szCs w:val="28"/>
        </w:rPr>
        <w:t>A few years earlier, i</w:t>
      </w:r>
      <w:r w:rsidR="0074796A">
        <w:rPr>
          <w:sz w:val="28"/>
          <w:szCs w:val="28"/>
        </w:rPr>
        <w:t>n an unpublished opinion,</w:t>
      </w:r>
      <w:r w:rsidR="00AD6AFE">
        <w:rPr>
          <w:rStyle w:val="FootnoteReference"/>
          <w:sz w:val="28"/>
          <w:szCs w:val="28"/>
        </w:rPr>
        <w:footnoteReference w:id="1"/>
      </w:r>
      <w:r w:rsidR="0074796A">
        <w:rPr>
          <w:sz w:val="28"/>
          <w:szCs w:val="28"/>
        </w:rPr>
        <w:t xml:space="preserve"> Division One </w:t>
      </w:r>
      <w:r w:rsidR="006F02BE">
        <w:rPr>
          <w:sz w:val="28"/>
          <w:szCs w:val="28"/>
        </w:rPr>
        <w:t>found that</w:t>
      </w:r>
      <w:r w:rsidR="0074796A">
        <w:rPr>
          <w:sz w:val="28"/>
          <w:szCs w:val="28"/>
        </w:rPr>
        <w:t xml:space="preserve"> a defense team would be allowed personal contact with penalty phase jurors pursuant to an approved questionnaire</w:t>
      </w:r>
      <w:r w:rsidR="006F02BE">
        <w:rPr>
          <w:sz w:val="28"/>
          <w:szCs w:val="28"/>
        </w:rPr>
        <w:t xml:space="preserve"> only upon a showing of “good cause</w:t>
      </w:r>
      <w:r w:rsidR="00E5475B">
        <w:rPr>
          <w:sz w:val="28"/>
          <w:szCs w:val="28"/>
        </w:rPr>
        <w:t>.</w:t>
      </w:r>
      <w:r w:rsidR="006F02BE">
        <w:rPr>
          <w:sz w:val="28"/>
          <w:szCs w:val="28"/>
        </w:rPr>
        <w:t>”</w:t>
      </w:r>
      <w:r w:rsidR="00E5475B">
        <w:rPr>
          <w:sz w:val="28"/>
          <w:szCs w:val="28"/>
        </w:rPr>
        <w:t xml:space="preserve">  </w:t>
      </w:r>
      <w:r w:rsidR="00E5475B" w:rsidRPr="003B5677">
        <w:rPr>
          <w:i/>
          <w:sz w:val="28"/>
          <w:szCs w:val="28"/>
        </w:rPr>
        <w:t xml:space="preserve">State v. </w:t>
      </w:r>
      <w:proofErr w:type="spellStart"/>
      <w:r w:rsidR="00E5475B" w:rsidRPr="003B5677">
        <w:rPr>
          <w:i/>
          <w:sz w:val="28"/>
          <w:szCs w:val="28"/>
        </w:rPr>
        <w:t>Rayes</w:t>
      </w:r>
      <w:proofErr w:type="spellEnd"/>
      <w:r w:rsidR="00E5475B" w:rsidRPr="003B5677">
        <w:rPr>
          <w:i/>
          <w:sz w:val="28"/>
          <w:szCs w:val="28"/>
        </w:rPr>
        <w:t xml:space="preserve"> ex rel. County of Maricopa</w:t>
      </w:r>
      <w:r w:rsidR="00E5475B">
        <w:rPr>
          <w:sz w:val="28"/>
          <w:szCs w:val="28"/>
        </w:rPr>
        <w:t>, 2012 WL 2929436</w:t>
      </w:r>
      <w:r w:rsidR="006F02BE">
        <w:rPr>
          <w:sz w:val="28"/>
          <w:szCs w:val="28"/>
        </w:rPr>
        <w:t>, ¶ 7</w:t>
      </w:r>
      <w:r w:rsidR="00E5475B">
        <w:rPr>
          <w:sz w:val="28"/>
          <w:szCs w:val="28"/>
        </w:rPr>
        <w:t xml:space="preserve"> (2012).  The State </w:t>
      </w:r>
      <w:r w:rsidR="00E5475B">
        <w:rPr>
          <w:sz w:val="28"/>
          <w:szCs w:val="28"/>
        </w:rPr>
        <w:lastRenderedPageBreak/>
        <w:t xml:space="preserve">had opposed such contact absent superior court authorization based upon a showing of good cause that such contact was necessary for a post-conviction </w:t>
      </w:r>
      <w:r w:rsidR="003B5677">
        <w:rPr>
          <w:sz w:val="28"/>
          <w:szCs w:val="28"/>
        </w:rPr>
        <w:t xml:space="preserve">claim for </w:t>
      </w:r>
      <w:r w:rsidR="00E5475B">
        <w:rPr>
          <w:sz w:val="28"/>
          <w:szCs w:val="28"/>
        </w:rPr>
        <w:t xml:space="preserve">relief. </w:t>
      </w:r>
    </w:p>
    <w:p w14:paraId="67CCE160" w14:textId="7953B908" w:rsidR="00D83D4E" w:rsidRDefault="00D83D4E" w:rsidP="00326EAA">
      <w:pPr>
        <w:pStyle w:val="Body"/>
        <w:widowControl w:val="0"/>
        <w:spacing w:line="480" w:lineRule="auto"/>
        <w:ind w:firstLine="720"/>
        <w:jc w:val="both"/>
        <w:rPr>
          <w:sz w:val="28"/>
          <w:szCs w:val="28"/>
        </w:rPr>
      </w:pPr>
      <w:r>
        <w:rPr>
          <w:sz w:val="28"/>
          <w:szCs w:val="28"/>
        </w:rPr>
        <w:t>To address the concerns raised</w:t>
      </w:r>
      <w:r w:rsidR="00C52778">
        <w:rPr>
          <w:sz w:val="28"/>
          <w:szCs w:val="28"/>
        </w:rPr>
        <w:t xml:space="preserve"> over contact between parties and jurors</w:t>
      </w:r>
      <w:r>
        <w:rPr>
          <w:sz w:val="28"/>
          <w:szCs w:val="28"/>
        </w:rPr>
        <w:t xml:space="preserve">, </w:t>
      </w:r>
      <w:r w:rsidR="006F02BE">
        <w:rPr>
          <w:sz w:val="28"/>
          <w:szCs w:val="28"/>
        </w:rPr>
        <w:t>P</w:t>
      </w:r>
      <w:r>
        <w:rPr>
          <w:sz w:val="28"/>
          <w:szCs w:val="28"/>
        </w:rPr>
        <w:t>etitioner has</w:t>
      </w:r>
      <w:r w:rsidR="00C52778">
        <w:rPr>
          <w:sz w:val="28"/>
          <w:szCs w:val="28"/>
        </w:rPr>
        <w:t xml:space="preserve"> proposed</w:t>
      </w:r>
      <w:r w:rsidR="0001511F">
        <w:rPr>
          <w:sz w:val="28"/>
          <w:szCs w:val="28"/>
        </w:rPr>
        <w:t xml:space="preserve"> three</w:t>
      </w:r>
      <w:r w:rsidR="00C52778">
        <w:rPr>
          <w:sz w:val="28"/>
          <w:szCs w:val="28"/>
        </w:rPr>
        <w:t xml:space="preserve"> amendments to the criminal rules.  The first would </w:t>
      </w:r>
      <w:r w:rsidR="0001511F">
        <w:rPr>
          <w:sz w:val="28"/>
          <w:szCs w:val="28"/>
        </w:rPr>
        <w:t xml:space="preserve"> create a </w:t>
      </w:r>
      <w:r w:rsidR="0001511F" w:rsidRPr="0001511F">
        <w:rPr>
          <w:i/>
          <w:sz w:val="28"/>
          <w:szCs w:val="28"/>
        </w:rPr>
        <w:t>new</w:t>
      </w:r>
      <w:r w:rsidR="0001511F">
        <w:rPr>
          <w:sz w:val="28"/>
          <w:szCs w:val="28"/>
        </w:rPr>
        <w:t xml:space="preserve"> subsection (j) to Rule 18.5 (“Procedure for Jury Selection”) </w:t>
      </w:r>
      <w:r w:rsidR="00C52778">
        <w:rPr>
          <w:sz w:val="28"/>
          <w:szCs w:val="28"/>
        </w:rPr>
        <w:t>prohibit</w:t>
      </w:r>
      <w:r w:rsidR="0001511F">
        <w:rPr>
          <w:sz w:val="28"/>
          <w:szCs w:val="28"/>
        </w:rPr>
        <w:t>ing</w:t>
      </w:r>
      <w:r w:rsidR="00C52778">
        <w:rPr>
          <w:sz w:val="28"/>
          <w:szCs w:val="28"/>
        </w:rPr>
        <w:t xml:space="preserve"> any party or party’s representative from having contact</w:t>
      </w:r>
      <w:r w:rsidR="0001511F">
        <w:rPr>
          <w:sz w:val="28"/>
          <w:szCs w:val="28"/>
        </w:rPr>
        <w:t xml:space="preserve"> with prospective jurors, alternate jurors or sitting jurors who have not been discharged.  The second would create a </w:t>
      </w:r>
      <w:r w:rsidR="0001511F" w:rsidRPr="0001511F">
        <w:rPr>
          <w:i/>
          <w:sz w:val="28"/>
          <w:szCs w:val="28"/>
        </w:rPr>
        <w:t>new</w:t>
      </w:r>
      <w:r w:rsidR="0001511F">
        <w:rPr>
          <w:sz w:val="28"/>
          <w:szCs w:val="28"/>
        </w:rPr>
        <w:t xml:space="preserve"> subsection (c) to Rule 22.5 (“Discharging a Jury”) requiring courts to inform discharged jurors that they may refuse to speak to parties, that their option must be recorded by polling or written form, and that if the juror has opted not to speak, no party or party representative may contact that juror without a court order.  The third would create a new subsection to Rule 32.1 </w:t>
      </w:r>
      <w:r w:rsidR="006F02BE">
        <w:rPr>
          <w:sz w:val="28"/>
          <w:szCs w:val="28"/>
        </w:rPr>
        <w:t>(“Scope of Remedy”)</w:t>
      </w:r>
      <w:r w:rsidR="003E0C3A">
        <w:rPr>
          <w:rStyle w:val="FootnoteReference"/>
          <w:sz w:val="28"/>
          <w:szCs w:val="28"/>
        </w:rPr>
        <w:footnoteReference w:id="2"/>
      </w:r>
      <w:r w:rsidR="006F02BE">
        <w:rPr>
          <w:sz w:val="28"/>
          <w:szCs w:val="28"/>
        </w:rPr>
        <w:t xml:space="preserve"> </w:t>
      </w:r>
      <w:r w:rsidR="0001511F">
        <w:rPr>
          <w:sz w:val="28"/>
          <w:szCs w:val="28"/>
        </w:rPr>
        <w:t>providing that if a juror has declined post-verdict contact, no party or party representative may contact that juror without a court order, which can be issued only upon a showing of good cause.</w:t>
      </w:r>
    </w:p>
    <w:p w14:paraId="64C8BE0A" w14:textId="281F404C" w:rsidR="006F02BE" w:rsidRDefault="006F02BE" w:rsidP="00326EAA">
      <w:pPr>
        <w:pStyle w:val="Body"/>
        <w:widowControl w:val="0"/>
        <w:spacing w:line="480" w:lineRule="auto"/>
        <w:ind w:firstLine="720"/>
        <w:jc w:val="both"/>
        <w:rPr>
          <w:sz w:val="28"/>
          <w:szCs w:val="28"/>
        </w:rPr>
      </w:pPr>
      <w:r>
        <w:rPr>
          <w:sz w:val="28"/>
          <w:szCs w:val="28"/>
        </w:rPr>
        <w:t xml:space="preserve">APAAC supports the proposed changes to these rules.  Their goal is to preserve the integrity of the judicial system by protecting jurors’ privacy interests, providing a common-sense process for how jurors are contacted by parties, and </w:t>
      </w:r>
      <w:r>
        <w:rPr>
          <w:sz w:val="28"/>
          <w:szCs w:val="28"/>
        </w:rPr>
        <w:lastRenderedPageBreak/>
        <w:t>ensuring future citizen participation in the jury process.  The proposals do not impact a defendant’s ability to seek necessary juror information for post-verdict motions</w:t>
      </w:r>
      <w:r w:rsidR="00121755">
        <w:rPr>
          <w:sz w:val="28"/>
          <w:szCs w:val="28"/>
        </w:rPr>
        <w:t xml:space="preserve"> or post-conviction relief</w:t>
      </w:r>
      <w:r>
        <w:rPr>
          <w:sz w:val="28"/>
          <w:szCs w:val="28"/>
        </w:rPr>
        <w:t>.</w:t>
      </w:r>
    </w:p>
    <w:p w14:paraId="371A82DA" w14:textId="2976D410" w:rsidR="003B5677" w:rsidRDefault="0001511F" w:rsidP="00973225">
      <w:pPr>
        <w:pStyle w:val="Body"/>
        <w:widowControl w:val="0"/>
        <w:spacing w:line="480" w:lineRule="auto"/>
        <w:ind w:firstLine="720"/>
        <w:jc w:val="both"/>
        <w:rPr>
          <w:sz w:val="28"/>
          <w:szCs w:val="28"/>
        </w:rPr>
      </w:pPr>
      <w:r>
        <w:rPr>
          <w:sz w:val="28"/>
          <w:szCs w:val="28"/>
        </w:rPr>
        <w:t xml:space="preserve">The </w:t>
      </w:r>
      <w:r w:rsidR="00E411DC">
        <w:rPr>
          <w:sz w:val="28"/>
          <w:szCs w:val="28"/>
        </w:rPr>
        <w:t xml:space="preserve">provisions of the </w:t>
      </w:r>
      <w:r>
        <w:rPr>
          <w:sz w:val="28"/>
          <w:szCs w:val="28"/>
        </w:rPr>
        <w:t>proposed changes i</w:t>
      </w:r>
      <w:r w:rsidR="00E411DC">
        <w:rPr>
          <w:sz w:val="28"/>
          <w:szCs w:val="28"/>
        </w:rPr>
        <w:t xml:space="preserve">n this petition are not without legal precedent.  In 2001, the California State Legislature adopted laws with provisions </w:t>
      </w:r>
      <w:proofErr w:type="gramStart"/>
      <w:r w:rsidR="00E411DC">
        <w:rPr>
          <w:sz w:val="28"/>
          <w:szCs w:val="28"/>
        </w:rPr>
        <w:t>similar to</w:t>
      </w:r>
      <w:proofErr w:type="gramEnd"/>
      <w:r w:rsidR="00E411DC">
        <w:rPr>
          <w:sz w:val="28"/>
          <w:szCs w:val="28"/>
        </w:rPr>
        <w:t xml:space="preserve"> those proposed here. </w:t>
      </w:r>
      <w:r w:rsidR="00E411DC" w:rsidRPr="00E411DC">
        <w:rPr>
          <w:i/>
          <w:sz w:val="28"/>
          <w:szCs w:val="28"/>
        </w:rPr>
        <w:t xml:space="preserve"> </w:t>
      </w:r>
      <w:r w:rsidR="006F02BE">
        <w:rPr>
          <w:i/>
          <w:sz w:val="28"/>
          <w:szCs w:val="28"/>
        </w:rPr>
        <w:t xml:space="preserve">See </w:t>
      </w:r>
      <w:r w:rsidR="00E411DC" w:rsidRPr="00E411DC">
        <w:rPr>
          <w:i/>
          <w:sz w:val="28"/>
          <w:szCs w:val="28"/>
        </w:rPr>
        <w:t>Townsel v. Superior Court</w:t>
      </w:r>
      <w:r w:rsidR="00E411DC">
        <w:rPr>
          <w:sz w:val="28"/>
          <w:szCs w:val="28"/>
        </w:rPr>
        <w:t>, 20 Cal. 4</w:t>
      </w:r>
      <w:r w:rsidR="00E411DC" w:rsidRPr="00C52778">
        <w:rPr>
          <w:sz w:val="28"/>
          <w:szCs w:val="28"/>
          <w:vertAlign w:val="superscript"/>
        </w:rPr>
        <w:t>th</w:t>
      </w:r>
      <w:r w:rsidR="00E411DC">
        <w:rPr>
          <w:sz w:val="28"/>
          <w:szCs w:val="28"/>
        </w:rPr>
        <w:t xml:space="preserve"> 1084, 1087 (1999) (“the Legislature has recently enacted statutes, and amended existing ones, to maximize juror privacy and safety” while retaining a defendant’s right to contact jurors if </w:t>
      </w:r>
      <w:proofErr w:type="gramStart"/>
      <w:r w:rsidR="00E411DC">
        <w:rPr>
          <w:sz w:val="28"/>
          <w:szCs w:val="28"/>
        </w:rPr>
        <w:t>sufficient</w:t>
      </w:r>
      <w:proofErr w:type="gramEnd"/>
      <w:r w:rsidR="00E411DC">
        <w:rPr>
          <w:sz w:val="28"/>
          <w:szCs w:val="28"/>
        </w:rPr>
        <w:t xml:space="preserve"> need is shown).  California Code of Civil Procedure § 206 provides that prior to discharging a jury, the judge </w:t>
      </w:r>
      <w:r w:rsidR="00973225">
        <w:rPr>
          <w:sz w:val="28"/>
          <w:szCs w:val="28"/>
        </w:rPr>
        <w:t>“shall inform the jurors that they have an absolute right to discuss or not to discuss the deliberation or verdict with anyone.”</w:t>
      </w:r>
      <w:r w:rsidR="006F02BE">
        <w:rPr>
          <w:sz w:val="28"/>
          <w:szCs w:val="28"/>
        </w:rPr>
        <w:t xml:space="preserve">  Similarly, § 237 of the California code provides a process for how a defendant may access a juror’s identifying information as necessary.</w:t>
      </w:r>
      <w:r w:rsidR="00121755">
        <w:rPr>
          <w:sz w:val="28"/>
          <w:szCs w:val="28"/>
        </w:rPr>
        <w:t xml:space="preserve">  A.R.S. § 21-312 follows this reasoning by protecting juror’s biographical information.</w:t>
      </w:r>
    </w:p>
    <w:p w14:paraId="4EB23A5C" w14:textId="24FB1C4F" w:rsidR="00121755" w:rsidRDefault="00121755" w:rsidP="00973225">
      <w:pPr>
        <w:pStyle w:val="Body"/>
        <w:widowControl w:val="0"/>
        <w:spacing w:line="480" w:lineRule="auto"/>
        <w:ind w:firstLine="720"/>
        <w:jc w:val="both"/>
        <w:rPr>
          <w:sz w:val="28"/>
          <w:szCs w:val="28"/>
        </w:rPr>
      </w:pPr>
      <w:r>
        <w:rPr>
          <w:sz w:val="28"/>
          <w:szCs w:val="28"/>
        </w:rPr>
        <w:t xml:space="preserve">APAAC concurs that protecting the confidentiality of jurors’ private biographical information should be of paramount concern.  The amendments proposed by Petitioner would help protect juror privacy while still ensuring </w:t>
      </w:r>
      <w:r w:rsidR="003E0C3A">
        <w:rPr>
          <w:sz w:val="28"/>
          <w:szCs w:val="28"/>
        </w:rPr>
        <w:t xml:space="preserve">that </w:t>
      </w:r>
      <w:r>
        <w:rPr>
          <w:sz w:val="28"/>
          <w:szCs w:val="28"/>
        </w:rPr>
        <w:t>defendants had the ability to gain access to the information through the court upon a showing of good cause.</w:t>
      </w:r>
    </w:p>
    <w:p w14:paraId="6A31984A" w14:textId="77777777" w:rsidR="003E0C3A" w:rsidRDefault="003E0C3A" w:rsidP="00326EAA">
      <w:pPr>
        <w:pStyle w:val="Body"/>
        <w:widowControl w:val="0"/>
        <w:spacing w:line="480" w:lineRule="auto"/>
        <w:ind w:firstLine="720"/>
        <w:jc w:val="both"/>
        <w:rPr>
          <w:b/>
          <w:sz w:val="28"/>
          <w:szCs w:val="28"/>
        </w:rPr>
      </w:pPr>
    </w:p>
    <w:p w14:paraId="70712BFD" w14:textId="3C72B6BE" w:rsidR="00130F0A" w:rsidRDefault="00973225" w:rsidP="003E0C3A">
      <w:pPr>
        <w:pStyle w:val="Body"/>
        <w:widowControl w:val="0"/>
        <w:spacing w:line="240" w:lineRule="auto"/>
        <w:ind w:firstLine="720"/>
        <w:jc w:val="both"/>
        <w:rPr>
          <w:b/>
          <w:sz w:val="28"/>
          <w:szCs w:val="28"/>
        </w:rPr>
      </w:pPr>
      <w:r w:rsidRPr="00973225">
        <w:rPr>
          <w:b/>
          <w:sz w:val="28"/>
          <w:szCs w:val="28"/>
        </w:rPr>
        <w:lastRenderedPageBreak/>
        <w:t>B.</w:t>
      </w:r>
      <w:r w:rsidRPr="00973225">
        <w:rPr>
          <w:b/>
          <w:sz w:val="28"/>
          <w:szCs w:val="28"/>
        </w:rPr>
        <w:tab/>
      </w:r>
      <w:r w:rsidRPr="00973225">
        <w:rPr>
          <w:b/>
          <w:sz w:val="28"/>
          <w:szCs w:val="28"/>
          <w:u w:val="single"/>
        </w:rPr>
        <w:t>Concurrent State Legislation</w:t>
      </w:r>
      <w:r w:rsidR="00121755">
        <w:rPr>
          <w:b/>
          <w:sz w:val="28"/>
          <w:szCs w:val="28"/>
          <w:u w:val="single"/>
        </w:rPr>
        <w:t xml:space="preserve"> </w:t>
      </w:r>
      <w:r w:rsidR="003E0C3A">
        <w:rPr>
          <w:b/>
          <w:sz w:val="28"/>
          <w:szCs w:val="28"/>
          <w:u w:val="single"/>
        </w:rPr>
        <w:t xml:space="preserve">(SB 1313) </w:t>
      </w:r>
      <w:r w:rsidR="00121755">
        <w:rPr>
          <w:b/>
          <w:sz w:val="28"/>
          <w:szCs w:val="28"/>
          <w:u w:val="single"/>
        </w:rPr>
        <w:t xml:space="preserve">Currently Under </w:t>
      </w:r>
      <w:r w:rsidR="003E0C3A">
        <w:rPr>
          <w:b/>
          <w:sz w:val="28"/>
          <w:szCs w:val="28"/>
        </w:rPr>
        <w:tab/>
      </w:r>
      <w:r w:rsidR="003E0C3A">
        <w:rPr>
          <w:b/>
          <w:sz w:val="28"/>
          <w:szCs w:val="28"/>
        </w:rPr>
        <w:tab/>
      </w:r>
      <w:r w:rsidR="003E0C3A">
        <w:rPr>
          <w:b/>
          <w:sz w:val="28"/>
          <w:szCs w:val="28"/>
        </w:rPr>
        <w:tab/>
      </w:r>
      <w:r w:rsidR="003E0C3A">
        <w:rPr>
          <w:b/>
          <w:sz w:val="28"/>
          <w:szCs w:val="28"/>
        </w:rPr>
        <w:tab/>
      </w:r>
      <w:r w:rsidR="00121755">
        <w:rPr>
          <w:b/>
          <w:sz w:val="28"/>
          <w:szCs w:val="28"/>
          <w:u w:val="single"/>
        </w:rPr>
        <w:t>Consideration</w:t>
      </w:r>
      <w:r w:rsidR="00121755" w:rsidRPr="00121755">
        <w:rPr>
          <w:b/>
          <w:sz w:val="28"/>
          <w:szCs w:val="28"/>
        </w:rPr>
        <w:t>.</w:t>
      </w:r>
    </w:p>
    <w:p w14:paraId="17D97164" w14:textId="77777777" w:rsidR="003E0C3A" w:rsidRPr="00973225" w:rsidRDefault="003E0C3A" w:rsidP="003E0C3A">
      <w:pPr>
        <w:pStyle w:val="Body"/>
        <w:widowControl w:val="0"/>
        <w:spacing w:line="240" w:lineRule="auto"/>
        <w:ind w:firstLine="720"/>
        <w:jc w:val="both"/>
        <w:rPr>
          <w:b/>
          <w:sz w:val="28"/>
          <w:szCs w:val="28"/>
        </w:rPr>
      </w:pPr>
    </w:p>
    <w:p w14:paraId="70FF86AF" w14:textId="6DBC05D0" w:rsidR="00973225" w:rsidRDefault="00973225" w:rsidP="00326EAA">
      <w:pPr>
        <w:pStyle w:val="Body"/>
        <w:widowControl w:val="0"/>
        <w:spacing w:line="480" w:lineRule="auto"/>
        <w:ind w:firstLine="720"/>
        <w:jc w:val="both"/>
        <w:rPr>
          <w:sz w:val="28"/>
          <w:szCs w:val="28"/>
        </w:rPr>
      </w:pPr>
      <w:r>
        <w:rPr>
          <w:sz w:val="28"/>
          <w:szCs w:val="28"/>
        </w:rPr>
        <w:t xml:space="preserve">At the same time as this petition is being circulated for comment, the Arizona State Legislature is considering a nearly identical amendment to A.R.S. § 21-312 (“Juror records; juror advisement; contact with jurors within and outside of the courthouse”) which would add two additional subsections with provisions mirroring those in this petition.  </w:t>
      </w:r>
      <w:r w:rsidRPr="00973225">
        <w:rPr>
          <w:i/>
          <w:sz w:val="28"/>
          <w:szCs w:val="28"/>
        </w:rPr>
        <w:t>See</w:t>
      </w:r>
      <w:r>
        <w:rPr>
          <w:sz w:val="28"/>
          <w:szCs w:val="28"/>
        </w:rPr>
        <w:t xml:space="preserve"> Senate Bill 1313.  Any adoption of the propose</w:t>
      </w:r>
      <w:r w:rsidR="00121755">
        <w:rPr>
          <w:sz w:val="28"/>
          <w:szCs w:val="28"/>
        </w:rPr>
        <w:t>d</w:t>
      </w:r>
      <w:r>
        <w:rPr>
          <w:sz w:val="28"/>
          <w:szCs w:val="28"/>
        </w:rPr>
        <w:t xml:space="preserve"> amendments in this petition should conform to any legislative language enacted by our Legislature. </w:t>
      </w:r>
    </w:p>
    <w:p w14:paraId="0A6B3B8B" w14:textId="77777777" w:rsidR="00526087" w:rsidRPr="00104F4E" w:rsidRDefault="00526087" w:rsidP="007361D0">
      <w:pPr>
        <w:pStyle w:val="Body"/>
        <w:widowControl w:val="0"/>
        <w:spacing w:line="480" w:lineRule="auto"/>
        <w:ind w:firstLine="0"/>
        <w:jc w:val="both"/>
        <w:rPr>
          <w:b/>
          <w:sz w:val="28"/>
          <w:szCs w:val="28"/>
        </w:rPr>
      </w:pPr>
      <w:r w:rsidRPr="00104F4E">
        <w:rPr>
          <w:b/>
          <w:sz w:val="28"/>
          <w:szCs w:val="28"/>
        </w:rPr>
        <w:t>III.</w:t>
      </w:r>
      <w:r w:rsidRPr="00104F4E">
        <w:rPr>
          <w:b/>
          <w:sz w:val="28"/>
          <w:szCs w:val="28"/>
        </w:rPr>
        <w:tab/>
        <w:t>CONCLUSION</w:t>
      </w:r>
    </w:p>
    <w:p w14:paraId="5E864E3F" w14:textId="69BD34A2" w:rsidR="00121755" w:rsidRDefault="00E00AF4" w:rsidP="00121755">
      <w:pPr>
        <w:pStyle w:val="Body"/>
        <w:widowControl w:val="0"/>
        <w:spacing w:line="480" w:lineRule="auto"/>
        <w:ind w:firstLine="720"/>
        <w:jc w:val="both"/>
        <w:rPr>
          <w:sz w:val="28"/>
          <w:szCs w:val="28"/>
        </w:rPr>
      </w:pPr>
      <w:r>
        <w:rPr>
          <w:sz w:val="28"/>
          <w:szCs w:val="28"/>
        </w:rPr>
        <w:t xml:space="preserve">The </w:t>
      </w:r>
      <w:r w:rsidR="00FD0C85">
        <w:rPr>
          <w:sz w:val="28"/>
          <w:szCs w:val="28"/>
        </w:rPr>
        <w:t>Arizona Prosecuting Attorneys’ Advisory Council</w:t>
      </w:r>
      <w:r>
        <w:rPr>
          <w:sz w:val="28"/>
          <w:szCs w:val="28"/>
        </w:rPr>
        <w:t xml:space="preserve"> </w:t>
      </w:r>
      <w:r w:rsidR="00660556">
        <w:rPr>
          <w:sz w:val="28"/>
          <w:szCs w:val="28"/>
        </w:rPr>
        <w:t xml:space="preserve">recognizes </w:t>
      </w:r>
      <w:r w:rsidR="00121755">
        <w:rPr>
          <w:sz w:val="28"/>
          <w:szCs w:val="28"/>
        </w:rPr>
        <w:t xml:space="preserve">the importance of juror participation in the effective operation of the judicial system.  The proposed amendments in R-19-0008 are supported because they will have the effect of encouraging future juror participation </w:t>
      </w:r>
      <w:r w:rsidR="00790186">
        <w:rPr>
          <w:sz w:val="28"/>
          <w:szCs w:val="28"/>
        </w:rPr>
        <w:t xml:space="preserve">in the jury process </w:t>
      </w:r>
      <w:r w:rsidR="00121755">
        <w:rPr>
          <w:sz w:val="28"/>
          <w:szCs w:val="28"/>
        </w:rPr>
        <w:t>while protecting jurors from unwanted contact by a party or party’s representative.</w:t>
      </w:r>
    </w:p>
    <w:p w14:paraId="4E0521CF" w14:textId="0AA587F8" w:rsidR="00FD0C85" w:rsidRDefault="00526087" w:rsidP="00121755">
      <w:pPr>
        <w:pStyle w:val="Body"/>
        <w:widowControl w:val="0"/>
        <w:spacing w:line="480" w:lineRule="auto"/>
        <w:ind w:firstLine="0"/>
        <w:jc w:val="both"/>
        <w:rPr>
          <w:sz w:val="28"/>
          <w:szCs w:val="28"/>
        </w:rPr>
      </w:pPr>
      <w:r>
        <w:rPr>
          <w:szCs w:val="26"/>
        </w:rPr>
        <w:t xml:space="preserve"> </w:t>
      </w:r>
      <w:r w:rsidR="00121755">
        <w:rPr>
          <w:szCs w:val="26"/>
        </w:rPr>
        <w:tab/>
      </w:r>
      <w:r w:rsidR="00121755">
        <w:rPr>
          <w:szCs w:val="26"/>
        </w:rPr>
        <w:tab/>
      </w:r>
      <w:bookmarkStart w:id="2" w:name="_Hlk3808281"/>
      <w:bookmarkStart w:id="3" w:name="_GoBack"/>
      <w:r w:rsidRPr="006F63FD">
        <w:rPr>
          <w:sz w:val="28"/>
          <w:szCs w:val="28"/>
        </w:rPr>
        <w:t xml:space="preserve">RESPECTFULLY SUBMITTED this </w:t>
      </w:r>
      <w:r w:rsidR="001A0E99">
        <w:rPr>
          <w:sz w:val="28"/>
          <w:szCs w:val="28"/>
          <w:u w:val="single"/>
        </w:rPr>
        <w:t xml:space="preserve"> 18</w:t>
      </w:r>
      <w:r w:rsidR="001A0E99" w:rsidRPr="001A0E99">
        <w:rPr>
          <w:sz w:val="28"/>
          <w:szCs w:val="28"/>
          <w:u w:val="single"/>
          <w:vertAlign w:val="superscript"/>
        </w:rPr>
        <w:t>th</w:t>
      </w:r>
      <w:r w:rsidR="001A0E99">
        <w:rPr>
          <w:sz w:val="28"/>
          <w:szCs w:val="28"/>
          <w:u w:val="single"/>
        </w:rPr>
        <w:t xml:space="preserve"> </w:t>
      </w:r>
      <w:r w:rsidR="001A0E99" w:rsidRPr="001A0E99">
        <w:rPr>
          <w:sz w:val="28"/>
          <w:szCs w:val="28"/>
        </w:rPr>
        <w:t xml:space="preserve"> </w:t>
      </w:r>
      <w:r w:rsidRPr="006F63FD">
        <w:rPr>
          <w:sz w:val="28"/>
          <w:szCs w:val="28"/>
        </w:rPr>
        <w:t>day of</w:t>
      </w:r>
      <w:r w:rsidR="00FE2A7E">
        <w:rPr>
          <w:sz w:val="28"/>
          <w:szCs w:val="28"/>
        </w:rPr>
        <w:t xml:space="preserve"> </w:t>
      </w:r>
      <w:proofErr w:type="gramStart"/>
      <w:r w:rsidR="00FE2A7E">
        <w:rPr>
          <w:sz w:val="28"/>
          <w:szCs w:val="28"/>
        </w:rPr>
        <w:t>Ma</w:t>
      </w:r>
      <w:r w:rsidR="00310879">
        <w:rPr>
          <w:sz w:val="28"/>
          <w:szCs w:val="28"/>
        </w:rPr>
        <w:t>rch</w:t>
      </w:r>
      <w:r w:rsidRPr="006F63FD">
        <w:rPr>
          <w:sz w:val="28"/>
          <w:szCs w:val="28"/>
        </w:rPr>
        <w:t>,</w:t>
      </w:r>
      <w:proofErr w:type="gramEnd"/>
      <w:r w:rsidRPr="006F63FD">
        <w:rPr>
          <w:sz w:val="28"/>
          <w:szCs w:val="28"/>
        </w:rPr>
        <w:t xml:space="preserve"> 201</w:t>
      </w:r>
      <w:r w:rsidR="00121755">
        <w:rPr>
          <w:sz w:val="28"/>
          <w:szCs w:val="28"/>
        </w:rPr>
        <w:t>9</w:t>
      </w:r>
      <w:r w:rsidRPr="006F63FD">
        <w:rPr>
          <w:sz w:val="28"/>
          <w:szCs w:val="28"/>
        </w:rPr>
        <w:t>.</w:t>
      </w:r>
    </w:p>
    <w:p w14:paraId="21B138A1" w14:textId="77777777" w:rsidR="003E0C3A" w:rsidRDefault="00FD0C85" w:rsidP="00FD0C85">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p>
    <w:p w14:paraId="29B283D4" w14:textId="4FE80D3D" w:rsidR="00FD0C85" w:rsidRPr="001A0E99" w:rsidRDefault="003E0C3A" w:rsidP="00FD0C85">
      <w:pPr>
        <w:pStyle w:val="Body"/>
        <w:widowControl w:val="0"/>
        <w:tabs>
          <w:tab w:val="left" w:pos="720"/>
        </w:tabs>
        <w:spacing w:line="240" w:lineRule="auto"/>
        <w:ind w:firstLine="0"/>
        <w:rPr>
          <w:rFonts w:ascii="Lucida Handwriting" w:hAnsi="Lucida Handwriting"/>
          <w:sz w:val="28"/>
          <w:szCs w:val="28"/>
          <w:u w:val="single"/>
        </w:rPr>
      </w:pPr>
      <w:r>
        <w:rPr>
          <w:sz w:val="28"/>
          <w:szCs w:val="28"/>
        </w:rPr>
        <w:tab/>
      </w:r>
      <w:r>
        <w:rPr>
          <w:sz w:val="28"/>
          <w:szCs w:val="28"/>
        </w:rPr>
        <w:tab/>
      </w:r>
      <w:r>
        <w:rPr>
          <w:sz w:val="28"/>
          <w:szCs w:val="28"/>
        </w:rPr>
        <w:tab/>
      </w:r>
      <w:r>
        <w:rPr>
          <w:sz w:val="28"/>
          <w:szCs w:val="28"/>
        </w:rPr>
        <w:tab/>
      </w:r>
      <w:r w:rsidR="00FD0C85">
        <w:rPr>
          <w:sz w:val="28"/>
          <w:szCs w:val="28"/>
        </w:rPr>
        <w:tab/>
      </w:r>
      <w:r w:rsidR="00FD0C85">
        <w:rPr>
          <w:sz w:val="28"/>
          <w:szCs w:val="28"/>
        </w:rPr>
        <w:tab/>
      </w:r>
      <w:r w:rsidR="001A0E99">
        <w:rPr>
          <w:sz w:val="28"/>
          <w:szCs w:val="28"/>
          <w:u w:val="single"/>
        </w:rPr>
        <w:t xml:space="preserve">/s/  </w:t>
      </w:r>
      <w:r w:rsidR="001A0E99">
        <w:rPr>
          <w:rFonts w:ascii="Lucida Handwriting" w:hAnsi="Lucida Handwriting"/>
          <w:sz w:val="28"/>
          <w:szCs w:val="28"/>
          <w:u w:val="single"/>
        </w:rPr>
        <w:t>Elizabeth Burton Ortiz</w:t>
      </w:r>
      <w:r w:rsidR="001A0E99">
        <w:rPr>
          <w:rFonts w:ascii="Lucida Handwriting" w:hAnsi="Lucida Handwriting"/>
          <w:sz w:val="28"/>
          <w:szCs w:val="28"/>
          <w:u w:val="single"/>
        </w:rPr>
        <w:tab/>
      </w:r>
      <w:r w:rsidR="001A0E99">
        <w:rPr>
          <w:rFonts w:ascii="Lucida Handwriting" w:hAnsi="Lucida Handwriting"/>
          <w:sz w:val="28"/>
          <w:szCs w:val="28"/>
          <w:u w:val="single"/>
        </w:rPr>
        <w:tab/>
      </w:r>
    </w:p>
    <w:p w14:paraId="40782F30" w14:textId="7C7EDD6C" w:rsidR="000C48A9" w:rsidRPr="006F63FD" w:rsidRDefault="00FD0C85" w:rsidP="00FD0C85">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02AF3">
        <w:rPr>
          <w:sz w:val="28"/>
          <w:szCs w:val="28"/>
        </w:rPr>
        <w:t xml:space="preserve">Elizabeth </w:t>
      </w:r>
      <w:r w:rsidR="00BB44A3">
        <w:rPr>
          <w:sz w:val="28"/>
          <w:szCs w:val="28"/>
        </w:rPr>
        <w:t xml:space="preserve">Burton </w:t>
      </w:r>
      <w:r w:rsidR="00B02AF3">
        <w:rPr>
          <w:sz w:val="28"/>
          <w:szCs w:val="28"/>
        </w:rPr>
        <w:t>Ortiz, #012838</w:t>
      </w:r>
    </w:p>
    <w:p w14:paraId="5DB70FBD" w14:textId="77777777" w:rsidR="000C48A9" w:rsidRDefault="00B02AF3" w:rsidP="00FD0C85">
      <w:pPr>
        <w:pStyle w:val="PleadingSignature"/>
        <w:keepNext w:val="0"/>
        <w:keepLines w:val="0"/>
        <w:spacing w:line="240" w:lineRule="auto"/>
        <w:ind w:left="3600" w:firstLine="720"/>
        <w:rPr>
          <w:sz w:val="28"/>
          <w:szCs w:val="28"/>
        </w:rPr>
      </w:pPr>
      <w:r>
        <w:rPr>
          <w:sz w:val="28"/>
          <w:szCs w:val="28"/>
        </w:rPr>
        <w:t>Executive Director</w:t>
      </w:r>
    </w:p>
    <w:p w14:paraId="52E3B48E" w14:textId="77777777" w:rsidR="00B02AF3" w:rsidRDefault="00B02AF3" w:rsidP="00FD0C85">
      <w:pPr>
        <w:pStyle w:val="PleadingSignature"/>
        <w:keepNext w:val="0"/>
        <w:keepLines w:val="0"/>
        <w:spacing w:line="240" w:lineRule="auto"/>
        <w:ind w:left="3600" w:firstLine="720"/>
        <w:rPr>
          <w:sz w:val="28"/>
          <w:szCs w:val="28"/>
        </w:rPr>
      </w:pPr>
      <w:r>
        <w:rPr>
          <w:sz w:val="28"/>
          <w:szCs w:val="28"/>
        </w:rPr>
        <w:t>Arizona Prosecuting Attorneys’</w:t>
      </w:r>
    </w:p>
    <w:p w14:paraId="04927ED6" w14:textId="7AB3AE57" w:rsidR="00B02AF3" w:rsidRPr="006F63FD" w:rsidRDefault="00BB44A3" w:rsidP="00FD0C85">
      <w:pPr>
        <w:pStyle w:val="PleadingSignature"/>
        <w:keepNext w:val="0"/>
        <w:keepLines w:val="0"/>
        <w:spacing w:line="240" w:lineRule="auto"/>
        <w:ind w:left="3600" w:firstLine="720"/>
        <w:rPr>
          <w:sz w:val="28"/>
          <w:szCs w:val="28"/>
        </w:rPr>
      </w:pPr>
      <w:r>
        <w:rPr>
          <w:sz w:val="28"/>
          <w:szCs w:val="28"/>
        </w:rPr>
        <w:t xml:space="preserve">   </w:t>
      </w:r>
      <w:r w:rsidR="00B02AF3">
        <w:rPr>
          <w:sz w:val="28"/>
          <w:szCs w:val="28"/>
        </w:rPr>
        <w:t>Advisory Council</w:t>
      </w:r>
    </w:p>
    <w:p w14:paraId="031883A7" w14:textId="77777777" w:rsidR="000C48A9" w:rsidRPr="000F7A7F" w:rsidRDefault="000C48A9" w:rsidP="000C48A9">
      <w:pPr>
        <w:pStyle w:val="PleadingSignature"/>
        <w:keepNext w:val="0"/>
        <w:keepLines w:val="0"/>
        <w:spacing w:line="240" w:lineRule="auto"/>
        <w:ind w:left="5070"/>
        <w:rPr>
          <w:szCs w:val="26"/>
        </w:rPr>
      </w:pPr>
    </w:p>
    <w:p w14:paraId="0F648000" w14:textId="77777777" w:rsidR="003E0C3A" w:rsidRDefault="003E0C3A" w:rsidP="004331B2">
      <w:pPr>
        <w:widowControl w:val="0"/>
        <w:spacing w:line="240" w:lineRule="auto"/>
        <w:ind w:right="4140"/>
        <w:rPr>
          <w:sz w:val="28"/>
          <w:szCs w:val="28"/>
        </w:rPr>
      </w:pPr>
    </w:p>
    <w:p w14:paraId="5E7F6213" w14:textId="49885CFF" w:rsidR="000C48A9" w:rsidRPr="00C52E56" w:rsidRDefault="000C48A9" w:rsidP="004331B2">
      <w:pPr>
        <w:widowControl w:val="0"/>
        <w:spacing w:line="240" w:lineRule="auto"/>
        <w:ind w:right="4140"/>
        <w:rPr>
          <w:sz w:val="28"/>
          <w:szCs w:val="28"/>
        </w:rPr>
      </w:pPr>
      <w:r w:rsidRPr="00C52E56">
        <w:rPr>
          <w:sz w:val="28"/>
          <w:szCs w:val="28"/>
        </w:rPr>
        <w:lastRenderedPageBreak/>
        <w:t>Electronic copy filed with the</w:t>
      </w:r>
    </w:p>
    <w:p w14:paraId="57E26CE3" w14:textId="77777777" w:rsidR="000C48A9" w:rsidRPr="00C52E56" w:rsidRDefault="000C48A9" w:rsidP="004331B2">
      <w:pPr>
        <w:spacing w:line="240" w:lineRule="auto"/>
        <w:ind w:right="4140"/>
        <w:rPr>
          <w:sz w:val="28"/>
          <w:szCs w:val="28"/>
        </w:rPr>
      </w:pPr>
      <w:r w:rsidRPr="00C52E56">
        <w:rPr>
          <w:sz w:val="28"/>
          <w:szCs w:val="28"/>
        </w:rPr>
        <w:t>Clerk of the Arizona Supreme Court</w:t>
      </w:r>
    </w:p>
    <w:p w14:paraId="24782638" w14:textId="2E510B4C"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1A0E99">
        <w:rPr>
          <w:sz w:val="28"/>
          <w:szCs w:val="28"/>
          <w:u w:val="single"/>
        </w:rPr>
        <w:t xml:space="preserve"> 18</w:t>
      </w:r>
      <w:r w:rsidR="001A0E99" w:rsidRPr="001A0E99">
        <w:rPr>
          <w:sz w:val="28"/>
          <w:szCs w:val="28"/>
          <w:u w:val="single"/>
          <w:vertAlign w:val="superscript"/>
        </w:rPr>
        <w:t>th</w:t>
      </w:r>
      <w:r w:rsidR="001A0E99">
        <w:rPr>
          <w:sz w:val="28"/>
          <w:szCs w:val="28"/>
          <w:u w:val="single"/>
        </w:rPr>
        <w:t xml:space="preserve"> </w:t>
      </w:r>
      <w:r w:rsidR="000F7A7F" w:rsidRPr="00C52E56">
        <w:rPr>
          <w:sz w:val="28"/>
          <w:szCs w:val="28"/>
        </w:rPr>
        <w:t xml:space="preserve"> day of </w:t>
      </w:r>
      <w:proofErr w:type="gramStart"/>
      <w:r w:rsidR="00FE2A7E">
        <w:rPr>
          <w:sz w:val="28"/>
          <w:szCs w:val="28"/>
        </w:rPr>
        <w:t>Ma</w:t>
      </w:r>
      <w:r w:rsidR="00310879">
        <w:rPr>
          <w:sz w:val="28"/>
          <w:szCs w:val="28"/>
        </w:rPr>
        <w:t>rch</w:t>
      </w:r>
      <w:r w:rsidR="006F63FD" w:rsidRPr="00C52E56">
        <w:rPr>
          <w:sz w:val="28"/>
          <w:szCs w:val="28"/>
        </w:rPr>
        <w:t>,</w:t>
      </w:r>
      <w:proofErr w:type="gramEnd"/>
      <w:r w:rsidR="006F63FD" w:rsidRPr="00C52E56">
        <w:rPr>
          <w:sz w:val="28"/>
          <w:szCs w:val="28"/>
        </w:rPr>
        <w:t xml:space="preserve"> </w:t>
      </w:r>
      <w:r w:rsidR="000F7A7F" w:rsidRPr="00C52E56">
        <w:rPr>
          <w:sz w:val="28"/>
          <w:szCs w:val="28"/>
        </w:rPr>
        <w:t>201</w:t>
      </w:r>
      <w:r w:rsidR="00121755">
        <w:rPr>
          <w:sz w:val="28"/>
          <w:szCs w:val="28"/>
        </w:rPr>
        <w:t>9</w:t>
      </w:r>
      <w:r w:rsidR="000F7A7F" w:rsidRPr="00C52E56">
        <w:rPr>
          <w:sz w:val="28"/>
          <w:szCs w:val="28"/>
        </w:rPr>
        <w:t>.</w:t>
      </w:r>
    </w:p>
    <w:p w14:paraId="33929BD1" w14:textId="77777777" w:rsidR="00FE2A7E" w:rsidRDefault="00FE2A7E" w:rsidP="000C48A9">
      <w:pPr>
        <w:spacing w:line="240" w:lineRule="auto"/>
        <w:ind w:right="4572"/>
        <w:rPr>
          <w:sz w:val="28"/>
          <w:szCs w:val="28"/>
        </w:rPr>
      </w:pPr>
    </w:p>
    <w:p w14:paraId="53E933C7" w14:textId="77777777" w:rsidR="00FE2A7E" w:rsidRDefault="00FE2A7E" w:rsidP="000C48A9">
      <w:pPr>
        <w:spacing w:line="240" w:lineRule="auto"/>
        <w:ind w:right="4572"/>
        <w:rPr>
          <w:sz w:val="28"/>
          <w:szCs w:val="28"/>
        </w:rPr>
      </w:pPr>
      <w:bookmarkStart w:id="4" w:name="_Hlk3808272"/>
    </w:p>
    <w:p w14:paraId="477A8EBB" w14:textId="652DD67F" w:rsidR="000C48A9" w:rsidRPr="00C52E56" w:rsidRDefault="00FE2A7E" w:rsidP="000C48A9">
      <w:pPr>
        <w:spacing w:line="240" w:lineRule="auto"/>
        <w:ind w:right="4572"/>
        <w:rPr>
          <w:sz w:val="28"/>
          <w:szCs w:val="28"/>
        </w:rPr>
      </w:pPr>
      <w:r>
        <w:rPr>
          <w:sz w:val="28"/>
          <w:szCs w:val="28"/>
        </w:rPr>
        <w:t>B</w:t>
      </w:r>
      <w:r w:rsidR="000C48A9" w:rsidRPr="00C52E56">
        <w:rPr>
          <w:sz w:val="28"/>
          <w:szCs w:val="28"/>
        </w:rPr>
        <w:t>y:</w:t>
      </w:r>
      <w:r w:rsidR="001A0E99">
        <w:rPr>
          <w:sz w:val="28"/>
          <w:szCs w:val="28"/>
          <w:u w:val="single"/>
        </w:rPr>
        <w:t xml:space="preserve">  /s/    </w:t>
      </w:r>
      <w:r w:rsidR="001A0E99" w:rsidRPr="001A0E99">
        <w:rPr>
          <w:rFonts w:ascii="Bradley Hand ITC" w:hAnsi="Bradley Hand ITC"/>
          <w:sz w:val="32"/>
          <w:szCs w:val="28"/>
          <w:u w:val="single"/>
        </w:rPr>
        <w:t>Diana Cooney</w:t>
      </w:r>
      <w:r w:rsidR="001A0E99" w:rsidRPr="001A0E99">
        <w:rPr>
          <w:rFonts w:ascii="Bradley Hand ITC" w:hAnsi="Bradley Hand ITC"/>
          <w:sz w:val="32"/>
          <w:szCs w:val="28"/>
          <w:u w:val="single"/>
        </w:rPr>
        <w:tab/>
      </w:r>
      <w:r w:rsidR="001A0E99">
        <w:rPr>
          <w:rFonts w:ascii="Bradley Hand ITC" w:hAnsi="Bradley Hand ITC"/>
          <w:sz w:val="32"/>
          <w:szCs w:val="28"/>
          <w:u w:val="single"/>
        </w:rPr>
        <w:tab/>
      </w:r>
    </w:p>
    <w:bookmarkEnd w:id="4"/>
    <w:p w14:paraId="43C27F5D" w14:textId="77777777" w:rsidR="00494BDF" w:rsidRPr="000F7A7F" w:rsidRDefault="00494BDF" w:rsidP="000C48A9">
      <w:pPr>
        <w:pStyle w:val="Body"/>
        <w:widowControl w:val="0"/>
        <w:ind w:firstLine="0"/>
        <w:jc w:val="both"/>
        <w:rPr>
          <w:szCs w:val="26"/>
        </w:rPr>
      </w:pPr>
    </w:p>
    <w:bookmarkEnd w:id="2"/>
    <w:bookmarkEnd w:id="3"/>
    <w:p w14:paraId="7A652556" w14:textId="77777777" w:rsidR="00052372" w:rsidRPr="000F7A7F" w:rsidRDefault="00052372" w:rsidP="00933EA1">
      <w:pPr>
        <w:tabs>
          <w:tab w:val="left" w:pos="8145"/>
        </w:tabs>
        <w:rPr>
          <w:sz w:val="26"/>
          <w:szCs w:val="26"/>
        </w:rPr>
      </w:pPr>
    </w:p>
    <w:sectPr w:rsidR="00052372" w:rsidRPr="000F7A7F" w:rsidSect="006F63FD">
      <w:headerReference w:type="even" r:id="rId12"/>
      <w:headerReference w:type="default" r:id="rId13"/>
      <w:footerReference w:type="even" r:id="rId14"/>
      <w:footerReference w:type="default" r:id="rId15"/>
      <w:headerReference w:type="first" r:id="rId16"/>
      <w:footerReference w:type="first" r:id="rId17"/>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D3B08" w14:textId="77777777" w:rsidR="001317E8" w:rsidRDefault="001317E8">
      <w:r>
        <w:separator/>
      </w:r>
    </w:p>
  </w:endnote>
  <w:endnote w:type="continuationSeparator" w:id="0">
    <w:p w14:paraId="192E13D5" w14:textId="77777777" w:rsidR="001317E8" w:rsidRDefault="0013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E4592" w14:textId="77777777" w:rsidR="00967F61" w:rsidRDefault="00967F61"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FD937" w14:textId="77777777" w:rsidR="00967F61" w:rsidRDefault="00967F61" w:rsidP="00861563">
    <w:pPr>
      <w:pStyle w:val="Footer"/>
      <w:ind w:right="360"/>
    </w:pPr>
  </w:p>
  <w:p w14:paraId="1E6CF164" w14:textId="77777777" w:rsidR="00967F61" w:rsidRDefault="00967F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35A6C317" w14:textId="256FA35E" w:rsidR="00967F61" w:rsidRPr="006B4F9A" w:rsidRDefault="00967F6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75606F">
          <w:rPr>
            <w:noProof/>
            <w:sz w:val="26"/>
            <w:szCs w:val="26"/>
          </w:rPr>
          <w:t>15</w:t>
        </w:r>
        <w:r w:rsidRPr="006B4F9A">
          <w:rPr>
            <w:noProof/>
            <w:sz w:val="26"/>
            <w:szCs w:val="26"/>
          </w:rPr>
          <w:fldChar w:fldCharType="end"/>
        </w:r>
      </w:p>
    </w:sdtContent>
  </w:sdt>
  <w:p w14:paraId="59970812" w14:textId="77777777" w:rsidR="00967F61" w:rsidRDefault="00967F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BE997" w14:textId="77777777" w:rsidR="00BB44A3" w:rsidRDefault="00BB4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3A6AA" w14:textId="77777777" w:rsidR="001317E8" w:rsidRDefault="001317E8">
      <w:r>
        <w:separator/>
      </w:r>
    </w:p>
  </w:footnote>
  <w:footnote w:type="continuationSeparator" w:id="0">
    <w:p w14:paraId="0BADDDFF" w14:textId="77777777" w:rsidR="001317E8" w:rsidRDefault="001317E8">
      <w:r>
        <w:continuationSeparator/>
      </w:r>
    </w:p>
  </w:footnote>
  <w:footnote w:id="1">
    <w:p w14:paraId="68635DD0" w14:textId="1DC6E824" w:rsidR="00AD6AFE" w:rsidRDefault="00AD6AFE">
      <w:pPr>
        <w:pStyle w:val="FootnoteText"/>
      </w:pPr>
      <w:r>
        <w:rPr>
          <w:rStyle w:val="FootnoteReference"/>
        </w:rPr>
        <w:footnoteRef/>
      </w:r>
      <w:r>
        <w:t xml:space="preserve"> </w:t>
      </w:r>
      <w:r w:rsidRPr="003E0C3A">
        <w:rPr>
          <w:sz w:val="26"/>
        </w:rPr>
        <w:t>APAAC cites this opinion not for its persuasive value (Ariz.R.Sup.Ct. 111(c)(1)(C)) but merely to serve as an example</w:t>
      </w:r>
      <w:r w:rsidR="003B5677" w:rsidRPr="003E0C3A">
        <w:rPr>
          <w:sz w:val="26"/>
        </w:rPr>
        <w:t xml:space="preserve"> that the issue is a recurring one</w:t>
      </w:r>
      <w:r w:rsidRPr="003E0C3A">
        <w:rPr>
          <w:sz w:val="26"/>
        </w:rPr>
        <w:t>.</w:t>
      </w:r>
    </w:p>
  </w:footnote>
  <w:footnote w:id="2">
    <w:p w14:paraId="1BEE5348" w14:textId="1661F6A4" w:rsidR="003E0C3A" w:rsidRDefault="003E0C3A">
      <w:pPr>
        <w:pStyle w:val="FootnoteText"/>
      </w:pPr>
      <w:r>
        <w:rPr>
          <w:rStyle w:val="FootnoteReference"/>
        </w:rPr>
        <w:footnoteRef/>
      </w:r>
      <w:r>
        <w:t xml:space="preserve"> </w:t>
      </w:r>
      <w:r w:rsidRPr="003E0C3A">
        <w:rPr>
          <w:sz w:val="26"/>
        </w:rPr>
        <w:t>APAAC recommends that this proposal be a stand-alone one as Rule 32.13 [NEW].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587B8" w14:textId="77777777" w:rsidR="00BB44A3" w:rsidRDefault="00BB4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CE94" w14:textId="3CD93D5B" w:rsidR="00967F61" w:rsidRDefault="00967F61">
    <w:pPr>
      <w:pStyle w:val="Header"/>
    </w:pPr>
    <w:r>
      <w:rPr>
        <w:noProof/>
      </w:rPr>
      <mc:AlternateContent>
        <mc:Choice Requires="wps">
          <w:drawing>
            <wp:anchor distT="0" distB="0" distL="114300" distR="114300" simplePos="0" relativeHeight="251657728"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77B32"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43719"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F972B"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6C95D955" w14:textId="77777777" w:rsidR="00967F61" w:rsidRDefault="00967F61">
    <w:r>
      <w:rPr>
        <w:noProof/>
      </w:rPr>
      <mc:AlternateContent>
        <mc:Choice Requires="wps">
          <w:drawing>
            <wp:anchor distT="0" distB="0" distL="114300" distR="114300" simplePos="0" relativeHeight="251658752"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0D1A" w14:textId="77777777" w:rsidR="00967F61" w:rsidRPr="00000C35" w:rsidRDefault="00967F61">
                          <w:pPr>
                            <w:jc w:val="right"/>
                            <w:rPr>
                              <w:sz w:val="28"/>
                              <w:szCs w:val="28"/>
                            </w:rPr>
                          </w:pPr>
                          <w:r w:rsidRPr="00000C35">
                            <w:rPr>
                              <w:sz w:val="28"/>
                              <w:szCs w:val="28"/>
                            </w:rPr>
                            <w:t>1</w:t>
                          </w:r>
                        </w:p>
                        <w:p w14:paraId="51B95C09" w14:textId="77777777" w:rsidR="00967F61" w:rsidRPr="00000C35" w:rsidRDefault="00967F61">
                          <w:pPr>
                            <w:jc w:val="right"/>
                            <w:rPr>
                              <w:sz w:val="28"/>
                              <w:szCs w:val="28"/>
                            </w:rPr>
                          </w:pPr>
                          <w:r w:rsidRPr="00000C35">
                            <w:rPr>
                              <w:sz w:val="28"/>
                              <w:szCs w:val="28"/>
                            </w:rPr>
                            <w:t>2</w:t>
                          </w:r>
                        </w:p>
                        <w:p w14:paraId="4F0CAAF2" w14:textId="77777777" w:rsidR="00967F61" w:rsidRPr="00000C35" w:rsidRDefault="00967F61">
                          <w:pPr>
                            <w:jc w:val="right"/>
                            <w:rPr>
                              <w:sz w:val="28"/>
                              <w:szCs w:val="28"/>
                            </w:rPr>
                          </w:pPr>
                          <w:r w:rsidRPr="00000C35">
                            <w:rPr>
                              <w:sz w:val="28"/>
                              <w:szCs w:val="28"/>
                            </w:rPr>
                            <w:t>3</w:t>
                          </w:r>
                        </w:p>
                        <w:p w14:paraId="3406F269" w14:textId="77777777" w:rsidR="00967F61" w:rsidRPr="00000C35" w:rsidRDefault="00967F61">
                          <w:pPr>
                            <w:jc w:val="right"/>
                            <w:rPr>
                              <w:sz w:val="28"/>
                              <w:szCs w:val="28"/>
                            </w:rPr>
                          </w:pPr>
                          <w:r w:rsidRPr="00000C35">
                            <w:rPr>
                              <w:sz w:val="28"/>
                              <w:szCs w:val="28"/>
                            </w:rPr>
                            <w:t>4</w:t>
                          </w:r>
                        </w:p>
                        <w:p w14:paraId="098E8096" w14:textId="77777777" w:rsidR="00967F61" w:rsidRPr="00000C35" w:rsidRDefault="00967F61">
                          <w:pPr>
                            <w:jc w:val="right"/>
                            <w:rPr>
                              <w:sz w:val="28"/>
                              <w:szCs w:val="28"/>
                            </w:rPr>
                          </w:pPr>
                          <w:r w:rsidRPr="00000C35">
                            <w:rPr>
                              <w:sz w:val="28"/>
                              <w:szCs w:val="28"/>
                            </w:rPr>
                            <w:t>5</w:t>
                          </w:r>
                        </w:p>
                        <w:p w14:paraId="3AE7B72F" w14:textId="77777777" w:rsidR="00967F61" w:rsidRPr="00000C35" w:rsidRDefault="00967F61">
                          <w:pPr>
                            <w:jc w:val="right"/>
                            <w:rPr>
                              <w:sz w:val="28"/>
                              <w:szCs w:val="28"/>
                            </w:rPr>
                          </w:pPr>
                          <w:r w:rsidRPr="00000C35">
                            <w:rPr>
                              <w:sz w:val="28"/>
                              <w:szCs w:val="28"/>
                            </w:rPr>
                            <w:t>6</w:t>
                          </w:r>
                        </w:p>
                        <w:p w14:paraId="666B64DB" w14:textId="77777777" w:rsidR="00967F61" w:rsidRPr="00000C35" w:rsidRDefault="00967F61">
                          <w:pPr>
                            <w:jc w:val="right"/>
                            <w:rPr>
                              <w:sz w:val="28"/>
                              <w:szCs w:val="28"/>
                            </w:rPr>
                          </w:pPr>
                          <w:r w:rsidRPr="00000C35">
                            <w:rPr>
                              <w:sz w:val="28"/>
                              <w:szCs w:val="28"/>
                            </w:rPr>
                            <w:t>7</w:t>
                          </w:r>
                        </w:p>
                        <w:p w14:paraId="41091D25" w14:textId="77777777" w:rsidR="00967F61" w:rsidRPr="00000C35" w:rsidRDefault="00967F61">
                          <w:pPr>
                            <w:jc w:val="right"/>
                            <w:rPr>
                              <w:sz w:val="28"/>
                              <w:szCs w:val="28"/>
                            </w:rPr>
                          </w:pPr>
                          <w:r w:rsidRPr="00000C35">
                            <w:rPr>
                              <w:sz w:val="28"/>
                              <w:szCs w:val="28"/>
                            </w:rPr>
                            <w:t>8</w:t>
                          </w:r>
                        </w:p>
                        <w:p w14:paraId="15AFEA63" w14:textId="77777777" w:rsidR="00967F61" w:rsidRPr="00000C35" w:rsidRDefault="00967F61">
                          <w:pPr>
                            <w:jc w:val="right"/>
                            <w:rPr>
                              <w:sz w:val="28"/>
                              <w:szCs w:val="28"/>
                            </w:rPr>
                          </w:pPr>
                          <w:r w:rsidRPr="00000C35">
                            <w:rPr>
                              <w:sz w:val="28"/>
                              <w:szCs w:val="28"/>
                            </w:rPr>
                            <w:t>9</w:t>
                          </w:r>
                        </w:p>
                        <w:p w14:paraId="18BF988E" w14:textId="77777777" w:rsidR="00967F61" w:rsidRPr="00000C35" w:rsidRDefault="00967F61">
                          <w:pPr>
                            <w:jc w:val="right"/>
                            <w:rPr>
                              <w:sz w:val="28"/>
                              <w:szCs w:val="28"/>
                            </w:rPr>
                          </w:pPr>
                          <w:r w:rsidRPr="00000C35">
                            <w:rPr>
                              <w:sz w:val="28"/>
                              <w:szCs w:val="28"/>
                            </w:rPr>
                            <w:t>10</w:t>
                          </w:r>
                        </w:p>
                        <w:p w14:paraId="094C4918" w14:textId="77777777" w:rsidR="00967F61" w:rsidRPr="00000C35" w:rsidRDefault="00967F61">
                          <w:pPr>
                            <w:jc w:val="right"/>
                            <w:rPr>
                              <w:sz w:val="28"/>
                              <w:szCs w:val="28"/>
                            </w:rPr>
                          </w:pPr>
                          <w:r w:rsidRPr="00000C35">
                            <w:rPr>
                              <w:sz w:val="28"/>
                              <w:szCs w:val="28"/>
                            </w:rPr>
                            <w:t>11</w:t>
                          </w:r>
                        </w:p>
                        <w:p w14:paraId="4E9CD876" w14:textId="77777777" w:rsidR="00967F61" w:rsidRPr="00000C35" w:rsidRDefault="00967F61">
                          <w:pPr>
                            <w:jc w:val="right"/>
                            <w:rPr>
                              <w:sz w:val="28"/>
                              <w:szCs w:val="28"/>
                            </w:rPr>
                          </w:pPr>
                          <w:r w:rsidRPr="00000C35">
                            <w:rPr>
                              <w:sz w:val="28"/>
                              <w:szCs w:val="28"/>
                            </w:rPr>
                            <w:t>12</w:t>
                          </w:r>
                        </w:p>
                        <w:p w14:paraId="7229104A" w14:textId="77777777" w:rsidR="00967F61" w:rsidRPr="00000C35" w:rsidRDefault="00967F61">
                          <w:pPr>
                            <w:jc w:val="right"/>
                            <w:rPr>
                              <w:sz w:val="28"/>
                              <w:szCs w:val="28"/>
                            </w:rPr>
                          </w:pPr>
                          <w:r w:rsidRPr="00000C35">
                            <w:rPr>
                              <w:sz w:val="28"/>
                              <w:szCs w:val="28"/>
                            </w:rPr>
                            <w:t>13</w:t>
                          </w:r>
                        </w:p>
                        <w:p w14:paraId="2C62D687" w14:textId="77777777" w:rsidR="00967F61" w:rsidRPr="00000C35" w:rsidRDefault="00967F61">
                          <w:pPr>
                            <w:jc w:val="right"/>
                            <w:rPr>
                              <w:sz w:val="28"/>
                              <w:szCs w:val="28"/>
                            </w:rPr>
                          </w:pPr>
                          <w:r w:rsidRPr="00000C35">
                            <w:rPr>
                              <w:sz w:val="28"/>
                              <w:szCs w:val="28"/>
                            </w:rPr>
                            <w:t>14</w:t>
                          </w:r>
                        </w:p>
                        <w:p w14:paraId="66CCC565" w14:textId="77777777" w:rsidR="00967F61" w:rsidRPr="00000C35" w:rsidRDefault="00967F61">
                          <w:pPr>
                            <w:jc w:val="right"/>
                            <w:rPr>
                              <w:sz w:val="28"/>
                              <w:szCs w:val="28"/>
                            </w:rPr>
                          </w:pPr>
                          <w:r w:rsidRPr="00000C35">
                            <w:rPr>
                              <w:sz w:val="28"/>
                              <w:szCs w:val="28"/>
                            </w:rPr>
                            <w:t>15</w:t>
                          </w:r>
                        </w:p>
                        <w:p w14:paraId="58BD910D" w14:textId="77777777" w:rsidR="00967F61" w:rsidRPr="00000C35" w:rsidRDefault="00967F61">
                          <w:pPr>
                            <w:jc w:val="right"/>
                            <w:rPr>
                              <w:sz w:val="28"/>
                              <w:szCs w:val="28"/>
                            </w:rPr>
                          </w:pPr>
                          <w:r w:rsidRPr="00000C35">
                            <w:rPr>
                              <w:sz w:val="28"/>
                              <w:szCs w:val="28"/>
                            </w:rPr>
                            <w:t>16</w:t>
                          </w:r>
                        </w:p>
                        <w:p w14:paraId="7B7285FF" w14:textId="77777777" w:rsidR="00967F61" w:rsidRPr="00000C35" w:rsidRDefault="00967F61">
                          <w:pPr>
                            <w:jc w:val="right"/>
                            <w:rPr>
                              <w:sz w:val="28"/>
                              <w:szCs w:val="28"/>
                            </w:rPr>
                          </w:pPr>
                          <w:r w:rsidRPr="00000C35">
                            <w:rPr>
                              <w:sz w:val="28"/>
                              <w:szCs w:val="28"/>
                            </w:rPr>
                            <w:t>17</w:t>
                          </w:r>
                        </w:p>
                        <w:p w14:paraId="738B8583" w14:textId="77777777" w:rsidR="00967F61" w:rsidRPr="00000C35" w:rsidRDefault="00967F61">
                          <w:pPr>
                            <w:jc w:val="right"/>
                            <w:rPr>
                              <w:sz w:val="28"/>
                              <w:szCs w:val="28"/>
                            </w:rPr>
                          </w:pPr>
                          <w:r w:rsidRPr="00000C35">
                            <w:rPr>
                              <w:sz w:val="28"/>
                              <w:szCs w:val="28"/>
                            </w:rPr>
                            <w:t>18</w:t>
                          </w:r>
                        </w:p>
                        <w:p w14:paraId="4A8DF8C9" w14:textId="77777777" w:rsidR="00967F61" w:rsidRPr="00000C35" w:rsidRDefault="00967F61">
                          <w:pPr>
                            <w:jc w:val="right"/>
                            <w:rPr>
                              <w:sz w:val="28"/>
                              <w:szCs w:val="28"/>
                            </w:rPr>
                          </w:pPr>
                          <w:r w:rsidRPr="00000C35">
                            <w:rPr>
                              <w:sz w:val="28"/>
                              <w:szCs w:val="28"/>
                            </w:rPr>
                            <w:t>19</w:t>
                          </w:r>
                        </w:p>
                        <w:p w14:paraId="438E1D26" w14:textId="77777777" w:rsidR="00967F61" w:rsidRPr="00000C35" w:rsidRDefault="00967F61">
                          <w:pPr>
                            <w:jc w:val="right"/>
                            <w:rPr>
                              <w:sz w:val="28"/>
                              <w:szCs w:val="28"/>
                            </w:rPr>
                          </w:pPr>
                          <w:r w:rsidRPr="00000C35">
                            <w:rPr>
                              <w:sz w:val="28"/>
                              <w:szCs w:val="28"/>
                            </w:rPr>
                            <w:t>20</w:t>
                          </w:r>
                        </w:p>
                        <w:p w14:paraId="3E010462" w14:textId="77777777" w:rsidR="00967F61" w:rsidRPr="00000C35" w:rsidRDefault="00967F61">
                          <w:pPr>
                            <w:jc w:val="right"/>
                            <w:rPr>
                              <w:sz w:val="28"/>
                              <w:szCs w:val="28"/>
                            </w:rPr>
                          </w:pPr>
                          <w:r w:rsidRPr="00000C35">
                            <w:rPr>
                              <w:sz w:val="28"/>
                              <w:szCs w:val="28"/>
                            </w:rPr>
                            <w:t>21</w:t>
                          </w:r>
                        </w:p>
                        <w:p w14:paraId="48120BAD" w14:textId="77777777" w:rsidR="00967F61" w:rsidRPr="00000C35" w:rsidRDefault="00967F61">
                          <w:pPr>
                            <w:jc w:val="right"/>
                            <w:rPr>
                              <w:sz w:val="28"/>
                              <w:szCs w:val="28"/>
                            </w:rPr>
                          </w:pPr>
                          <w:r w:rsidRPr="00000C35">
                            <w:rPr>
                              <w:sz w:val="28"/>
                              <w:szCs w:val="28"/>
                            </w:rPr>
                            <w:t>22</w:t>
                          </w:r>
                        </w:p>
                        <w:p w14:paraId="7756D126" w14:textId="77777777" w:rsidR="00967F61" w:rsidRPr="00000C35" w:rsidRDefault="00967F61">
                          <w:pPr>
                            <w:jc w:val="right"/>
                            <w:rPr>
                              <w:sz w:val="28"/>
                              <w:szCs w:val="28"/>
                            </w:rPr>
                          </w:pPr>
                          <w:r w:rsidRPr="00000C35">
                            <w:rPr>
                              <w:sz w:val="28"/>
                              <w:szCs w:val="28"/>
                            </w:rPr>
                            <w:t>23</w:t>
                          </w:r>
                        </w:p>
                        <w:p w14:paraId="58A28ED2" w14:textId="77777777" w:rsidR="00967F61" w:rsidRPr="00000C35" w:rsidRDefault="00967F61">
                          <w:pPr>
                            <w:jc w:val="right"/>
                            <w:rPr>
                              <w:sz w:val="28"/>
                              <w:szCs w:val="28"/>
                            </w:rPr>
                          </w:pPr>
                          <w:r w:rsidRPr="00000C35">
                            <w:rPr>
                              <w:sz w:val="28"/>
                              <w:szCs w:val="28"/>
                            </w:rPr>
                            <w:t>24</w:t>
                          </w:r>
                        </w:p>
                        <w:p w14:paraId="6F4DFD68" w14:textId="77777777" w:rsidR="00967F61" w:rsidRPr="00000C35" w:rsidRDefault="00967F61">
                          <w:pPr>
                            <w:jc w:val="right"/>
                            <w:rPr>
                              <w:sz w:val="28"/>
                              <w:szCs w:val="28"/>
                            </w:rPr>
                          </w:pPr>
                          <w:r w:rsidRPr="00000C35">
                            <w:rPr>
                              <w:sz w:val="28"/>
                              <w:szCs w:val="28"/>
                            </w:rPr>
                            <w:t>25</w:t>
                          </w:r>
                        </w:p>
                        <w:p w14:paraId="1DFF66EF" w14:textId="77777777" w:rsidR="00967F61" w:rsidRPr="00000C35" w:rsidRDefault="00967F61">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102E0D1A" w14:textId="77777777" w:rsidR="00967F61" w:rsidRPr="00000C35" w:rsidRDefault="00967F61">
                    <w:pPr>
                      <w:jc w:val="right"/>
                      <w:rPr>
                        <w:sz w:val="28"/>
                        <w:szCs w:val="28"/>
                      </w:rPr>
                    </w:pPr>
                    <w:r w:rsidRPr="00000C35">
                      <w:rPr>
                        <w:sz w:val="28"/>
                        <w:szCs w:val="28"/>
                      </w:rPr>
                      <w:t>1</w:t>
                    </w:r>
                  </w:p>
                  <w:p w14:paraId="51B95C09" w14:textId="77777777" w:rsidR="00967F61" w:rsidRPr="00000C35" w:rsidRDefault="00967F61">
                    <w:pPr>
                      <w:jc w:val="right"/>
                      <w:rPr>
                        <w:sz w:val="28"/>
                        <w:szCs w:val="28"/>
                      </w:rPr>
                    </w:pPr>
                    <w:r w:rsidRPr="00000C35">
                      <w:rPr>
                        <w:sz w:val="28"/>
                        <w:szCs w:val="28"/>
                      </w:rPr>
                      <w:t>2</w:t>
                    </w:r>
                  </w:p>
                  <w:p w14:paraId="4F0CAAF2" w14:textId="77777777" w:rsidR="00967F61" w:rsidRPr="00000C35" w:rsidRDefault="00967F61">
                    <w:pPr>
                      <w:jc w:val="right"/>
                      <w:rPr>
                        <w:sz w:val="28"/>
                        <w:szCs w:val="28"/>
                      </w:rPr>
                    </w:pPr>
                    <w:r w:rsidRPr="00000C35">
                      <w:rPr>
                        <w:sz w:val="28"/>
                        <w:szCs w:val="28"/>
                      </w:rPr>
                      <w:t>3</w:t>
                    </w:r>
                  </w:p>
                  <w:p w14:paraId="3406F269" w14:textId="77777777" w:rsidR="00967F61" w:rsidRPr="00000C35" w:rsidRDefault="00967F61">
                    <w:pPr>
                      <w:jc w:val="right"/>
                      <w:rPr>
                        <w:sz w:val="28"/>
                        <w:szCs w:val="28"/>
                      </w:rPr>
                    </w:pPr>
                    <w:r w:rsidRPr="00000C35">
                      <w:rPr>
                        <w:sz w:val="28"/>
                        <w:szCs w:val="28"/>
                      </w:rPr>
                      <w:t>4</w:t>
                    </w:r>
                  </w:p>
                  <w:p w14:paraId="098E8096" w14:textId="77777777" w:rsidR="00967F61" w:rsidRPr="00000C35" w:rsidRDefault="00967F61">
                    <w:pPr>
                      <w:jc w:val="right"/>
                      <w:rPr>
                        <w:sz w:val="28"/>
                        <w:szCs w:val="28"/>
                      </w:rPr>
                    </w:pPr>
                    <w:r w:rsidRPr="00000C35">
                      <w:rPr>
                        <w:sz w:val="28"/>
                        <w:szCs w:val="28"/>
                      </w:rPr>
                      <w:t>5</w:t>
                    </w:r>
                  </w:p>
                  <w:p w14:paraId="3AE7B72F" w14:textId="77777777" w:rsidR="00967F61" w:rsidRPr="00000C35" w:rsidRDefault="00967F61">
                    <w:pPr>
                      <w:jc w:val="right"/>
                      <w:rPr>
                        <w:sz w:val="28"/>
                        <w:szCs w:val="28"/>
                      </w:rPr>
                    </w:pPr>
                    <w:r w:rsidRPr="00000C35">
                      <w:rPr>
                        <w:sz w:val="28"/>
                        <w:szCs w:val="28"/>
                      </w:rPr>
                      <w:t>6</w:t>
                    </w:r>
                  </w:p>
                  <w:p w14:paraId="666B64DB" w14:textId="77777777" w:rsidR="00967F61" w:rsidRPr="00000C35" w:rsidRDefault="00967F61">
                    <w:pPr>
                      <w:jc w:val="right"/>
                      <w:rPr>
                        <w:sz w:val="28"/>
                        <w:szCs w:val="28"/>
                      </w:rPr>
                    </w:pPr>
                    <w:r w:rsidRPr="00000C35">
                      <w:rPr>
                        <w:sz w:val="28"/>
                        <w:szCs w:val="28"/>
                      </w:rPr>
                      <w:t>7</w:t>
                    </w:r>
                  </w:p>
                  <w:p w14:paraId="41091D25" w14:textId="77777777" w:rsidR="00967F61" w:rsidRPr="00000C35" w:rsidRDefault="00967F61">
                    <w:pPr>
                      <w:jc w:val="right"/>
                      <w:rPr>
                        <w:sz w:val="28"/>
                        <w:szCs w:val="28"/>
                      </w:rPr>
                    </w:pPr>
                    <w:r w:rsidRPr="00000C35">
                      <w:rPr>
                        <w:sz w:val="28"/>
                        <w:szCs w:val="28"/>
                      </w:rPr>
                      <w:t>8</w:t>
                    </w:r>
                  </w:p>
                  <w:p w14:paraId="15AFEA63" w14:textId="77777777" w:rsidR="00967F61" w:rsidRPr="00000C35" w:rsidRDefault="00967F61">
                    <w:pPr>
                      <w:jc w:val="right"/>
                      <w:rPr>
                        <w:sz w:val="28"/>
                        <w:szCs w:val="28"/>
                      </w:rPr>
                    </w:pPr>
                    <w:r w:rsidRPr="00000C35">
                      <w:rPr>
                        <w:sz w:val="28"/>
                        <w:szCs w:val="28"/>
                      </w:rPr>
                      <w:t>9</w:t>
                    </w:r>
                  </w:p>
                  <w:p w14:paraId="18BF988E" w14:textId="77777777" w:rsidR="00967F61" w:rsidRPr="00000C35" w:rsidRDefault="00967F61">
                    <w:pPr>
                      <w:jc w:val="right"/>
                      <w:rPr>
                        <w:sz w:val="28"/>
                        <w:szCs w:val="28"/>
                      </w:rPr>
                    </w:pPr>
                    <w:r w:rsidRPr="00000C35">
                      <w:rPr>
                        <w:sz w:val="28"/>
                        <w:szCs w:val="28"/>
                      </w:rPr>
                      <w:t>10</w:t>
                    </w:r>
                  </w:p>
                  <w:p w14:paraId="094C4918" w14:textId="77777777" w:rsidR="00967F61" w:rsidRPr="00000C35" w:rsidRDefault="00967F61">
                    <w:pPr>
                      <w:jc w:val="right"/>
                      <w:rPr>
                        <w:sz w:val="28"/>
                        <w:szCs w:val="28"/>
                      </w:rPr>
                    </w:pPr>
                    <w:r w:rsidRPr="00000C35">
                      <w:rPr>
                        <w:sz w:val="28"/>
                        <w:szCs w:val="28"/>
                      </w:rPr>
                      <w:t>11</w:t>
                    </w:r>
                  </w:p>
                  <w:p w14:paraId="4E9CD876" w14:textId="77777777" w:rsidR="00967F61" w:rsidRPr="00000C35" w:rsidRDefault="00967F61">
                    <w:pPr>
                      <w:jc w:val="right"/>
                      <w:rPr>
                        <w:sz w:val="28"/>
                        <w:szCs w:val="28"/>
                      </w:rPr>
                    </w:pPr>
                    <w:r w:rsidRPr="00000C35">
                      <w:rPr>
                        <w:sz w:val="28"/>
                        <w:szCs w:val="28"/>
                      </w:rPr>
                      <w:t>12</w:t>
                    </w:r>
                  </w:p>
                  <w:p w14:paraId="7229104A" w14:textId="77777777" w:rsidR="00967F61" w:rsidRPr="00000C35" w:rsidRDefault="00967F61">
                    <w:pPr>
                      <w:jc w:val="right"/>
                      <w:rPr>
                        <w:sz w:val="28"/>
                        <w:szCs w:val="28"/>
                      </w:rPr>
                    </w:pPr>
                    <w:r w:rsidRPr="00000C35">
                      <w:rPr>
                        <w:sz w:val="28"/>
                        <w:szCs w:val="28"/>
                      </w:rPr>
                      <w:t>13</w:t>
                    </w:r>
                  </w:p>
                  <w:p w14:paraId="2C62D687" w14:textId="77777777" w:rsidR="00967F61" w:rsidRPr="00000C35" w:rsidRDefault="00967F61">
                    <w:pPr>
                      <w:jc w:val="right"/>
                      <w:rPr>
                        <w:sz w:val="28"/>
                        <w:szCs w:val="28"/>
                      </w:rPr>
                    </w:pPr>
                    <w:r w:rsidRPr="00000C35">
                      <w:rPr>
                        <w:sz w:val="28"/>
                        <w:szCs w:val="28"/>
                      </w:rPr>
                      <w:t>14</w:t>
                    </w:r>
                  </w:p>
                  <w:p w14:paraId="66CCC565" w14:textId="77777777" w:rsidR="00967F61" w:rsidRPr="00000C35" w:rsidRDefault="00967F61">
                    <w:pPr>
                      <w:jc w:val="right"/>
                      <w:rPr>
                        <w:sz w:val="28"/>
                        <w:szCs w:val="28"/>
                      </w:rPr>
                    </w:pPr>
                    <w:r w:rsidRPr="00000C35">
                      <w:rPr>
                        <w:sz w:val="28"/>
                        <w:szCs w:val="28"/>
                      </w:rPr>
                      <w:t>15</w:t>
                    </w:r>
                  </w:p>
                  <w:p w14:paraId="58BD910D" w14:textId="77777777" w:rsidR="00967F61" w:rsidRPr="00000C35" w:rsidRDefault="00967F61">
                    <w:pPr>
                      <w:jc w:val="right"/>
                      <w:rPr>
                        <w:sz w:val="28"/>
                        <w:szCs w:val="28"/>
                      </w:rPr>
                    </w:pPr>
                    <w:r w:rsidRPr="00000C35">
                      <w:rPr>
                        <w:sz w:val="28"/>
                        <w:szCs w:val="28"/>
                      </w:rPr>
                      <w:t>16</w:t>
                    </w:r>
                  </w:p>
                  <w:p w14:paraId="7B7285FF" w14:textId="77777777" w:rsidR="00967F61" w:rsidRPr="00000C35" w:rsidRDefault="00967F61">
                    <w:pPr>
                      <w:jc w:val="right"/>
                      <w:rPr>
                        <w:sz w:val="28"/>
                        <w:szCs w:val="28"/>
                      </w:rPr>
                    </w:pPr>
                    <w:r w:rsidRPr="00000C35">
                      <w:rPr>
                        <w:sz w:val="28"/>
                        <w:szCs w:val="28"/>
                      </w:rPr>
                      <w:t>17</w:t>
                    </w:r>
                  </w:p>
                  <w:p w14:paraId="738B8583" w14:textId="77777777" w:rsidR="00967F61" w:rsidRPr="00000C35" w:rsidRDefault="00967F61">
                    <w:pPr>
                      <w:jc w:val="right"/>
                      <w:rPr>
                        <w:sz w:val="28"/>
                        <w:szCs w:val="28"/>
                      </w:rPr>
                    </w:pPr>
                    <w:r w:rsidRPr="00000C35">
                      <w:rPr>
                        <w:sz w:val="28"/>
                        <w:szCs w:val="28"/>
                      </w:rPr>
                      <w:t>18</w:t>
                    </w:r>
                  </w:p>
                  <w:p w14:paraId="4A8DF8C9" w14:textId="77777777" w:rsidR="00967F61" w:rsidRPr="00000C35" w:rsidRDefault="00967F61">
                    <w:pPr>
                      <w:jc w:val="right"/>
                      <w:rPr>
                        <w:sz w:val="28"/>
                        <w:szCs w:val="28"/>
                      </w:rPr>
                    </w:pPr>
                    <w:r w:rsidRPr="00000C35">
                      <w:rPr>
                        <w:sz w:val="28"/>
                        <w:szCs w:val="28"/>
                      </w:rPr>
                      <w:t>19</w:t>
                    </w:r>
                  </w:p>
                  <w:p w14:paraId="438E1D26" w14:textId="77777777" w:rsidR="00967F61" w:rsidRPr="00000C35" w:rsidRDefault="00967F61">
                    <w:pPr>
                      <w:jc w:val="right"/>
                      <w:rPr>
                        <w:sz w:val="28"/>
                        <w:szCs w:val="28"/>
                      </w:rPr>
                    </w:pPr>
                    <w:r w:rsidRPr="00000C35">
                      <w:rPr>
                        <w:sz w:val="28"/>
                        <w:szCs w:val="28"/>
                      </w:rPr>
                      <w:t>20</w:t>
                    </w:r>
                  </w:p>
                  <w:p w14:paraId="3E010462" w14:textId="77777777" w:rsidR="00967F61" w:rsidRPr="00000C35" w:rsidRDefault="00967F61">
                    <w:pPr>
                      <w:jc w:val="right"/>
                      <w:rPr>
                        <w:sz w:val="28"/>
                        <w:szCs w:val="28"/>
                      </w:rPr>
                    </w:pPr>
                    <w:r w:rsidRPr="00000C35">
                      <w:rPr>
                        <w:sz w:val="28"/>
                        <w:szCs w:val="28"/>
                      </w:rPr>
                      <w:t>21</w:t>
                    </w:r>
                  </w:p>
                  <w:p w14:paraId="48120BAD" w14:textId="77777777" w:rsidR="00967F61" w:rsidRPr="00000C35" w:rsidRDefault="00967F61">
                    <w:pPr>
                      <w:jc w:val="right"/>
                      <w:rPr>
                        <w:sz w:val="28"/>
                        <w:szCs w:val="28"/>
                      </w:rPr>
                    </w:pPr>
                    <w:r w:rsidRPr="00000C35">
                      <w:rPr>
                        <w:sz w:val="28"/>
                        <w:szCs w:val="28"/>
                      </w:rPr>
                      <w:t>22</w:t>
                    </w:r>
                  </w:p>
                  <w:p w14:paraId="7756D126" w14:textId="77777777" w:rsidR="00967F61" w:rsidRPr="00000C35" w:rsidRDefault="00967F61">
                    <w:pPr>
                      <w:jc w:val="right"/>
                      <w:rPr>
                        <w:sz w:val="28"/>
                        <w:szCs w:val="28"/>
                      </w:rPr>
                    </w:pPr>
                    <w:r w:rsidRPr="00000C35">
                      <w:rPr>
                        <w:sz w:val="28"/>
                        <w:szCs w:val="28"/>
                      </w:rPr>
                      <w:t>23</w:t>
                    </w:r>
                  </w:p>
                  <w:p w14:paraId="58A28ED2" w14:textId="77777777" w:rsidR="00967F61" w:rsidRPr="00000C35" w:rsidRDefault="00967F61">
                    <w:pPr>
                      <w:jc w:val="right"/>
                      <w:rPr>
                        <w:sz w:val="28"/>
                        <w:szCs w:val="28"/>
                      </w:rPr>
                    </w:pPr>
                    <w:r w:rsidRPr="00000C35">
                      <w:rPr>
                        <w:sz w:val="28"/>
                        <w:szCs w:val="28"/>
                      </w:rPr>
                      <w:t>24</w:t>
                    </w:r>
                  </w:p>
                  <w:p w14:paraId="6F4DFD68" w14:textId="77777777" w:rsidR="00967F61" w:rsidRPr="00000C35" w:rsidRDefault="00967F61">
                    <w:pPr>
                      <w:jc w:val="right"/>
                      <w:rPr>
                        <w:sz w:val="28"/>
                        <w:szCs w:val="28"/>
                      </w:rPr>
                    </w:pPr>
                    <w:r w:rsidRPr="00000C35">
                      <w:rPr>
                        <w:sz w:val="28"/>
                        <w:szCs w:val="28"/>
                      </w:rPr>
                      <w:t>25</w:t>
                    </w:r>
                  </w:p>
                  <w:p w14:paraId="1DFF66EF" w14:textId="77777777" w:rsidR="00967F61" w:rsidRPr="00000C35" w:rsidRDefault="00967F61">
                    <w:pPr>
                      <w:jc w:val="right"/>
                      <w:rPr>
                        <w:sz w:val="28"/>
                        <w:szCs w:val="28"/>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70B9" w14:textId="77777777" w:rsidR="00BB44A3" w:rsidRDefault="00BB4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3E8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814D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A73C0B"/>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9B4FD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8E2D02"/>
    <w:multiLevelType w:val="hybridMultilevel"/>
    <w:tmpl w:val="EF02DEEA"/>
    <w:lvl w:ilvl="0" w:tplc="EF82D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602D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D2776"/>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1B027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86E8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00428E"/>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E418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84C47"/>
    <w:multiLevelType w:val="hybridMultilevel"/>
    <w:tmpl w:val="88605894"/>
    <w:lvl w:ilvl="0" w:tplc="2A2661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224C33"/>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C372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1D38B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B0B5C52"/>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34F6FF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4351E1"/>
    <w:multiLevelType w:val="hybridMultilevel"/>
    <w:tmpl w:val="59184A4C"/>
    <w:lvl w:ilvl="0" w:tplc="E8BC27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AA85CA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7"/>
  </w:num>
  <w:num w:numId="3">
    <w:abstractNumId w:val="6"/>
  </w:num>
  <w:num w:numId="4">
    <w:abstractNumId w:val="11"/>
  </w:num>
  <w:num w:numId="5">
    <w:abstractNumId w:val="16"/>
  </w:num>
  <w:num w:numId="6">
    <w:abstractNumId w:val="18"/>
  </w:num>
  <w:num w:numId="7">
    <w:abstractNumId w:val="7"/>
  </w:num>
  <w:num w:numId="8">
    <w:abstractNumId w:val="32"/>
  </w:num>
  <w:num w:numId="9">
    <w:abstractNumId w:val="19"/>
  </w:num>
  <w:num w:numId="10">
    <w:abstractNumId w:val="24"/>
  </w:num>
  <w:num w:numId="11">
    <w:abstractNumId w:val="22"/>
  </w:num>
  <w:num w:numId="12">
    <w:abstractNumId w:val="13"/>
  </w:num>
  <w:num w:numId="13">
    <w:abstractNumId w:val="8"/>
  </w:num>
  <w:num w:numId="14">
    <w:abstractNumId w:val="10"/>
  </w:num>
  <w:num w:numId="15">
    <w:abstractNumId w:val="20"/>
  </w:num>
  <w:num w:numId="16">
    <w:abstractNumId w:val="30"/>
  </w:num>
  <w:num w:numId="17">
    <w:abstractNumId w:val="25"/>
  </w:num>
  <w:num w:numId="18">
    <w:abstractNumId w:val="4"/>
  </w:num>
  <w:num w:numId="19">
    <w:abstractNumId w:val="12"/>
  </w:num>
  <w:num w:numId="20">
    <w:abstractNumId w:val="31"/>
  </w:num>
  <w:num w:numId="21">
    <w:abstractNumId w:val="3"/>
  </w:num>
  <w:num w:numId="22">
    <w:abstractNumId w:val="23"/>
  </w:num>
  <w:num w:numId="23">
    <w:abstractNumId w:val="1"/>
  </w:num>
  <w:num w:numId="24">
    <w:abstractNumId w:val="15"/>
  </w:num>
  <w:num w:numId="25">
    <w:abstractNumId w:val="5"/>
  </w:num>
  <w:num w:numId="26">
    <w:abstractNumId w:val="21"/>
  </w:num>
  <w:num w:numId="27">
    <w:abstractNumId w:val="2"/>
  </w:num>
  <w:num w:numId="28">
    <w:abstractNumId w:val="29"/>
  </w:num>
  <w:num w:numId="29">
    <w:abstractNumId w:val="28"/>
  </w:num>
  <w:num w:numId="30">
    <w:abstractNumId w:val="9"/>
  </w:num>
  <w:num w:numId="31">
    <w:abstractNumId w:val="0"/>
  </w:num>
  <w:num w:numId="32">
    <w:abstractNumId w:val="1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501"/>
    <w:rsid w:val="00005824"/>
    <w:rsid w:val="00012531"/>
    <w:rsid w:val="00013CE0"/>
    <w:rsid w:val="0001511F"/>
    <w:rsid w:val="00025B19"/>
    <w:rsid w:val="00035056"/>
    <w:rsid w:val="000410B3"/>
    <w:rsid w:val="00043D4D"/>
    <w:rsid w:val="0004786F"/>
    <w:rsid w:val="00052372"/>
    <w:rsid w:val="00056CA0"/>
    <w:rsid w:val="0006397E"/>
    <w:rsid w:val="000666D1"/>
    <w:rsid w:val="00072E08"/>
    <w:rsid w:val="00076747"/>
    <w:rsid w:val="000829A0"/>
    <w:rsid w:val="000868BC"/>
    <w:rsid w:val="000917C0"/>
    <w:rsid w:val="000A1D6B"/>
    <w:rsid w:val="000A74DA"/>
    <w:rsid w:val="000C48A9"/>
    <w:rsid w:val="000C58DC"/>
    <w:rsid w:val="000D5D16"/>
    <w:rsid w:val="000D7E6C"/>
    <w:rsid w:val="000F54A9"/>
    <w:rsid w:val="000F690F"/>
    <w:rsid w:val="000F71D8"/>
    <w:rsid w:val="000F7A7F"/>
    <w:rsid w:val="000F7C13"/>
    <w:rsid w:val="001003C3"/>
    <w:rsid w:val="00116D61"/>
    <w:rsid w:val="00121755"/>
    <w:rsid w:val="0012408C"/>
    <w:rsid w:val="001242B6"/>
    <w:rsid w:val="00130F0A"/>
    <w:rsid w:val="00131578"/>
    <w:rsid w:val="001317E8"/>
    <w:rsid w:val="00133760"/>
    <w:rsid w:val="00134B99"/>
    <w:rsid w:val="00135326"/>
    <w:rsid w:val="00156D8F"/>
    <w:rsid w:val="00177417"/>
    <w:rsid w:val="0018360F"/>
    <w:rsid w:val="0019690A"/>
    <w:rsid w:val="001A0E99"/>
    <w:rsid w:val="001A2520"/>
    <w:rsid w:val="001A741A"/>
    <w:rsid w:val="001B054C"/>
    <w:rsid w:val="001B25E1"/>
    <w:rsid w:val="001C5E17"/>
    <w:rsid w:val="001D0AAA"/>
    <w:rsid w:val="001E6473"/>
    <w:rsid w:val="001F591C"/>
    <w:rsid w:val="00203A04"/>
    <w:rsid w:val="00213ABC"/>
    <w:rsid w:val="00245270"/>
    <w:rsid w:val="00262BE7"/>
    <w:rsid w:val="00267532"/>
    <w:rsid w:val="0027359D"/>
    <w:rsid w:val="00274D6A"/>
    <w:rsid w:val="00291360"/>
    <w:rsid w:val="00297773"/>
    <w:rsid w:val="002B0C94"/>
    <w:rsid w:val="002D2738"/>
    <w:rsid w:val="002D2E4D"/>
    <w:rsid w:val="002E6D70"/>
    <w:rsid w:val="003024C2"/>
    <w:rsid w:val="00303F08"/>
    <w:rsid w:val="00303F65"/>
    <w:rsid w:val="00305B80"/>
    <w:rsid w:val="00310879"/>
    <w:rsid w:val="003160E1"/>
    <w:rsid w:val="00326EAA"/>
    <w:rsid w:val="00327BB4"/>
    <w:rsid w:val="00331ECE"/>
    <w:rsid w:val="00341028"/>
    <w:rsid w:val="00352347"/>
    <w:rsid w:val="003566D6"/>
    <w:rsid w:val="00357F4D"/>
    <w:rsid w:val="003617D1"/>
    <w:rsid w:val="003617F7"/>
    <w:rsid w:val="00364150"/>
    <w:rsid w:val="0036551C"/>
    <w:rsid w:val="00366E79"/>
    <w:rsid w:val="003700EE"/>
    <w:rsid w:val="003755A5"/>
    <w:rsid w:val="00377199"/>
    <w:rsid w:val="00397E14"/>
    <w:rsid w:val="003A28AC"/>
    <w:rsid w:val="003B402A"/>
    <w:rsid w:val="003B5677"/>
    <w:rsid w:val="003B699A"/>
    <w:rsid w:val="003B706E"/>
    <w:rsid w:val="003C2FDA"/>
    <w:rsid w:val="003C33ED"/>
    <w:rsid w:val="003C4B1B"/>
    <w:rsid w:val="003D1B33"/>
    <w:rsid w:val="003E0C3A"/>
    <w:rsid w:val="003E6A88"/>
    <w:rsid w:val="00401FE1"/>
    <w:rsid w:val="00407E2D"/>
    <w:rsid w:val="00411ADD"/>
    <w:rsid w:val="00415FD2"/>
    <w:rsid w:val="00422F15"/>
    <w:rsid w:val="00427673"/>
    <w:rsid w:val="00431CB5"/>
    <w:rsid w:val="004331B2"/>
    <w:rsid w:val="00440E4C"/>
    <w:rsid w:val="00443C91"/>
    <w:rsid w:val="0044693C"/>
    <w:rsid w:val="00447944"/>
    <w:rsid w:val="00460947"/>
    <w:rsid w:val="00460E63"/>
    <w:rsid w:val="00463734"/>
    <w:rsid w:val="0046578F"/>
    <w:rsid w:val="004833CE"/>
    <w:rsid w:val="00484BAB"/>
    <w:rsid w:val="004918F5"/>
    <w:rsid w:val="004927FD"/>
    <w:rsid w:val="00492B42"/>
    <w:rsid w:val="00492F69"/>
    <w:rsid w:val="00494BDF"/>
    <w:rsid w:val="0049776A"/>
    <w:rsid w:val="00497CE7"/>
    <w:rsid w:val="004A7A9D"/>
    <w:rsid w:val="004B6016"/>
    <w:rsid w:val="004C1B73"/>
    <w:rsid w:val="004C3AE3"/>
    <w:rsid w:val="004D303F"/>
    <w:rsid w:val="004D6622"/>
    <w:rsid w:val="004D6C64"/>
    <w:rsid w:val="00504E1E"/>
    <w:rsid w:val="00504E81"/>
    <w:rsid w:val="00506803"/>
    <w:rsid w:val="00506859"/>
    <w:rsid w:val="005074BE"/>
    <w:rsid w:val="00510EAE"/>
    <w:rsid w:val="0051273D"/>
    <w:rsid w:val="00520F93"/>
    <w:rsid w:val="00522009"/>
    <w:rsid w:val="0052337B"/>
    <w:rsid w:val="00526087"/>
    <w:rsid w:val="005275CC"/>
    <w:rsid w:val="005303B6"/>
    <w:rsid w:val="00532975"/>
    <w:rsid w:val="00540770"/>
    <w:rsid w:val="00550D25"/>
    <w:rsid w:val="00564D07"/>
    <w:rsid w:val="00566856"/>
    <w:rsid w:val="00592FD8"/>
    <w:rsid w:val="00594E2D"/>
    <w:rsid w:val="005971F4"/>
    <w:rsid w:val="00597A0F"/>
    <w:rsid w:val="005A1A7A"/>
    <w:rsid w:val="005A21B0"/>
    <w:rsid w:val="005A5C62"/>
    <w:rsid w:val="005A6282"/>
    <w:rsid w:val="005B1356"/>
    <w:rsid w:val="005B2DC1"/>
    <w:rsid w:val="005B3B5D"/>
    <w:rsid w:val="005B5161"/>
    <w:rsid w:val="005C58BA"/>
    <w:rsid w:val="005C59C8"/>
    <w:rsid w:val="005D2AE2"/>
    <w:rsid w:val="005D598D"/>
    <w:rsid w:val="005D699A"/>
    <w:rsid w:val="005D6AD4"/>
    <w:rsid w:val="005D6E38"/>
    <w:rsid w:val="005F02F8"/>
    <w:rsid w:val="005F457C"/>
    <w:rsid w:val="006027AB"/>
    <w:rsid w:val="00621727"/>
    <w:rsid w:val="0062695B"/>
    <w:rsid w:val="00630F92"/>
    <w:rsid w:val="006338C1"/>
    <w:rsid w:val="00636F5E"/>
    <w:rsid w:val="00640CC4"/>
    <w:rsid w:val="006410A6"/>
    <w:rsid w:val="006435A1"/>
    <w:rsid w:val="00656EA2"/>
    <w:rsid w:val="00660556"/>
    <w:rsid w:val="00661732"/>
    <w:rsid w:val="00664CB9"/>
    <w:rsid w:val="00665CCF"/>
    <w:rsid w:val="006666D1"/>
    <w:rsid w:val="006721EC"/>
    <w:rsid w:val="00673192"/>
    <w:rsid w:val="00677063"/>
    <w:rsid w:val="00682EA7"/>
    <w:rsid w:val="006932BA"/>
    <w:rsid w:val="006957E9"/>
    <w:rsid w:val="006A1DDB"/>
    <w:rsid w:val="006B4F9A"/>
    <w:rsid w:val="006B65D1"/>
    <w:rsid w:val="006C1366"/>
    <w:rsid w:val="006C5CE4"/>
    <w:rsid w:val="006D6031"/>
    <w:rsid w:val="006F02BE"/>
    <w:rsid w:val="006F5ECA"/>
    <w:rsid w:val="006F63FD"/>
    <w:rsid w:val="006F7742"/>
    <w:rsid w:val="00703AE1"/>
    <w:rsid w:val="00722B0F"/>
    <w:rsid w:val="007265D8"/>
    <w:rsid w:val="00727D5D"/>
    <w:rsid w:val="00732169"/>
    <w:rsid w:val="007326C8"/>
    <w:rsid w:val="00735659"/>
    <w:rsid w:val="007361D0"/>
    <w:rsid w:val="00744130"/>
    <w:rsid w:val="0074796A"/>
    <w:rsid w:val="007479DC"/>
    <w:rsid w:val="00751E69"/>
    <w:rsid w:val="00752B4C"/>
    <w:rsid w:val="00753914"/>
    <w:rsid w:val="0075606F"/>
    <w:rsid w:val="00757E5B"/>
    <w:rsid w:val="007639B5"/>
    <w:rsid w:val="007658D4"/>
    <w:rsid w:val="0077110E"/>
    <w:rsid w:val="00775B02"/>
    <w:rsid w:val="007870CB"/>
    <w:rsid w:val="00790186"/>
    <w:rsid w:val="007A2140"/>
    <w:rsid w:val="007A24CC"/>
    <w:rsid w:val="007A3F0F"/>
    <w:rsid w:val="007B12B3"/>
    <w:rsid w:val="007B5BD9"/>
    <w:rsid w:val="007C4A3E"/>
    <w:rsid w:val="007D5C49"/>
    <w:rsid w:val="007D73FF"/>
    <w:rsid w:val="007F0A6F"/>
    <w:rsid w:val="008006ED"/>
    <w:rsid w:val="00806B52"/>
    <w:rsid w:val="0081185D"/>
    <w:rsid w:val="00814DCF"/>
    <w:rsid w:val="00822598"/>
    <w:rsid w:val="00822C54"/>
    <w:rsid w:val="0083469E"/>
    <w:rsid w:val="008360A1"/>
    <w:rsid w:val="0084227D"/>
    <w:rsid w:val="008540F9"/>
    <w:rsid w:val="00861563"/>
    <w:rsid w:val="00871AAA"/>
    <w:rsid w:val="00877C59"/>
    <w:rsid w:val="00891AAA"/>
    <w:rsid w:val="00893F7C"/>
    <w:rsid w:val="00896CBF"/>
    <w:rsid w:val="008B2BBE"/>
    <w:rsid w:val="008B31DD"/>
    <w:rsid w:val="008D6D4C"/>
    <w:rsid w:val="008E2626"/>
    <w:rsid w:val="008F64B4"/>
    <w:rsid w:val="008F67E6"/>
    <w:rsid w:val="00901A7B"/>
    <w:rsid w:val="00902557"/>
    <w:rsid w:val="00910EF5"/>
    <w:rsid w:val="009160E9"/>
    <w:rsid w:val="00933723"/>
    <w:rsid w:val="00933EA1"/>
    <w:rsid w:val="00945929"/>
    <w:rsid w:val="00947DB1"/>
    <w:rsid w:val="00950A62"/>
    <w:rsid w:val="00951416"/>
    <w:rsid w:val="00960D21"/>
    <w:rsid w:val="00967F61"/>
    <w:rsid w:val="00970A6F"/>
    <w:rsid w:val="00971F3A"/>
    <w:rsid w:val="00973225"/>
    <w:rsid w:val="00974566"/>
    <w:rsid w:val="00981D29"/>
    <w:rsid w:val="00981E11"/>
    <w:rsid w:val="00986498"/>
    <w:rsid w:val="009A647F"/>
    <w:rsid w:val="009C1CAA"/>
    <w:rsid w:val="009E153B"/>
    <w:rsid w:val="009F4B43"/>
    <w:rsid w:val="00A0595A"/>
    <w:rsid w:val="00A07874"/>
    <w:rsid w:val="00A11510"/>
    <w:rsid w:val="00A133C4"/>
    <w:rsid w:val="00A14B4F"/>
    <w:rsid w:val="00A1564B"/>
    <w:rsid w:val="00A262E1"/>
    <w:rsid w:val="00A27EB9"/>
    <w:rsid w:val="00A37211"/>
    <w:rsid w:val="00A4629B"/>
    <w:rsid w:val="00A50A82"/>
    <w:rsid w:val="00A5194F"/>
    <w:rsid w:val="00A57220"/>
    <w:rsid w:val="00A622FD"/>
    <w:rsid w:val="00A62C72"/>
    <w:rsid w:val="00A641B3"/>
    <w:rsid w:val="00A871D6"/>
    <w:rsid w:val="00A9545A"/>
    <w:rsid w:val="00AA768E"/>
    <w:rsid w:val="00AB1635"/>
    <w:rsid w:val="00AB401C"/>
    <w:rsid w:val="00AC5069"/>
    <w:rsid w:val="00AD4B21"/>
    <w:rsid w:val="00AD6948"/>
    <w:rsid w:val="00AD6AFE"/>
    <w:rsid w:val="00AE30C2"/>
    <w:rsid w:val="00AE75A0"/>
    <w:rsid w:val="00AE7AD3"/>
    <w:rsid w:val="00AF005F"/>
    <w:rsid w:val="00AF282C"/>
    <w:rsid w:val="00AF3FF7"/>
    <w:rsid w:val="00AF4649"/>
    <w:rsid w:val="00AF7028"/>
    <w:rsid w:val="00B02AF3"/>
    <w:rsid w:val="00B0715E"/>
    <w:rsid w:val="00B11617"/>
    <w:rsid w:val="00B12FD4"/>
    <w:rsid w:val="00B137E3"/>
    <w:rsid w:val="00B14571"/>
    <w:rsid w:val="00B1491D"/>
    <w:rsid w:val="00B1673F"/>
    <w:rsid w:val="00B3627A"/>
    <w:rsid w:val="00B41664"/>
    <w:rsid w:val="00B43995"/>
    <w:rsid w:val="00B47B7D"/>
    <w:rsid w:val="00B5499E"/>
    <w:rsid w:val="00B553CC"/>
    <w:rsid w:val="00B87B69"/>
    <w:rsid w:val="00B92950"/>
    <w:rsid w:val="00B92D7E"/>
    <w:rsid w:val="00BA0826"/>
    <w:rsid w:val="00BB44A3"/>
    <w:rsid w:val="00BB54FE"/>
    <w:rsid w:val="00BB5AD1"/>
    <w:rsid w:val="00BC0ABB"/>
    <w:rsid w:val="00BE758D"/>
    <w:rsid w:val="00BF0E36"/>
    <w:rsid w:val="00C03E0F"/>
    <w:rsid w:val="00C17C29"/>
    <w:rsid w:val="00C20779"/>
    <w:rsid w:val="00C20814"/>
    <w:rsid w:val="00C33B68"/>
    <w:rsid w:val="00C34AB4"/>
    <w:rsid w:val="00C35DE3"/>
    <w:rsid w:val="00C37715"/>
    <w:rsid w:val="00C42E3B"/>
    <w:rsid w:val="00C52778"/>
    <w:rsid w:val="00C52E56"/>
    <w:rsid w:val="00C5407A"/>
    <w:rsid w:val="00C662B0"/>
    <w:rsid w:val="00C7106E"/>
    <w:rsid w:val="00C74390"/>
    <w:rsid w:val="00C84FD4"/>
    <w:rsid w:val="00C958EE"/>
    <w:rsid w:val="00C96F75"/>
    <w:rsid w:val="00CA1515"/>
    <w:rsid w:val="00CC2E2B"/>
    <w:rsid w:val="00CD21FB"/>
    <w:rsid w:val="00CD4746"/>
    <w:rsid w:val="00CE6871"/>
    <w:rsid w:val="00CF7E14"/>
    <w:rsid w:val="00D0470C"/>
    <w:rsid w:val="00D05018"/>
    <w:rsid w:val="00D0655B"/>
    <w:rsid w:val="00D26733"/>
    <w:rsid w:val="00D2753B"/>
    <w:rsid w:val="00D41134"/>
    <w:rsid w:val="00D423FE"/>
    <w:rsid w:val="00D442E4"/>
    <w:rsid w:val="00D45473"/>
    <w:rsid w:val="00D4799C"/>
    <w:rsid w:val="00D513DC"/>
    <w:rsid w:val="00D51D03"/>
    <w:rsid w:val="00D6666E"/>
    <w:rsid w:val="00D706B1"/>
    <w:rsid w:val="00D70DC1"/>
    <w:rsid w:val="00D72D57"/>
    <w:rsid w:val="00D76C9A"/>
    <w:rsid w:val="00D80EDC"/>
    <w:rsid w:val="00D83D4E"/>
    <w:rsid w:val="00D95EA0"/>
    <w:rsid w:val="00DA2F45"/>
    <w:rsid w:val="00DC37EB"/>
    <w:rsid w:val="00DC4F14"/>
    <w:rsid w:val="00DD0E34"/>
    <w:rsid w:val="00DE52B9"/>
    <w:rsid w:val="00DE7701"/>
    <w:rsid w:val="00DF4F15"/>
    <w:rsid w:val="00E00AF4"/>
    <w:rsid w:val="00E0220D"/>
    <w:rsid w:val="00E047D3"/>
    <w:rsid w:val="00E21F02"/>
    <w:rsid w:val="00E22BA5"/>
    <w:rsid w:val="00E23326"/>
    <w:rsid w:val="00E2485C"/>
    <w:rsid w:val="00E266B7"/>
    <w:rsid w:val="00E321C5"/>
    <w:rsid w:val="00E37197"/>
    <w:rsid w:val="00E411DC"/>
    <w:rsid w:val="00E42028"/>
    <w:rsid w:val="00E43EC0"/>
    <w:rsid w:val="00E5475B"/>
    <w:rsid w:val="00E5772B"/>
    <w:rsid w:val="00E66FCC"/>
    <w:rsid w:val="00E67511"/>
    <w:rsid w:val="00E72823"/>
    <w:rsid w:val="00E734CC"/>
    <w:rsid w:val="00E7565F"/>
    <w:rsid w:val="00E82D0F"/>
    <w:rsid w:val="00E950B5"/>
    <w:rsid w:val="00EA2B76"/>
    <w:rsid w:val="00EA44EA"/>
    <w:rsid w:val="00EA57BF"/>
    <w:rsid w:val="00EB7FE0"/>
    <w:rsid w:val="00EC4CEE"/>
    <w:rsid w:val="00ED62C5"/>
    <w:rsid w:val="00EF175F"/>
    <w:rsid w:val="00EF31D8"/>
    <w:rsid w:val="00F05879"/>
    <w:rsid w:val="00F06F5B"/>
    <w:rsid w:val="00F115F7"/>
    <w:rsid w:val="00F22037"/>
    <w:rsid w:val="00F2485D"/>
    <w:rsid w:val="00F33926"/>
    <w:rsid w:val="00F423D9"/>
    <w:rsid w:val="00F54DF7"/>
    <w:rsid w:val="00F56C5C"/>
    <w:rsid w:val="00F60C61"/>
    <w:rsid w:val="00F64B52"/>
    <w:rsid w:val="00F66881"/>
    <w:rsid w:val="00F86C53"/>
    <w:rsid w:val="00FA177C"/>
    <w:rsid w:val="00FA2940"/>
    <w:rsid w:val="00FA711A"/>
    <w:rsid w:val="00FB0EF5"/>
    <w:rsid w:val="00FB5291"/>
    <w:rsid w:val="00FB5327"/>
    <w:rsid w:val="00FB615D"/>
    <w:rsid w:val="00FD0C85"/>
    <w:rsid w:val="00FD3D4E"/>
    <w:rsid w:val="00FD583A"/>
    <w:rsid w:val="00FE2A7E"/>
    <w:rsid w:val="00FE7BE7"/>
    <w:rsid w:val="00FF7399"/>
    <w:rsid w:val="00FF7AB4"/>
    <w:rsid w:val="00FF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19661"/>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NormalWeb">
    <w:name w:val="Normal (Web)"/>
    <w:basedOn w:val="Normal"/>
    <w:uiPriority w:val="99"/>
    <w:semiHidden/>
    <w:unhideWhenUsed/>
    <w:rsid w:val="006957E9"/>
    <w:pPr>
      <w:spacing w:before="100" w:beforeAutospacing="1" w:after="100" w:afterAutospacing="1" w:line="240" w:lineRule="auto"/>
    </w:pPr>
    <w:rPr>
      <w:sz w:val="24"/>
      <w:szCs w:val="24"/>
    </w:rPr>
  </w:style>
  <w:style w:type="character" w:styleId="UnresolvedMention">
    <w:name w:val="Unresolved Mention"/>
    <w:basedOn w:val="DefaultParagraphFont"/>
    <w:uiPriority w:val="99"/>
    <w:semiHidden/>
    <w:unhideWhenUsed/>
    <w:rsid w:val="00366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1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intiffmagazine.com/images/issues/2012/02-february/reprints/Chopra_Using-the-Internet-and-social-media-in-jury-selection_Plaintiff-magazine.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8" ma:contentTypeDescription="Create a new document." ma:contentTypeScope="" ma:versionID="c5e3fe85224c9ab247f2d48931da034f">
  <xsd:schema xmlns:xsd="http://www.w3.org/2001/XMLSchema" xmlns:xs="http://www.w3.org/2001/XMLSchema" xmlns:p="http://schemas.microsoft.com/office/2006/metadata/properties" xmlns:ns2="bf70374b-5ede-4d07-a6d4-3a8a64b98b0b" targetNamespace="http://schemas.microsoft.com/office/2006/metadata/properties" ma:root="true" ma:fieldsID="0bc16e4bba9fb977b648d87e3d141c4b" ns2:_="">
    <xsd:import namespace="bf70374b-5ede-4d07-a6d4-3a8a64b98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C178A-946C-48BB-BDCB-190A4ABA30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B8E41D-8967-4067-9C0A-157F8BEE91DA}">
  <ds:schemaRefs>
    <ds:schemaRef ds:uri="http://schemas.microsoft.com/sharepoint/v3/contenttype/forms"/>
  </ds:schemaRefs>
</ds:datastoreItem>
</file>

<file path=customXml/itemProps3.xml><?xml version="1.0" encoding="utf-8"?>
<ds:datastoreItem xmlns:ds="http://schemas.openxmlformats.org/officeDocument/2006/customXml" ds:itemID="{9C84B2ED-EC9B-4A79-BC5A-8306E6462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F5259-5C9D-4A83-AA98-04D91181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3</TotalTime>
  <Pages>7</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APAAC Shared</cp:lastModifiedBy>
  <cp:revision>3</cp:revision>
  <cp:lastPrinted>2019-03-07T21:19:00Z</cp:lastPrinted>
  <dcterms:created xsi:type="dcterms:W3CDTF">2019-03-18T18:24:00Z</dcterms:created>
  <dcterms:modified xsi:type="dcterms:W3CDTF">2019-03-18T20:31:00Z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ContentTypeId">
    <vt:lpwstr>0x0101009A6D02B0C4E2C1469C5472F9B6E92497</vt:lpwstr>
  </property>
</Properties>
</file>