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22106" w14:textId="4B57E9C5" w:rsidR="007F07D6" w:rsidRPr="001A7FC0" w:rsidRDefault="00E803FF" w:rsidP="00BD42D3">
      <w:pPr>
        <w:pStyle w:val="NoSpacing"/>
        <w:rPr>
          <w:rFonts w:asciiTheme="minorHAnsi" w:hAnsiTheme="minorHAnsi" w:cstheme="minorHAnsi"/>
        </w:rPr>
      </w:pPr>
      <w:r w:rsidRPr="001A7FC0">
        <w:rPr>
          <w:rFonts w:asciiTheme="minorHAnsi" w:hAnsiTheme="minorHAnsi" w:cstheme="minorHAnsi"/>
        </w:rPr>
        <w:t>February 22, 2019</w:t>
      </w:r>
    </w:p>
    <w:p w14:paraId="06AFF739" w14:textId="27ABF237" w:rsidR="00E803FF" w:rsidRPr="001A7FC0" w:rsidRDefault="00E803FF" w:rsidP="00BD42D3">
      <w:pPr>
        <w:pStyle w:val="NoSpacing"/>
        <w:rPr>
          <w:rFonts w:asciiTheme="minorHAnsi" w:hAnsiTheme="minorHAnsi" w:cstheme="minorHAnsi"/>
        </w:rPr>
      </w:pPr>
    </w:p>
    <w:p w14:paraId="192428EF" w14:textId="2306D3C3" w:rsidR="00E803FF" w:rsidRPr="001A7FC0" w:rsidRDefault="00E803FF" w:rsidP="00BD42D3">
      <w:pPr>
        <w:pStyle w:val="NoSpacing"/>
        <w:rPr>
          <w:rStyle w:val="Hyperlink"/>
          <w:rFonts w:asciiTheme="minorHAnsi" w:hAnsiTheme="minorHAnsi" w:cstheme="minorHAnsi"/>
          <w:color w:val="auto"/>
          <w:u w:val="none"/>
          <w:shd w:val="clear" w:color="auto" w:fill="FFFFFF"/>
        </w:rPr>
      </w:pPr>
      <w:bookmarkStart w:id="0" w:name="_Hlk1555921"/>
      <w:r w:rsidRPr="001A7FC0">
        <w:rPr>
          <w:rFonts w:asciiTheme="minorHAnsi" w:hAnsiTheme="minorHAnsi" w:cstheme="minorHAnsi"/>
          <w:color w:val="333333"/>
          <w:shd w:val="clear" w:color="auto" w:fill="FFFFFF"/>
        </w:rPr>
        <w:t>Hon. Joseph Welty, Chair </w:t>
      </w:r>
      <w:r w:rsidRPr="001A7FC0">
        <w:rPr>
          <w:rFonts w:asciiTheme="minorHAnsi" w:hAnsiTheme="minorHAnsi" w:cstheme="minorHAnsi"/>
          <w:color w:val="333333"/>
        </w:rPr>
        <w:br/>
      </w:r>
      <w:r w:rsidRPr="001A7FC0">
        <w:rPr>
          <w:rFonts w:asciiTheme="minorHAnsi" w:hAnsiTheme="minorHAnsi" w:cstheme="minorHAnsi"/>
          <w:color w:val="333333"/>
          <w:shd w:val="clear" w:color="auto" w:fill="FFFFFF"/>
        </w:rPr>
        <w:t>Task Force on Rule 32 of the Arizona Rules of Criminal Procedure </w:t>
      </w:r>
      <w:r w:rsidRPr="001A7FC0">
        <w:rPr>
          <w:rFonts w:asciiTheme="minorHAnsi" w:hAnsiTheme="minorHAnsi" w:cstheme="minorHAnsi"/>
          <w:color w:val="333333"/>
        </w:rPr>
        <w:br/>
      </w:r>
      <w:r w:rsidRPr="001A7FC0">
        <w:rPr>
          <w:rFonts w:asciiTheme="minorHAnsi" w:hAnsiTheme="minorHAnsi" w:cstheme="minorHAnsi"/>
          <w:color w:val="333333"/>
          <w:shd w:val="clear" w:color="auto" w:fill="FFFFFF"/>
        </w:rPr>
        <w:t>1501 West Washington Street, #410 </w:t>
      </w:r>
      <w:r w:rsidRPr="001A7FC0">
        <w:rPr>
          <w:rFonts w:asciiTheme="minorHAnsi" w:hAnsiTheme="minorHAnsi" w:cstheme="minorHAnsi"/>
          <w:color w:val="333333"/>
        </w:rPr>
        <w:br/>
      </w:r>
      <w:r w:rsidRPr="001A7FC0">
        <w:rPr>
          <w:rFonts w:asciiTheme="minorHAnsi" w:hAnsiTheme="minorHAnsi" w:cstheme="minorHAnsi"/>
          <w:color w:val="333333"/>
          <w:shd w:val="clear" w:color="auto" w:fill="FFFFFF"/>
        </w:rPr>
        <w:t>Phoenix AZ 85007 </w:t>
      </w:r>
      <w:r w:rsidRPr="001A7FC0">
        <w:rPr>
          <w:rFonts w:asciiTheme="minorHAnsi" w:hAnsiTheme="minorHAnsi" w:cstheme="minorHAnsi"/>
          <w:color w:val="333333"/>
        </w:rPr>
        <w:br/>
      </w:r>
      <w:r w:rsidRPr="001A7FC0">
        <w:rPr>
          <w:rFonts w:asciiTheme="minorHAnsi" w:hAnsiTheme="minorHAnsi" w:cstheme="minorHAnsi"/>
          <w:color w:val="333333"/>
          <w:shd w:val="clear" w:color="auto" w:fill="FFFFFF"/>
        </w:rPr>
        <w:t>602.452.3242 </w:t>
      </w:r>
      <w:r w:rsidRPr="001A7FC0">
        <w:rPr>
          <w:rFonts w:asciiTheme="minorHAnsi" w:hAnsiTheme="minorHAnsi" w:cstheme="minorHAnsi"/>
          <w:color w:val="333333"/>
        </w:rPr>
        <w:br/>
      </w:r>
      <w:hyperlink r:id="rId10" w:history="1">
        <w:r w:rsidRPr="001A7FC0">
          <w:rPr>
            <w:rStyle w:val="Hyperlink"/>
            <w:rFonts w:asciiTheme="minorHAnsi" w:hAnsiTheme="minorHAnsi" w:cstheme="minorHAnsi"/>
            <w:shd w:val="clear" w:color="auto" w:fill="FFFFFF"/>
          </w:rPr>
          <w:t>mmeltzer@courts.az.gov</w:t>
        </w:r>
      </w:hyperlink>
      <w:bookmarkEnd w:id="0"/>
    </w:p>
    <w:p w14:paraId="57F6A9DE" w14:textId="1BA564E6" w:rsidR="00E803FF" w:rsidRPr="001A7FC0" w:rsidRDefault="00E803FF" w:rsidP="00BD42D3">
      <w:pPr>
        <w:pStyle w:val="NoSpacing"/>
        <w:rPr>
          <w:rStyle w:val="Hyperlink"/>
          <w:rFonts w:asciiTheme="minorHAnsi" w:hAnsiTheme="minorHAnsi" w:cstheme="minorHAnsi"/>
          <w:color w:val="auto"/>
          <w:u w:val="none"/>
          <w:shd w:val="clear" w:color="auto" w:fill="FFFFFF"/>
        </w:rPr>
      </w:pPr>
    </w:p>
    <w:p w14:paraId="331C7DD5" w14:textId="3AE740C5" w:rsidR="00E803FF" w:rsidRPr="001A7FC0" w:rsidRDefault="00E803FF" w:rsidP="00BD42D3">
      <w:pPr>
        <w:pStyle w:val="NoSpacing"/>
        <w:rPr>
          <w:rStyle w:val="Hyperlink"/>
          <w:rFonts w:asciiTheme="minorHAnsi" w:hAnsiTheme="minorHAnsi" w:cstheme="minorHAnsi"/>
          <w:color w:val="auto"/>
          <w:u w:val="none"/>
          <w:shd w:val="clear" w:color="auto" w:fill="FFFFFF"/>
        </w:rPr>
      </w:pPr>
      <w:r w:rsidRPr="001A7FC0">
        <w:rPr>
          <w:rStyle w:val="Hyperlink"/>
          <w:rFonts w:asciiTheme="minorHAnsi" w:hAnsiTheme="minorHAnsi" w:cstheme="minorHAnsi"/>
          <w:color w:val="auto"/>
          <w:u w:val="none"/>
          <w:shd w:val="clear" w:color="auto" w:fill="FFFFFF"/>
        </w:rPr>
        <w:tab/>
      </w:r>
      <w:r w:rsidRPr="001A7FC0">
        <w:rPr>
          <w:rStyle w:val="Hyperlink"/>
          <w:rFonts w:asciiTheme="minorHAnsi" w:hAnsiTheme="minorHAnsi" w:cstheme="minorHAnsi"/>
          <w:color w:val="auto"/>
          <w:u w:val="none"/>
          <w:shd w:val="clear" w:color="auto" w:fill="FFFFFF"/>
        </w:rPr>
        <w:tab/>
        <w:t xml:space="preserve">Re: </w:t>
      </w:r>
      <w:r w:rsidR="00BD42D3" w:rsidRPr="001A7FC0">
        <w:rPr>
          <w:rStyle w:val="Hyperlink"/>
          <w:rFonts w:asciiTheme="minorHAnsi" w:hAnsiTheme="minorHAnsi" w:cstheme="minorHAnsi"/>
          <w:color w:val="auto"/>
          <w:u w:val="none"/>
          <w:shd w:val="clear" w:color="auto" w:fill="FFFFFF"/>
        </w:rPr>
        <w:t xml:space="preserve">Petition R-19-0012 - </w:t>
      </w:r>
      <w:r w:rsidRPr="001A7FC0">
        <w:rPr>
          <w:rStyle w:val="Hyperlink"/>
          <w:rFonts w:asciiTheme="minorHAnsi" w:hAnsiTheme="minorHAnsi" w:cstheme="minorHAnsi"/>
          <w:color w:val="auto"/>
          <w:u w:val="none"/>
          <w:shd w:val="clear" w:color="auto" w:fill="FFFFFF"/>
        </w:rPr>
        <w:t>Proposed Rules 32 and 33</w:t>
      </w:r>
    </w:p>
    <w:p w14:paraId="01457CA4" w14:textId="61CB5DD8" w:rsidR="00E803FF" w:rsidRPr="001A7FC0" w:rsidRDefault="00E803FF" w:rsidP="00BD42D3">
      <w:pPr>
        <w:pStyle w:val="NoSpacing"/>
        <w:rPr>
          <w:rStyle w:val="Hyperlink"/>
          <w:rFonts w:asciiTheme="minorHAnsi" w:hAnsiTheme="minorHAnsi" w:cstheme="minorHAnsi"/>
          <w:color w:val="auto"/>
          <w:u w:val="none"/>
          <w:shd w:val="clear" w:color="auto" w:fill="FFFFFF"/>
        </w:rPr>
      </w:pPr>
    </w:p>
    <w:p w14:paraId="51DBFF23" w14:textId="206D7732" w:rsidR="00E803FF" w:rsidRPr="001A7FC0" w:rsidRDefault="00E803FF" w:rsidP="00BD42D3">
      <w:pPr>
        <w:pStyle w:val="NoSpacing"/>
        <w:rPr>
          <w:rStyle w:val="Hyperlink"/>
          <w:rFonts w:asciiTheme="minorHAnsi" w:hAnsiTheme="minorHAnsi" w:cstheme="minorHAnsi"/>
          <w:color w:val="auto"/>
          <w:u w:val="none"/>
          <w:shd w:val="clear" w:color="auto" w:fill="FFFFFF"/>
        </w:rPr>
      </w:pPr>
      <w:r w:rsidRPr="001A7FC0">
        <w:rPr>
          <w:rStyle w:val="Hyperlink"/>
          <w:rFonts w:asciiTheme="minorHAnsi" w:hAnsiTheme="minorHAnsi" w:cstheme="minorHAnsi"/>
          <w:color w:val="auto"/>
          <w:u w:val="none"/>
          <w:shd w:val="clear" w:color="auto" w:fill="FFFFFF"/>
        </w:rPr>
        <w:t>Members of the Rule 32 Task Force:</w:t>
      </w:r>
    </w:p>
    <w:p w14:paraId="22827722" w14:textId="02210F26" w:rsidR="00E803FF" w:rsidRPr="001A7FC0" w:rsidRDefault="00E803FF" w:rsidP="00BD42D3">
      <w:pPr>
        <w:pStyle w:val="NoSpacing"/>
        <w:rPr>
          <w:rStyle w:val="Hyperlink"/>
          <w:rFonts w:asciiTheme="minorHAnsi" w:hAnsiTheme="minorHAnsi" w:cstheme="minorHAnsi"/>
          <w:color w:val="auto"/>
          <w:u w:val="none"/>
          <w:shd w:val="clear" w:color="auto" w:fill="FFFFFF"/>
        </w:rPr>
      </w:pPr>
    </w:p>
    <w:p w14:paraId="78B3EA19" w14:textId="29BAF95D"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 xml:space="preserve">We </w:t>
      </w:r>
      <w:r w:rsidR="00BD42D3" w:rsidRPr="001A7FC0">
        <w:rPr>
          <w:rFonts w:asciiTheme="minorHAnsi" w:hAnsiTheme="minorHAnsi" w:cstheme="minorHAnsi"/>
          <w:color w:val="333333"/>
          <w:shd w:val="clear" w:color="auto" w:fill="FFFFFF"/>
        </w:rPr>
        <w:t>write</w:t>
      </w:r>
      <w:r w:rsidRPr="001A7FC0">
        <w:rPr>
          <w:rFonts w:asciiTheme="minorHAnsi" w:hAnsiTheme="minorHAnsi" w:cstheme="minorHAnsi"/>
          <w:color w:val="333333"/>
          <w:shd w:val="clear" w:color="auto" w:fill="FFFFFF"/>
        </w:rPr>
        <w:t xml:space="preserve"> to comment on Petition No. R-19-0012 submitted by the Task Force on Rule 32 of the Arizona Rules of Criminal Procedure and to request that clarifying language be added to various proposed rule changes. While we recognize that the Task Force’s primary objective is to substantively overhaul Rule 32, we believe that the adoption of new rules is an opportune time to make clear various references in the rules that are otherwise subject to multiple interpretati</w:t>
      </w:r>
      <w:r w:rsidR="00BD42D3" w:rsidRPr="001A7FC0">
        <w:rPr>
          <w:rFonts w:asciiTheme="minorHAnsi" w:hAnsiTheme="minorHAnsi" w:cstheme="minorHAnsi"/>
          <w:color w:val="333333"/>
          <w:shd w:val="clear" w:color="auto" w:fill="FFFFFF"/>
        </w:rPr>
        <w:t>ons. T</w:t>
      </w:r>
      <w:r w:rsidRPr="001A7FC0">
        <w:rPr>
          <w:rFonts w:asciiTheme="minorHAnsi" w:hAnsiTheme="minorHAnsi" w:cstheme="minorHAnsi"/>
          <w:color w:val="333333"/>
          <w:shd w:val="clear" w:color="auto" w:fill="FFFFFF"/>
        </w:rPr>
        <w:t xml:space="preserve">his will result in less confusion about expected actions and relevant deadlines amongst counsel, </w:t>
      </w:r>
      <w:r w:rsidRPr="001A7FC0">
        <w:rPr>
          <w:rFonts w:asciiTheme="minorHAnsi" w:hAnsiTheme="minorHAnsi" w:cstheme="minorHAnsi"/>
          <w:i/>
          <w:color w:val="333333"/>
          <w:shd w:val="clear" w:color="auto" w:fill="FFFFFF"/>
        </w:rPr>
        <w:t>pro se</w:t>
      </w:r>
      <w:r w:rsidRPr="001A7FC0">
        <w:rPr>
          <w:rFonts w:asciiTheme="minorHAnsi" w:hAnsiTheme="minorHAnsi" w:cstheme="minorHAnsi"/>
          <w:color w:val="333333"/>
          <w:shd w:val="clear" w:color="auto" w:fill="FFFFFF"/>
        </w:rPr>
        <w:t xml:space="preserve"> defendants, and the courts.</w:t>
      </w:r>
    </w:p>
    <w:p w14:paraId="04FD1E7C" w14:textId="77777777" w:rsidR="00BD42D3" w:rsidRPr="001A7FC0" w:rsidRDefault="00BD42D3" w:rsidP="00BD42D3">
      <w:pPr>
        <w:pStyle w:val="NoSpacing"/>
        <w:rPr>
          <w:rFonts w:asciiTheme="minorHAnsi" w:hAnsiTheme="minorHAnsi" w:cstheme="minorHAnsi"/>
          <w:color w:val="333333"/>
          <w:shd w:val="clear" w:color="auto" w:fill="FFFFFF"/>
        </w:rPr>
      </w:pPr>
    </w:p>
    <w:p w14:paraId="2928B17A" w14:textId="7D872946" w:rsidR="00E803FF" w:rsidRPr="001A7FC0" w:rsidRDefault="00E803FF" w:rsidP="00BD42D3">
      <w:pPr>
        <w:pStyle w:val="NoSpacing"/>
        <w:rPr>
          <w:rFonts w:asciiTheme="minorHAnsi" w:hAnsiTheme="minorHAnsi" w:cstheme="minorHAnsi"/>
          <w:b/>
          <w:color w:val="333333"/>
          <w:u w:val="single"/>
          <w:shd w:val="clear" w:color="auto" w:fill="FFFFFF"/>
        </w:rPr>
      </w:pPr>
      <w:r w:rsidRPr="001A7FC0">
        <w:rPr>
          <w:rFonts w:asciiTheme="minorHAnsi" w:hAnsiTheme="minorHAnsi" w:cstheme="minorHAnsi"/>
          <w:b/>
          <w:color w:val="333333"/>
          <w:u w:val="single"/>
          <w:shd w:val="clear" w:color="auto" w:fill="FFFFFF"/>
        </w:rPr>
        <w:t>Proposed Rules 32.6(d) and 33.6(d)</w:t>
      </w:r>
    </w:p>
    <w:p w14:paraId="45476568" w14:textId="77777777" w:rsidR="00BD42D3" w:rsidRPr="001A7FC0" w:rsidRDefault="00BD42D3" w:rsidP="00BD42D3">
      <w:pPr>
        <w:pStyle w:val="NoSpacing"/>
        <w:rPr>
          <w:rFonts w:asciiTheme="minorHAnsi" w:hAnsiTheme="minorHAnsi" w:cstheme="minorHAnsi"/>
          <w:b/>
          <w:color w:val="333333"/>
          <w:u w:val="single"/>
          <w:shd w:val="clear" w:color="auto" w:fill="FFFFFF"/>
        </w:rPr>
      </w:pPr>
    </w:p>
    <w:p w14:paraId="192D5A7B" w14:textId="5F0A0DBD"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Proposed Rules 32.6(d) and 33.6(d) both provide:</w:t>
      </w:r>
    </w:p>
    <w:p w14:paraId="1FBDE607" w14:textId="77777777" w:rsidR="00BD42D3" w:rsidRPr="001A7FC0" w:rsidRDefault="00BD42D3" w:rsidP="00BD42D3">
      <w:pPr>
        <w:pStyle w:val="NoSpacing"/>
        <w:rPr>
          <w:rFonts w:asciiTheme="minorHAnsi" w:hAnsiTheme="minorHAnsi" w:cstheme="minorHAnsi"/>
          <w:color w:val="333333"/>
          <w:shd w:val="clear" w:color="auto" w:fill="FFFFFF"/>
        </w:rPr>
      </w:pPr>
    </w:p>
    <w:p w14:paraId="7BF4ED42" w14:textId="2739A2B9" w:rsidR="00E803FF" w:rsidRPr="001A7FC0" w:rsidRDefault="00E803FF" w:rsidP="00BD42D3">
      <w:pPr>
        <w:pStyle w:val="NoSpacing"/>
        <w:ind w:left="720" w:right="720"/>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 xml:space="preserve">Defendant’s </w:t>
      </w:r>
      <w:r w:rsidRPr="001A7FC0">
        <w:rPr>
          <w:rFonts w:asciiTheme="minorHAnsi" w:hAnsiTheme="minorHAnsi" w:cstheme="minorHAnsi"/>
          <w:i/>
          <w:color w:val="333333"/>
          <w:shd w:val="clear" w:color="auto" w:fill="FFFFFF"/>
        </w:rPr>
        <w:t>Pro Se</w:t>
      </w:r>
      <w:r w:rsidRPr="001A7FC0">
        <w:rPr>
          <w:rFonts w:asciiTheme="minorHAnsi" w:hAnsiTheme="minorHAnsi" w:cstheme="minorHAnsi"/>
          <w:color w:val="333333"/>
          <w:shd w:val="clear" w:color="auto" w:fill="FFFFFF"/>
        </w:rPr>
        <w:t xml:space="preserve"> Petition. Upon receipt of counsel’s notice under section (c), the defendant may file a petition on his or her own behalf. The court may extend the time for the defendant to file that petition by 45 days from the date counsel filed the notice. The court may grant additional extensions only on a showing of extraordinary circumstances.</w:t>
      </w:r>
    </w:p>
    <w:p w14:paraId="692464A7" w14:textId="77777777" w:rsidR="004828AD" w:rsidRPr="001A7FC0" w:rsidRDefault="004828AD" w:rsidP="00BD42D3">
      <w:pPr>
        <w:pStyle w:val="NoSpacing"/>
        <w:ind w:left="720" w:right="720"/>
        <w:rPr>
          <w:rFonts w:asciiTheme="minorHAnsi" w:hAnsiTheme="minorHAnsi" w:cstheme="minorHAnsi"/>
          <w:color w:val="333333"/>
          <w:shd w:val="clear" w:color="auto" w:fill="FFFFFF"/>
        </w:rPr>
      </w:pPr>
    </w:p>
    <w:p w14:paraId="22603C47" w14:textId="7C77F51B" w:rsidR="00E803FF" w:rsidRPr="001A7FC0" w:rsidRDefault="00B47564" w:rsidP="00B47564">
      <w:pPr>
        <w:pStyle w:val="NoSpacing"/>
        <w:rPr>
          <w:rFonts w:asciiTheme="minorHAnsi" w:hAnsiTheme="minorHAnsi" w:cstheme="minorHAnsi"/>
          <w:color w:val="212121"/>
          <w:shd w:val="clear" w:color="auto" w:fill="FFFFFF"/>
        </w:rPr>
      </w:pPr>
      <w:r w:rsidRPr="001A7FC0">
        <w:rPr>
          <w:rFonts w:asciiTheme="minorHAnsi" w:hAnsiTheme="minorHAnsi" w:cstheme="minorHAnsi"/>
          <w:color w:val="212121"/>
          <w:shd w:val="clear" w:color="auto" w:fill="FFFFFF"/>
        </w:rPr>
        <w:t>Although the language of the Proposed Rules is similar to current Rule 32.4(d)(2)(B), the revisions make the rules ambiguous. Under the Proposed Rules, the extension of time for the defendant to file a petition is discretionary and the time to file the petition in the absence of an extension is unclear. A discretionary “extension” is problematic.</w:t>
      </w:r>
    </w:p>
    <w:p w14:paraId="468B5F81" w14:textId="77777777" w:rsidR="004A7475" w:rsidRPr="001A7FC0" w:rsidRDefault="004A7475" w:rsidP="004A7475">
      <w:pPr>
        <w:pStyle w:val="NoSpacing"/>
        <w:ind w:left="720" w:right="720"/>
        <w:rPr>
          <w:rFonts w:asciiTheme="minorHAnsi" w:hAnsiTheme="minorHAnsi" w:cstheme="minorHAnsi"/>
          <w:color w:val="212121"/>
          <w:shd w:val="clear" w:color="auto" w:fill="FFFFFF"/>
        </w:rPr>
      </w:pPr>
    </w:p>
    <w:p w14:paraId="60F5218B" w14:textId="77777777" w:rsidR="00E803FF" w:rsidRPr="001A7FC0" w:rsidRDefault="00E803FF" w:rsidP="00BD42D3">
      <w:pPr>
        <w:pStyle w:val="NoSpacing"/>
        <w:rPr>
          <w:rFonts w:asciiTheme="minorHAnsi" w:hAnsiTheme="minorHAnsi" w:cstheme="minorHAnsi"/>
          <w:color w:val="212121"/>
          <w:shd w:val="clear" w:color="auto" w:fill="FFFFFF"/>
        </w:rPr>
      </w:pPr>
      <w:r w:rsidRPr="001A7FC0">
        <w:rPr>
          <w:rFonts w:asciiTheme="minorHAnsi" w:hAnsiTheme="minorHAnsi" w:cstheme="minorHAnsi"/>
          <w:color w:val="212121"/>
          <w:shd w:val="clear" w:color="auto" w:fill="FFFFFF"/>
        </w:rPr>
        <w:t>Accordingly, we suggest that Proposed Rules 32.6(d) and 33.6(d) be modified to state:</w:t>
      </w:r>
    </w:p>
    <w:p w14:paraId="0A14A080" w14:textId="77777777" w:rsidR="00B47564" w:rsidRPr="001A7FC0" w:rsidRDefault="00B47564" w:rsidP="00BD42D3">
      <w:pPr>
        <w:pStyle w:val="NoSpacing"/>
        <w:rPr>
          <w:rFonts w:asciiTheme="minorHAnsi" w:hAnsiTheme="minorHAnsi" w:cstheme="minorHAnsi"/>
          <w:color w:val="212121"/>
          <w:shd w:val="clear" w:color="auto" w:fill="FFFFFF"/>
        </w:rPr>
      </w:pPr>
    </w:p>
    <w:p w14:paraId="3714C2B7" w14:textId="47CEC267" w:rsidR="00E803FF" w:rsidRPr="001A7FC0" w:rsidRDefault="00E803FF" w:rsidP="00B47564">
      <w:pPr>
        <w:pStyle w:val="NoSpacing"/>
        <w:ind w:left="720" w:right="720"/>
        <w:rPr>
          <w:rFonts w:asciiTheme="minorHAnsi" w:hAnsiTheme="minorHAnsi" w:cstheme="minorHAnsi"/>
          <w:i/>
          <w:color w:val="212121"/>
          <w:shd w:val="clear" w:color="auto" w:fill="FFFFFF"/>
        </w:rPr>
      </w:pPr>
      <w:r w:rsidRPr="001A7FC0">
        <w:rPr>
          <w:rFonts w:asciiTheme="minorHAnsi" w:hAnsiTheme="minorHAnsi" w:cstheme="minorHAnsi"/>
          <w:i/>
          <w:color w:val="212121"/>
          <w:shd w:val="clear" w:color="auto" w:fill="FFFFFF"/>
        </w:rPr>
        <w:t>Defendant’s Pro Se Petition. Upon the filing of counsel’s notice of no colorable</w:t>
      </w:r>
      <w:r w:rsidRPr="001A7FC0">
        <w:rPr>
          <w:rFonts w:asciiTheme="minorHAnsi" w:hAnsiTheme="minorHAnsi" w:cstheme="minorHAnsi"/>
          <w:i/>
          <w:color w:val="212121"/>
          <w:u w:val="single"/>
          <w:shd w:val="clear" w:color="auto" w:fill="FFFFFF"/>
        </w:rPr>
        <w:t xml:space="preserve"> </w:t>
      </w:r>
      <w:r w:rsidRPr="001A7FC0">
        <w:rPr>
          <w:rFonts w:asciiTheme="minorHAnsi" w:hAnsiTheme="minorHAnsi" w:cstheme="minorHAnsi"/>
          <w:i/>
          <w:color w:val="212121"/>
          <w:shd w:val="clear" w:color="auto" w:fill="FFFFFF"/>
        </w:rPr>
        <w:t>claim under subsection (c), the court m</w:t>
      </w:r>
      <w:r w:rsidR="00B47564" w:rsidRPr="001A7FC0">
        <w:rPr>
          <w:rFonts w:asciiTheme="minorHAnsi" w:hAnsiTheme="minorHAnsi" w:cstheme="minorHAnsi"/>
          <w:i/>
          <w:color w:val="212121"/>
          <w:shd w:val="clear" w:color="auto" w:fill="FFFFFF"/>
        </w:rPr>
        <w:t>ay</w:t>
      </w:r>
      <w:r w:rsidRPr="001A7FC0">
        <w:rPr>
          <w:rFonts w:asciiTheme="minorHAnsi" w:hAnsiTheme="minorHAnsi" w:cstheme="minorHAnsi"/>
          <w:i/>
          <w:color w:val="212121"/>
          <w:shd w:val="clear" w:color="auto" w:fill="FFFFFF"/>
        </w:rPr>
        <w:t xml:space="preserve"> allow the defendant to file a petition on his or her own behalf</w:t>
      </w:r>
      <w:r w:rsidR="00B47564" w:rsidRPr="001A7FC0">
        <w:rPr>
          <w:rFonts w:asciiTheme="minorHAnsi" w:hAnsiTheme="minorHAnsi" w:cstheme="minorHAnsi"/>
          <w:i/>
          <w:color w:val="212121"/>
          <w:shd w:val="clear" w:color="auto" w:fill="FFFFFF"/>
        </w:rPr>
        <w:t>. The time for defendant to file the petition is within 45 days after the date counsel has</w:t>
      </w:r>
      <w:r w:rsidRPr="001A7FC0">
        <w:rPr>
          <w:rFonts w:asciiTheme="minorHAnsi" w:hAnsiTheme="minorHAnsi" w:cstheme="minorHAnsi"/>
          <w:i/>
          <w:color w:val="212121"/>
          <w:shd w:val="clear" w:color="auto" w:fill="FFFFFF"/>
        </w:rPr>
        <w:t xml:space="preserve"> filed the notice. The court may grant additional extensions only on a showing of extraordinary circumstances.</w:t>
      </w:r>
    </w:p>
    <w:p w14:paraId="6753EB84" w14:textId="77777777" w:rsidR="004A7475" w:rsidRPr="001A7FC0" w:rsidRDefault="004A7475" w:rsidP="00BD42D3">
      <w:pPr>
        <w:pStyle w:val="NoSpacing"/>
        <w:rPr>
          <w:rFonts w:asciiTheme="minorHAnsi" w:hAnsiTheme="minorHAnsi" w:cstheme="minorHAnsi"/>
          <w:color w:val="212121"/>
          <w:shd w:val="clear" w:color="auto" w:fill="FFFFFF"/>
        </w:rPr>
      </w:pPr>
    </w:p>
    <w:p w14:paraId="52ABA4EA" w14:textId="77777777" w:rsidR="00F0783A" w:rsidRDefault="00F0783A" w:rsidP="00BD42D3">
      <w:pPr>
        <w:pStyle w:val="NoSpacing"/>
        <w:rPr>
          <w:rFonts w:asciiTheme="minorHAnsi" w:hAnsiTheme="minorHAnsi" w:cstheme="minorHAnsi"/>
          <w:b/>
          <w:color w:val="212121"/>
          <w:u w:val="single"/>
          <w:shd w:val="clear" w:color="auto" w:fill="FFFFFF"/>
        </w:rPr>
      </w:pPr>
    </w:p>
    <w:p w14:paraId="13AACDB5" w14:textId="77777777" w:rsidR="00F0783A" w:rsidRDefault="00F0783A" w:rsidP="00BD42D3">
      <w:pPr>
        <w:pStyle w:val="NoSpacing"/>
        <w:rPr>
          <w:rFonts w:asciiTheme="minorHAnsi" w:hAnsiTheme="minorHAnsi" w:cstheme="minorHAnsi"/>
          <w:b/>
          <w:color w:val="212121"/>
          <w:u w:val="single"/>
          <w:shd w:val="clear" w:color="auto" w:fill="FFFFFF"/>
        </w:rPr>
      </w:pPr>
    </w:p>
    <w:p w14:paraId="327EAB91" w14:textId="1DE274E2" w:rsidR="00E803FF" w:rsidRPr="001A7FC0" w:rsidRDefault="00E803FF" w:rsidP="00BD42D3">
      <w:pPr>
        <w:pStyle w:val="NoSpacing"/>
        <w:rPr>
          <w:rFonts w:asciiTheme="minorHAnsi" w:hAnsiTheme="minorHAnsi" w:cstheme="minorHAnsi"/>
          <w:color w:val="212121"/>
          <w:shd w:val="clear" w:color="auto" w:fill="FFFFFF"/>
        </w:rPr>
      </w:pPr>
      <w:r w:rsidRPr="001A7FC0">
        <w:rPr>
          <w:rFonts w:asciiTheme="minorHAnsi" w:hAnsiTheme="minorHAnsi" w:cstheme="minorHAnsi"/>
          <w:b/>
          <w:color w:val="212121"/>
          <w:u w:val="single"/>
          <w:shd w:val="clear" w:color="auto" w:fill="FFFFFF"/>
        </w:rPr>
        <w:lastRenderedPageBreak/>
        <w:t>Other Rules Clarification</w:t>
      </w:r>
      <w:r w:rsidR="004A7475" w:rsidRPr="001A7FC0">
        <w:rPr>
          <w:rFonts w:asciiTheme="minorHAnsi" w:hAnsiTheme="minorHAnsi" w:cstheme="minorHAnsi"/>
          <w:b/>
          <w:color w:val="212121"/>
          <w:u w:val="single"/>
          <w:shd w:val="clear" w:color="auto" w:fill="FFFFFF"/>
        </w:rPr>
        <w:t>s</w:t>
      </w:r>
    </w:p>
    <w:p w14:paraId="0D54AD68" w14:textId="77777777" w:rsidR="004A7475" w:rsidRPr="001A7FC0" w:rsidRDefault="004A7475" w:rsidP="00BD42D3">
      <w:pPr>
        <w:pStyle w:val="NoSpacing"/>
        <w:rPr>
          <w:rFonts w:asciiTheme="minorHAnsi" w:hAnsiTheme="minorHAnsi" w:cstheme="minorHAnsi"/>
          <w:color w:val="212121"/>
          <w:shd w:val="clear" w:color="auto" w:fill="FFFFFF"/>
        </w:rPr>
      </w:pPr>
    </w:p>
    <w:p w14:paraId="40889F49" w14:textId="209A13E3" w:rsidR="00E803FF" w:rsidRPr="001A7FC0" w:rsidRDefault="00E803FF" w:rsidP="00BD42D3">
      <w:pPr>
        <w:pStyle w:val="NoSpacing"/>
        <w:rPr>
          <w:rFonts w:asciiTheme="minorHAnsi" w:hAnsiTheme="minorHAnsi" w:cstheme="minorHAnsi"/>
          <w:color w:val="212121"/>
          <w:shd w:val="clear" w:color="auto" w:fill="FFFFFF"/>
        </w:rPr>
      </w:pPr>
      <w:r w:rsidRPr="001A7FC0">
        <w:rPr>
          <w:rFonts w:asciiTheme="minorHAnsi" w:hAnsiTheme="minorHAnsi" w:cstheme="minorHAnsi"/>
          <w:color w:val="212121"/>
          <w:shd w:val="clear" w:color="auto" w:fill="FFFFFF"/>
        </w:rPr>
        <w:t>There are a number of instances where we believe the Proposed Rules would benefit from additional language to make the rule unambiguous.</w:t>
      </w:r>
    </w:p>
    <w:p w14:paraId="51F9B75E" w14:textId="77777777" w:rsidR="004A7475" w:rsidRPr="001A7FC0" w:rsidRDefault="004A7475" w:rsidP="00BD42D3">
      <w:pPr>
        <w:pStyle w:val="NoSpacing"/>
        <w:rPr>
          <w:rFonts w:asciiTheme="minorHAnsi" w:hAnsiTheme="minorHAnsi" w:cstheme="minorHAnsi"/>
          <w:color w:val="212121"/>
          <w:shd w:val="clear" w:color="auto" w:fill="FFFFFF"/>
        </w:rPr>
      </w:pPr>
    </w:p>
    <w:p w14:paraId="5453838B" w14:textId="77777777" w:rsidR="00E803FF" w:rsidRPr="001A7FC0" w:rsidRDefault="00E803FF" w:rsidP="004A7475">
      <w:pPr>
        <w:pStyle w:val="NoSpacing"/>
        <w:ind w:firstLine="720"/>
        <w:rPr>
          <w:rFonts w:asciiTheme="minorHAnsi" w:hAnsiTheme="minorHAnsi" w:cstheme="minorHAnsi"/>
          <w:b/>
          <w:color w:val="333333"/>
          <w:shd w:val="clear" w:color="auto" w:fill="FFFFFF"/>
        </w:rPr>
      </w:pPr>
      <w:r w:rsidRPr="001A7FC0">
        <w:rPr>
          <w:rFonts w:asciiTheme="minorHAnsi" w:hAnsiTheme="minorHAnsi" w:cstheme="minorHAnsi"/>
          <w:b/>
          <w:color w:val="333333"/>
          <w:u w:val="single"/>
          <w:shd w:val="clear" w:color="auto" w:fill="FFFFFF"/>
        </w:rPr>
        <w:t>Deadlines Based on Manner of Transmittal of Documents</w:t>
      </w:r>
    </w:p>
    <w:p w14:paraId="35A41D74" w14:textId="77777777" w:rsidR="004A7475" w:rsidRPr="001A7FC0" w:rsidRDefault="004A7475" w:rsidP="00BD42D3">
      <w:pPr>
        <w:pStyle w:val="NoSpacing"/>
        <w:rPr>
          <w:rFonts w:asciiTheme="minorHAnsi" w:hAnsiTheme="minorHAnsi" w:cstheme="minorHAnsi"/>
          <w:color w:val="333333"/>
          <w:shd w:val="clear" w:color="auto" w:fill="FFFFFF"/>
        </w:rPr>
      </w:pPr>
    </w:p>
    <w:p w14:paraId="22EA450A" w14:textId="740AC07B" w:rsidR="00E803FF" w:rsidRPr="001A7FC0" w:rsidRDefault="00E803FF" w:rsidP="004A7475">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Several of the Proposed Rules are ambiguous as to the meaning of the manner of transmittal of documents that triggers a deadline for a party to act.</w:t>
      </w:r>
    </w:p>
    <w:p w14:paraId="5B872A9D" w14:textId="77777777" w:rsidR="004A7475" w:rsidRPr="001A7FC0" w:rsidRDefault="004A7475" w:rsidP="004A7475">
      <w:pPr>
        <w:pStyle w:val="NoSpacing"/>
        <w:rPr>
          <w:rFonts w:asciiTheme="minorHAnsi" w:hAnsiTheme="minorHAnsi" w:cstheme="minorHAnsi"/>
          <w:color w:val="333333"/>
          <w:shd w:val="clear" w:color="auto" w:fill="FFFFFF"/>
        </w:rPr>
      </w:pPr>
    </w:p>
    <w:p w14:paraId="1067466F" w14:textId="6B7AB3A8" w:rsidR="00E803FF" w:rsidRPr="001A7FC0" w:rsidRDefault="00E803FF" w:rsidP="00BD42D3">
      <w:pPr>
        <w:pStyle w:val="NoSpacing"/>
        <w:rPr>
          <w:rFonts w:asciiTheme="minorHAnsi" w:hAnsiTheme="minorHAnsi" w:cstheme="minorHAnsi"/>
          <w:color w:val="212121"/>
          <w:shd w:val="clear" w:color="auto" w:fill="FFFFFF"/>
        </w:rPr>
      </w:pPr>
      <w:r w:rsidRPr="001A7FC0">
        <w:rPr>
          <w:rFonts w:asciiTheme="minorHAnsi" w:hAnsiTheme="minorHAnsi" w:cstheme="minorHAnsi"/>
          <w:color w:val="212121"/>
          <w:shd w:val="clear" w:color="auto" w:fill="FFFFFF"/>
        </w:rPr>
        <w:t>For example, Proposed Rules 32.7(f) and 33.7(f) each provides:</w:t>
      </w:r>
    </w:p>
    <w:p w14:paraId="5D4B2014" w14:textId="77777777" w:rsidR="004A7475" w:rsidRPr="001A7FC0" w:rsidRDefault="004A7475" w:rsidP="00BD42D3">
      <w:pPr>
        <w:pStyle w:val="NoSpacing"/>
        <w:rPr>
          <w:rFonts w:asciiTheme="minorHAnsi" w:hAnsiTheme="minorHAnsi" w:cstheme="minorHAnsi"/>
          <w:color w:val="212121"/>
          <w:shd w:val="clear" w:color="auto" w:fill="FFFFFF"/>
        </w:rPr>
      </w:pPr>
    </w:p>
    <w:p w14:paraId="6505D3D5" w14:textId="77777777" w:rsidR="00E803FF" w:rsidRPr="001A7FC0" w:rsidRDefault="00E803FF" w:rsidP="004A7475">
      <w:pPr>
        <w:pStyle w:val="NoSpacing"/>
        <w:ind w:left="720" w:right="720"/>
        <w:rPr>
          <w:rFonts w:asciiTheme="minorHAnsi" w:hAnsiTheme="minorHAnsi" w:cstheme="minorHAnsi"/>
          <w:color w:val="212121"/>
          <w:shd w:val="clear" w:color="auto" w:fill="FFFFFF"/>
        </w:rPr>
      </w:pPr>
      <w:r w:rsidRPr="001A7FC0">
        <w:rPr>
          <w:rFonts w:asciiTheme="minorHAnsi" w:hAnsiTheme="minorHAnsi" w:cstheme="minorHAnsi"/>
          <w:color w:val="212121"/>
          <w:shd w:val="clear" w:color="auto" w:fill="FFFFFF"/>
        </w:rPr>
        <w:t xml:space="preserve">Effect of Non-Compliance. The court will return to the defendant any petition that fails to comply with this rule, with an order specifying how the petition fails to comply. The defendant has 40 days after that order is entered to revise the petition to comply with this rule, and </w:t>
      </w:r>
      <w:r w:rsidRPr="001A7FC0">
        <w:rPr>
          <w:rFonts w:asciiTheme="minorHAnsi" w:hAnsiTheme="minorHAnsi" w:cstheme="minorHAnsi"/>
          <w:color w:val="212121"/>
          <w:u w:val="single"/>
          <w:shd w:val="clear" w:color="auto" w:fill="FFFFFF"/>
        </w:rPr>
        <w:t>to return it to the court for refiling. If the defendant does not return the petition within 40 days</w:t>
      </w:r>
      <w:r w:rsidRPr="001A7FC0">
        <w:rPr>
          <w:rFonts w:asciiTheme="minorHAnsi" w:hAnsiTheme="minorHAnsi" w:cstheme="minorHAnsi"/>
          <w:color w:val="212121"/>
          <w:shd w:val="clear" w:color="auto" w:fill="FFFFFF"/>
        </w:rPr>
        <w:t>, the court may dismiss the proceeding with prejudice. The State’s time to respond to a refiled petition begins on the date of refiling. [Emphasis added.]</w:t>
      </w:r>
    </w:p>
    <w:p w14:paraId="11C67E5F" w14:textId="77777777" w:rsidR="004A7475" w:rsidRPr="001A7FC0" w:rsidRDefault="004A7475" w:rsidP="00BD42D3">
      <w:pPr>
        <w:pStyle w:val="NoSpacing"/>
        <w:rPr>
          <w:rFonts w:asciiTheme="minorHAnsi" w:hAnsiTheme="minorHAnsi" w:cstheme="minorHAnsi"/>
          <w:color w:val="212121"/>
          <w:shd w:val="clear" w:color="auto" w:fill="FFFFFF"/>
        </w:rPr>
      </w:pPr>
    </w:p>
    <w:p w14:paraId="2B9C8578" w14:textId="6B0E74CB" w:rsidR="00E803FF" w:rsidRPr="001A7FC0" w:rsidRDefault="00E803FF" w:rsidP="00BD42D3">
      <w:pPr>
        <w:pStyle w:val="NoSpacing"/>
        <w:rPr>
          <w:rFonts w:asciiTheme="minorHAnsi" w:hAnsiTheme="minorHAnsi" w:cstheme="minorHAnsi"/>
          <w:color w:val="212121"/>
          <w:shd w:val="clear" w:color="auto" w:fill="FFFFFF"/>
        </w:rPr>
      </w:pPr>
      <w:r w:rsidRPr="001A7FC0">
        <w:rPr>
          <w:rFonts w:asciiTheme="minorHAnsi" w:hAnsiTheme="minorHAnsi" w:cstheme="minorHAnsi"/>
          <w:color w:val="212121"/>
          <w:shd w:val="clear" w:color="auto" w:fill="FFFFFF"/>
        </w:rPr>
        <w:t>Does a defendant “return” the petition when he or she mails it to the court, or must the court actually receive the petition within 40 days? Since a defendant’s failure to meet the deadline could result in the severe consequence of dismissal with prejudice, we respectfully suggest that the rules would be clearer if they stated, for example, that the revised petition must be submitted electronically to the clerk’s office within 40 days, or that the court must receive the petition within 40 days.</w:t>
      </w:r>
    </w:p>
    <w:p w14:paraId="77C72063" w14:textId="77777777" w:rsidR="004A7475" w:rsidRPr="001A7FC0" w:rsidRDefault="004A7475" w:rsidP="00BD42D3">
      <w:pPr>
        <w:pStyle w:val="NoSpacing"/>
        <w:rPr>
          <w:rFonts w:asciiTheme="minorHAnsi" w:hAnsiTheme="minorHAnsi" w:cstheme="minorHAnsi"/>
          <w:color w:val="212121"/>
          <w:shd w:val="clear" w:color="auto" w:fill="FFFFFF"/>
        </w:rPr>
      </w:pPr>
    </w:p>
    <w:p w14:paraId="2EB9266F" w14:textId="2D3265AF"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212121"/>
          <w:shd w:val="clear" w:color="auto" w:fill="FFFFFF"/>
        </w:rPr>
        <w:t xml:space="preserve">Similarly, </w:t>
      </w:r>
      <w:r w:rsidRPr="001A7FC0">
        <w:rPr>
          <w:rFonts w:asciiTheme="minorHAnsi" w:hAnsiTheme="minorHAnsi" w:cstheme="minorHAnsi"/>
          <w:color w:val="333333"/>
          <w:shd w:val="clear" w:color="auto" w:fill="FFFFFF"/>
        </w:rPr>
        <w:t>Proposed Rule 32.15 provides:</w:t>
      </w:r>
    </w:p>
    <w:p w14:paraId="0173BDD3" w14:textId="77777777" w:rsidR="004A7475" w:rsidRPr="001A7FC0" w:rsidRDefault="004A7475" w:rsidP="00BD42D3">
      <w:pPr>
        <w:pStyle w:val="NoSpacing"/>
        <w:rPr>
          <w:rFonts w:asciiTheme="minorHAnsi" w:hAnsiTheme="minorHAnsi" w:cstheme="minorHAnsi"/>
          <w:color w:val="333333"/>
          <w:shd w:val="clear" w:color="auto" w:fill="FFFFFF"/>
        </w:rPr>
      </w:pPr>
    </w:p>
    <w:p w14:paraId="0C433808" w14:textId="05DAC229" w:rsidR="004A7475" w:rsidRPr="001A7FC0" w:rsidRDefault="00E803FF" w:rsidP="004A7475">
      <w:pPr>
        <w:pStyle w:val="NoSpacing"/>
        <w:ind w:left="720" w:right="720"/>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 xml:space="preserve">If an appeal of a defendant’s conviction or sentence is pending, the defendant’s counsel or the defendant, if self-represented, must </w:t>
      </w:r>
      <w:r w:rsidRPr="001A7FC0">
        <w:rPr>
          <w:rFonts w:asciiTheme="minorHAnsi" w:hAnsiTheme="minorHAnsi" w:cstheme="minorHAnsi"/>
          <w:color w:val="333333"/>
          <w:u w:val="single"/>
          <w:shd w:val="clear" w:color="auto" w:fill="FFFFFF"/>
        </w:rPr>
        <w:t>send to the appellate court</w:t>
      </w:r>
      <w:r w:rsidRPr="001A7FC0">
        <w:rPr>
          <w:rFonts w:asciiTheme="minorHAnsi" w:hAnsiTheme="minorHAnsi" w:cstheme="minorHAnsi"/>
          <w:color w:val="333333"/>
          <w:shd w:val="clear" w:color="auto" w:fill="FFFFFF"/>
        </w:rPr>
        <w:t xml:space="preserve"> within 10 days after the ruling is filed any trial court rulings granting or denying relief on the defendant’s notice or petition for post-conviction relief, or any motion for rehearing. [Emphasis added.]</w:t>
      </w:r>
    </w:p>
    <w:p w14:paraId="345751EC" w14:textId="77777777" w:rsidR="00FC0416" w:rsidRPr="001A7FC0" w:rsidRDefault="00FC0416" w:rsidP="004A7475">
      <w:pPr>
        <w:pStyle w:val="NoSpacing"/>
        <w:ind w:left="720" w:right="720"/>
        <w:rPr>
          <w:rFonts w:asciiTheme="minorHAnsi" w:hAnsiTheme="minorHAnsi" w:cstheme="minorHAnsi"/>
          <w:color w:val="333333"/>
          <w:shd w:val="clear" w:color="auto" w:fill="FFFFFF"/>
        </w:rPr>
      </w:pPr>
    </w:p>
    <w:p w14:paraId="0E64AD08" w14:textId="14EE98F6"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It might be prudent to clarify what exactly needs to be done by the 10 day deadline. For example, does “send” encompass simply mailing by the 10th day? Must the document(s) be submitted to the appellate court by the 10th day? We also note that Proposed Rule 33.15 uses the more specific “must file in the appellate court”.  Accordingly, we suggest that Proposed Rule 32.15 be modified to provide that, within 10 days, the items must be “filed with the appellate court”.</w:t>
      </w:r>
    </w:p>
    <w:p w14:paraId="206EE11F" w14:textId="58BF2E3D" w:rsidR="00FC0416" w:rsidRPr="001A7FC0" w:rsidRDefault="00FC0416" w:rsidP="00BD42D3">
      <w:pPr>
        <w:pStyle w:val="NoSpacing"/>
        <w:rPr>
          <w:rFonts w:asciiTheme="minorHAnsi" w:hAnsiTheme="minorHAnsi" w:cstheme="minorHAnsi"/>
          <w:color w:val="333333"/>
          <w:shd w:val="clear" w:color="auto" w:fill="FFFFFF"/>
        </w:rPr>
      </w:pPr>
    </w:p>
    <w:p w14:paraId="474EB3C5" w14:textId="20373902" w:rsidR="00E803FF" w:rsidRPr="001A7FC0" w:rsidRDefault="00E803FF" w:rsidP="004A7475">
      <w:pPr>
        <w:pStyle w:val="NoSpacing"/>
        <w:ind w:firstLine="720"/>
        <w:rPr>
          <w:rFonts w:asciiTheme="minorHAnsi" w:hAnsiTheme="minorHAnsi" w:cstheme="minorHAnsi"/>
          <w:b/>
          <w:color w:val="333333"/>
          <w:u w:val="single"/>
          <w:shd w:val="clear" w:color="auto" w:fill="FFFFFF"/>
        </w:rPr>
      </w:pPr>
      <w:r w:rsidRPr="001A7FC0">
        <w:rPr>
          <w:rFonts w:asciiTheme="minorHAnsi" w:hAnsiTheme="minorHAnsi" w:cstheme="minorHAnsi"/>
          <w:b/>
          <w:color w:val="333333"/>
          <w:u w:val="single"/>
          <w:shd w:val="clear" w:color="auto" w:fill="FFFFFF"/>
        </w:rPr>
        <w:t>Lack of Specificity of the Terms “Notice” and “Petition”</w:t>
      </w:r>
    </w:p>
    <w:p w14:paraId="0192D7D3" w14:textId="77777777" w:rsidR="004A7475" w:rsidRPr="001A7FC0" w:rsidRDefault="004A7475" w:rsidP="004A7475">
      <w:pPr>
        <w:pStyle w:val="NoSpacing"/>
        <w:ind w:firstLine="720"/>
        <w:rPr>
          <w:rFonts w:asciiTheme="minorHAnsi" w:hAnsiTheme="minorHAnsi" w:cstheme="minorHAnsi"/>
          <w:b/>
          <w:color w:val="333333"/>
          <w:shd w:val="clear" w:color="auto" w:fill="FFFFFF"/>
        </w:rPr>
      </w:pPr>
    </w:p>
    <w:p w14:paraId="31535852" w14:textId="62B7105D"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 xml:space="preserve">There are also a number of Proposed Rules that refer simply to a “notice” or “petition” without specifying the exact document. Given that the rules apply to </w:t>
      </w:r>
      <w:r w:rsidRPr="001A7FC0">
        <w:rPr>
          <w:rFonts w:asciiTheme="minorHAnsi" w:hAnsiTheme="minorHAnsi" w:cstheme="minorHAnsi"/>
          <w:i/>
          <w:color w:val="333333"/>
          <w:shd w:val="clear" w:color="auto" w:fill="FFFFFF"/>
        </w:rPr>
        <w:t xml:space="preserve">pro </w:t>
      </w:r>
      <w:r w:rsidRPr="001A7FC0">
        <w:rPr>
          <w:rFonts w:asciiTheme="minorHAnsi" w:hAnsiTheme="minorHAnsi" w:cstheme="minorHAnsi"/>
          <w:color w:val="333333"/>
          <w:shd w:val="clear" w:color="auto" w:fill="FFFFFF"/>
        </w:rPr>
        <w:t xml:space="preserve">se defendants and counsel who may not be as familiar with the rules as those who use them regularly, we suggest the Proposed Rules add </w:t>
      </w:r>
      <w:r w:rsidRPr="001A7FC0">
        <w:rPr>
          <w:rFonts w:asciiTheme="minorHAnsi" w:hAnsiTheme="minorHAnsi" w:cstheme="minorHAnsi"/>
          <w:color w:val="333333"/>
          <w:shd w:val="clear" w:color="auto" w:fill="FFFFFF"/>
        </w:rPr>
        <w:lastRenderedPageBreak/>
        <w:t>the full description of the document to avoid any confusion. We provide the following  two examples for your reference (our suggested language is bracketed in red).</w:t>
      </w:r>
    </w:p>
    <w:p w14:paraId="1AAB5031" w14:textId="77777777" w:rsidR="004A7475" w:rsidRPr="001A7FC0" w:rsidRDefault="004A7475" w:rsidP="00BD42D3">
      <w:pPr>
        <w:pStyle w:val="NoSpacing"/>
        <w:rPr>
          <w:rFonts w:asciiTheme="minorHAnsi" w:hAnsiTheme="minorHAnsi" w:cstheme="minorHAnsi"/>
          <w:color w:val="333333"/>
          <w:shd w:val="clear" w:color="auto" w:fill="FFFFFF"/>
        </w:rPr>
      </w:pPr>
    </w:p>
    <w:p w14:paraId="65700DC4" w14:textId="77777777"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Proposed Rule 32.7(a)(1)(A)(ii) could state:</w:t>
      </w:r>
    </w:p>
    <w:p w14:paraId="08846296" w14:textId="77777777" w:rsidR="004A7475" w:rsidRPr="001A7FC0" w:rsidRDefault="004A7475" w:rsidP="00BD42D3">
      <w:pPr>
        <w:pStyle w:val="NoSpacing"/>
        <w:rPr>
          <w:rFonts w:asciiTheme="minorHAnsi" w:hAnsiTheme="minorHAnsi" w:cstheme="minorHAnsi"/>
        </w:rPr>
      </w:pPr>
    </w:p>
    <w:p w14:paraId="16CCF917" w14:textId="0ECF0AA6" w:rsidR="00E803FF" w:rsidRPr="001A7FC0" w:rsidRDefault="00E803FF" w:rsidP="004A7475">
      <w:pPr>
        <w:pStyle w:val="NoSpacing"/>
        <w:ind w:left="720" w:right="720"/>
        <w:rPr>
          <w:rFonts w:asciiTheme="minorHAnsi" w:hAnsiTheme="minorHAnsi" w:cstheme="minorHAnsi"/>
        </w:rPr>
      </w:pPr>
      <w:r w:rsidRPr="001A7FC0">
        <w:rPr>
          <w:rFonts w:asciiTheme="minorHAnsi" w:hAnsiTheme="minorHAnsi" w:cstheme="minorHAnsi"/>
        </w:rPr>
        <w:t xml:space="preserve">A self-represented defendant must file a petition no later than 60 days after the notice </w:t>
      </w:r>
      <w:r w:rsidRPr="001A7FC0">
        <w:rPr>
          <w:rFonts w:asciiTheme="minorHAnsi" w:hAnsiTheme="minorHAnsi" w:cstheme="minorHAnsi"/>
          <w:color w:val="FF0000"/>
        </w:rPr>
        <w:t xml:space="preserve">[of request for post-conviction relief] </w:t>
      </w:r>
      <w:r w:rsidRPr="001A7FC0">
        <w:rPr>
          <w:rFonts w:asciiTheme="minorHAnsi" w:hAnsiTheme="minorHAnsi" w:cstheme="minorHAnsi"/>
        </w:rPr>
        <w:t>is filed or the court denies the defendant's request for appointed counsel, whichever is later.</w:t>
      </w:r>
    </w:p>
    <w:p w14:paraId="37D84D15" w14:textId="77777777" w:rsidR="004A7475" w:rsidRPr="001A7FC0" w:rsidRDefault="004A7475" w:rsidP="004A7475">
      <w:pPr>
        <w:pStyle w:val="NoSpacing"/>
        <w:ind w:left="720" w:right="720"/>
        <w:rPr>
          <w:rFonts w:asciiTheme="minorHAnsi" w:hAnsiTheme="minorHAnsi" w:cstheme="minorHAnsi"/>
        </w:rPr>
      </w:pPr>
    </w:p>
    <w:p w14:paraId="507C9583" w14:textId="77777777" w:rsidR="00E803FF" w:rsidRPr="001A7FC0" w:rsidRDefault="00E803FF" w:rsidP="00BD42D3">
      <w:pPr>
        <w:pStyle w:val="NoSpacing"/>
        <w:rPr>
          <w:rFonts w:asciiTheme="minorHAnsi" w:hAnsiTheme="minorHAnsi" w:cstheme="minorHAnsi"/>
        </w:rPr>
      </w:pPr>
      <w:r w:rsidRPr="001A7FC0">
        <w:rPr>
          <w:rFonts w:asciiTheme="minorHAnsi" w:hAnsiTheme="minorHAnsi" w:cstheme="minorHAnsi"/>
        </w:rPr>
        <w:t>Similarly, RCRP 32.13(e) would provide:</w:t>
      </w:r>
    </w:p>
    <w:p w14:paraId="5680983B" w14:textId="77777777" w:rsidR="00E803FF" w:rsidRPr="001A7FC0" w:rsidRDefault="00E803FF" w:rsidP="00BD42D3">
      <w:pPr>
        <w:pStyle w:val="NoSpacing"/>
        <w:rPr>
          <w:rFonts w:asciiTheme="minorHAnsi" w:hAnsiTheme="minorHAnsi" w:cstheme="minorHAnsi"/>
        </w:rPr>
      </w:pPr>
      <w:r w:rsidRPr="001A7FC0">
        <w:rPr>
          <w:rFonts w:asciiTheme="minorHAnsi" w:hAnsiTheme="minorHAnsi" w:cstheme="minorHAnsi"/>
        </w:rPr>
        <w:t xml:space="preserve"> </w:t>
      </w:r>
    </w:p>
    <w:p w14:paraId="1E5D00E1" w14:textId="77777777" w:rsidR="00E803FF" w:rsidRPr="001A7FC0" w:rsidRDefault="00E803FF" w:rsidP="004A7475">
      <w:pPr>
        <w:pStyle w:val="NoSpacing"/>
        <w:ind w:left="720" w:right="720"/>
        <w:rPr>
          <w:rFonts w:asciiTheme="minorHAnsi" w:hAnsiTheme="minorHAnsi" w:cstheme="minorHAnsi"/>
        </w:rPr>
      </w:pPr>
      <w:r w:rsidRPr="001A7FC0">
        <w:rPr>
          <w:rFonts w:asciiTheme="minorHAnsi" w:hAnsiTheme="minorHAnsi" w:cstheme="minorHAnsi"/>
        </w:rPr>
        <w:t>On a party's request, the court must order the preparation of a</w:t>
      </w:r>
    </w:p>
    <w:p w14:paraId="70F76B5C" w14:textId="77777777" w:rsidR="00E803FF" w:rsidRPr="001A7FC0" w:rsidRDefault="00E803FF" w:rsidP="004A7475">
      <w:pPr>
        <w:pStyle w:val="NoSpacing"/>
        <w:ind w:left="720" w:right="720"/>
        <w:rPr>
          <w:rFonts w:asciiTheme="minorHAnsi" w:hAnsiTheme="minorHAnsi" w:cstheme="minorHAnsi"/>
        </w:rPr>
      </w:pPr>
      <w:r w:rsidRPr="001A7FC0">
        <w:rPr>
          <w:rFonts w:asciiTheme="minorHAnsi" w:hAnsiTheme="minorHAnsi" w:cstheme="minorHAnsi"/>
        </w:rPr>
        <w:t>certified transcript of the evidentiary hearing. The request must be made within</w:t>
      </w:r>
    </w:p>
    <w:p w14:paraId="1FD529D7" w14:textId="23FBB068" w:rsidR="00E803FF" w:rsidRPr="001A7FC0" w:rsidRDefault="00E803FF" w:rsidP="004A7475">
      <w:pPr>
        <w:pStyle w:val="NoSpacing"/>
        <w:ind w:left="720" w:right="720"/>
        <w:rPr>
          <w:rFonts w:asciiTheme="minorHAnsi" w:hAnsiTheme="minorHAnsi" w:cstheme="minorHAnsi"/>
        </w:rPr>
      </w:pPr>
      <w:r w:rsidRPr="001A7FC0">
        <w:rPr>
          <w:rFonts w:asciiTheme="minorHAnsi" w:hAnsiTheme="minorHAnsi" w:cstheme="minorHAnsi"/>
        </w:rPr>
        <w:t xml:space="preserve">the time allowed for filing a petition for review </w:t>
      </w:r>
      <w:r w:rsidRPr="001A7FC0">
        <w:rPr>
          <w:rFonts w:asciiTheme="minorHAnsi" w:hAnsiTheme="minorHAnsi" w:cstheme="minorHAnsi"/>
          <w:color w:val="FF0000"/>
        </w:rPr>
        <w:t>[of decision on petition for post-conviction relief under Rule 32.16]</w:t>
      </w:r>
      <w:r w:rsidRPr="001A7FC0">
        <w:rPr>
          <w:rFonts w:asciiTheme="minorHAnsi" w:hAnsiTheme="minorHAnsi" w:cstheme="minorHAnsi"/>
        </w:rPr>
        <w:t>. If the defendant is indigent,</w:t>
      </w:r>
      <w:r w:rsidR="004A7475" w:rsidRPr="001A7FC0">
        <w:rPr>
          <w:rFonts w:asciiTheme="minorHAnsi" w:hAnsiTheme="minorHAnsi" w:cstheme="minorHAnsi"/>
        </w:rPr>
        <w:t xml:space="preserve"> </w:t>
      </w:r>
      <w:r w:rsidRPr="001A7FC0">
        <w:rPr>
          <w:rFonts w:asciiTheme="minorHAnsi" w:hAnsiTheme="minorHAnsi" w:cstheme="minorHAnsi"/>
        </w:rPr>
        <w:t>preparation of the evidentiary hearing transcript will be at county expense.</w:t>
      </w:r>
    </w:p>
    <w:p w14:paraId="08CF80EB" w14:textId="77777777" w:rsidR="004A7475" w:rsidRPr="001A7FC0" w:rsidRDefault="004A7475" w:rsidP="004A7475">
      <w:pPr>
        <w:pStyle w:val="NoSpacing"/>
        <w:ind w:left="720" w:right="720"/>
        <w:rPr>
          <w:rFonts w:asciiTheme="minorHAnsi" w:hAnsiTheme="minorHAnsi" w:cstheme="minorHAnsi"/>
          <w:color w:val="333333"/>
          <w:shd w:val="clear" w:color="auto" w:fill="FFFFFF"/>
        </w:rPr>
      </w:pPr>
    </w:p>
    <w:p w14:paraId="0CF69F11" w14:textId="4506DED3" w:rsidR="00F841A5" w:rsidRPr="001A7FC0" w:rsidRDefault="00F841A5"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b/>
          <w:color w:val="333333"/>
          <w:u w:val="single"/>
          <w:shd w:val="clear" w:color="auto" w:fill="FFFFFF"/>
        </w:rPr>
        <w:t>Miscellaneous</w:t>
      </w:r>
    </w:p>
    <w:p w14:paraId="13CDA0D4" w14:textId="77777777" w:rsidR="00F841A5" w:rsidRPr="001A7FC0" w:rsidRDefault="00F841A5" w:rsidP="00BD42D3">
      <w:pPr>
        <w:pStyle w:val="NoSpacing"/>
        <w:rPr>
          <w:rFonts w:asciiTheme="minorHAnsi" w:hAnsiTheme="minorHAnsi" w:cstheme="minorHAnsi"/>
          <w:color w:val="333333"/>
          <w:shd w:val="clear" w:color="auto" w:fill="FFFFFF"/>
        </w:rPr>
      </w:pPr>
    </w:p>
    <w:p w14:paraId="4FB2EC14" w14:textId="09AB397C" w:rsidR="00E803FF" w:rsidRPr="001A7FC0" w:rsidRDefault="00F841A5"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W</w:t>
      </w:r>
      <w:r w:rsidR="00E803FF" w:rsidRPr="001A7FC0">
        <w:rPr>
          <w:rFonts w:asciiTheme="minorHAnsi" w:hAnsiTheme="minorHAnsi" w:cstheme="minorHAnsi"/>
          <w:color w:val="333333"/>
          <w:shd w:val="clear" w:color="auto" w:fill="FFFFFF"/>
        </w:rPr>
        <w:t>e would like to also bring to your attention to two “scrivener’s errors” in the proposed rules.</w:t>
      </w:r>
    </w:p>
    <w:p w14:paraId="205F1EF4" w14:textId="77777777" w:rsidR="004A7475" w:rsidRPr="001A7FC0" w:rsidRDefault="004A7475" w:rsidP="00BD42D3">
      <w:pPr>
        <w:pStyle w:val="NoSpacing"/>
        <w:rPr>
          <w:rFonts w:asciiTheme="minorHAnsi" w:hAnsiTheme="minorHAnsi" w:cstheme="minorHAnsi"/>
          <w:color w:val="333333"/>
          <w:shd w:val="clear" w:color="auto" w:fill="FFFFFF"/>
        </w:rPr>
      </w:pPr>
    </w:p>
    <w:p w14:paraId="1E17A657" w14:textId="7C333F18" w:rsidR="00E803FF" w:rsidRPr="001A7FC0" w:rsidRDefault="00E803FF" w:rsidP="00BD42D3">
      <w:pPr>
        <w:pStyle w:val="NoSpacing"/>
        <w:rPr>
          <w:rFonts w:asciiTheme="minorHAnsi" w:hAnsiTheme="minorHAnsi" w:cstheme="minorHAnsi"/>
        </w:rPr>
      </w:pPr>
      <w:r w:rsidRPr="001A7FC0">
        <w:rPr>
          <w:rFonts w:asciiTheme="minorHAnsi" w:hAnsiTheme="minorHAnsi" w:cstheme="minorHAnsi"/>
          <w:color w:val="333333"/>
          <w:shd w:val="clear" w:color="auto" w:fill="FFFFFF"/>
        </w:rPr>
        <w:t xml:space="preserve">With respect to Proposed Rule 32.16(f), we note that subdivision (g) provides that “Rule 31.3(d) governs the computation of any appellate court deadline in this rule.” </w:t>
      </w:r>
      <w:r w:rsidRPr="001A7FC0">
        <w:rPr>
          <w:rFonts w:asciiTheme="minorHAnsi" w:hAnsiTheme="minorHAnsi" w:cstheme="minorHAnsi"/>
        </w:rPr>
        <w:t>Thus, there is no need to make the same statement in 31.3(f)(1)(A). Further, including this provision in 31.3(f)(1)(A) and not including it in 31.3(f)(3) may lead to confusion.</w:t>
      </w:r>
    </w:p>
    <w:p w14:paraId="55086E5C" w14:textId="77777777" w:rsidR="004A7475" w:rsidRPr="001A7FC0" w:rsidRDefault="004A7475" w:rsidP="00BD42D3">
      <w:pPr>
        <w:pStyle w:val="NoSpacing"/>
        <w:rPr>
          <w:rFonts w:asciiTheme="minorHAnsi" w:hAnsiTheme="minorHAnsi" w:cstheme="minorHAnsi"/>
        </w:rPr>
      </w:pPr>
    </w:p>
    <w:p w14:paraId="0C5520BD" w14:textId="7D614E92" w:rsidR="00E803FF" w:rsidRPr="001A7FC0" w:rsidRDefault="00E803FF" w:rsidP="00BD42D3">
      <w:pPr>
        <w:pStyle w:val="NoSpacing"/>
        <w:rPr>
          <w:rFonts w:asciiTheme="minorHAnsi" w:hAnsiTheme="minorHAnsi" w:cstheme="minorHAnsi"/>
          <w:color w:val="333333"/>
          <w:shd w:val="clear" w:color="auto" w:fill="FFFFFF"/>
        </w:rPr>
      </w:pPr>
      <w:r w:rsidRPr="001A7FC0">
        <w:rPr>
          <w:rFonts w:asciiTheme="minorHAnsi" w:hAnsiTheme="minorHAnsi" w:cstheme="minorHAnsi"/>
          <w:color w:val="333333"/>
          <w:shd w:val="clear" w:color="auto" w:fill="FFFFFF"/>
        </w:rPr>
        <w:t>Proposed Rule 32.7(a)(2)(C) states in the last sentence: “</w:t>
      </w:r>
      <w:r w:rsidRPr="001A7FC0">
        <w:rPr>
          <w:rFonts w:asciiTheme="minorHAnsi" w:hAnsiTheme="minorHAnsi" w:cstheme="minorHAnsi"/>
          <w:color w:val="333333"/>
          <w:u w:val="single"/>
          <w:shd w:val="clear" w:color="auto" w:fill="FFFFFF"/>
        </w:rPr>
        <w:t>For good cause</w:t>
      </w:r>
      <w:r w:rsidRPr="001A7FC0">
        <w:rPr>
          <w:rFonts w:asciiTheme="minorHAnsi" w:hAnsiTheme="minorHAnsi" w:cstheme="minorHAnsi"/>
          <w:color w:val="333333"/>
          <w:shd w:val="clear" w:color="auto" w:fill="FFFFFF"/>
        </w:rPr>
        <w:t xml:space="preserve"> and after considering the rights of the victim, the court may grant additional extensions </w:t>
      </w:r>
      <w:r w:rsidRPr="001A7FC0">
        <w:rPr>
          <w:rFonts w:asciiTheme="minorHAnsi" w:hAnsiTheme="minorHAnsi" w:cstheme="minorHAnsi"/>
          <w:color w:val="333333"/>
          <w:u w:val="single"/>
          <w:shd w:val="clear" w:color="auto" w:fill="FFFFFF"/>
        </w:rPr>
        <w:t>for good cause</w:t>
      </w:r>
      <w:r w:rsidRPr="001A7FC0">
        <w:rPr>
          <w:rFonts w:asciiTheme="minorHAnsi" w:hAnsiTheme="minorHAnsi" w:cstheme="minorHAnsi"/>
          <w:color w:val="333333"/>
          <w:shd w:val="clear" w:color="auto" w:fill="FFFFFF"/>
        </w:rPr>
        <w:t>.”  We believe the redundancy may have been unintentional.</w:t>
      </w:r>
    </w:p>
    <w:p w14:paraId="19102496" w14:textId="1B58578D" w:rsidR="00F841A5" w:rsidRPr="001A7FC0" w:rsidRDefault="00F841A5" w:rsidP="00BD42D3">
      <w:pPr>
        <w:pStyle w:val="NoSpacing"/>
        <w:rPr>
          <w:rFonts w:asciiTheme="minorHAnsi" w:hAnsiTheme="minorHAnsi" w:cstheme="minorHAnsi"/>
          <w:color w:val="333333"/>
          <w:shd w:val="clear" w:color="auto" w:fill="FFFFFF"/>
        </w:rPr>
      </w:pPr>
    </w:p>
    <w:p w14:paraId="2D715BF8" w14:textId="61773962" w:rsidR="002E294C" w:rsidRPr="001A7FC0" w:rsidRDefault="00E803FF" w:rsidP="002E294C">
      <w:pPr>
        <w:pStyle w:val="NoSpacing"/>
        <w:rPr>
          <w:rFonts w:asciiTheme="minorHAnsi" w:hAnsiTheme="minorHAnsi" w:cstheme="minorHAnsi"/>
        </w:rPr>
      </w:pPr>
      <w:r w:rsidRPr="001A7FC0">
        <w:rPr>
          <w:rFonts w:asciiTheme="minorHAnsi" w:hAnsiTheme="minorHAnsi" w:cstheme="minorHAnsi"/>
        </w:rPr>
        <w:t>Thank you for your time and consideration.</w:t>
      </w:r>
    </w:p>
    <w:p w14:paraId="35E13D8B" w14:textId="1D02C847" w:rsidR="002E294C" w:rsidRPr="001A7FC0" w:rsidRDefault="002E294C" w:rsidP="002E294C">
      <w:pPr>
        <w:pStyle w:val="NoSpacing"/>
        <w:rPr>
          <w:rFonts w:asciiTheme="minorHAnsi" w:hAnsiTheme="minorHAnsi" w:cstheme="minorHAnsi"/>
        </w:rPr>
      </w:pPr>
    </w:p>
    <w:p w14:paraId="0ECA09E9" w14:textId="0988D178" w:rsidR="002E294C" w:rsidRPr="001A7FC0" w:rsidRDefault="007E1543" w:rsidP="002E294C">
      <w:pPr>
        <w:pStyle w:val="NoSpacing"/>
        <w:rPr>
          <w:rFonts w:asciiTheme="minorHAnsi" w:hAnsiTheme="minorHAnsi" w:cstheme="minorHAnsi"/>
        </w:rPr>
      </w:pPr>
      <w:r w:rsidRPr="001A7FC0">
        <w:rPr>
          <w:rFonts w:asciiTheme="minorHAnsi" w:hAnsiTheme="minorHAnsi" w:cstheme="minorHAnsi"/>
        </w:rPr>
        <w:t>Sincerely,</w:t>
      </w:r>
    </w:p>
    <w:p w14:paraId="74C6B962" w14:textId="1AA256CC" w:rsidR="002E294C" w:rsidRDefault="002E294C" w:rsidP="002E294C">
      <w:pPr>
        <w:pStyle w:val="NoSpacing"/>
        <w:rPr>
          <w:rFonts w:asciiTheme="minorHAnsi" w:hAnsiTheme="minorHAnsi" w:cstheme="minorHAnsi"/>
        </w:rPr>
      </w:pPr>
    </w:p>
    <w:p w14:paraId="108FFD59" w14:textId="71642612" w:rsidR="00F0783A" w:rsidRPr="00EB03FE" w:rsidRDefault="00EB03FE" w:rsidP="002E294C">
      <w:pPr>
        <w:pStyle w:val="NoSpacing"/>
        <w:rPr>
          <w:rFonts w:asciiTheme="minorHAnsi" w:hAnsiTheme="minorHAnsi" w:cstheme="minorHAnsi"/>
        </w:rPr>
      </w:pPr>
      <w:r>
        <w:rPr>
          <w:rFonts w:asciiTheme="minorHAnsi" w:hAnsiTheme="minorHAnsi" w:cstheme="minorHAnsi"/>
          <w:i/>
        </w:rPr>
        <w:t>/s/ Linda B. Maroko</w:t>
      </w:r>
      <w:bookmarkStart w:id="1" w:name="_GoBack"/>
      <w:bookmarkEnd w:id="1"/>
    </w:p>
    <w:p w14:paraId="6B1471D2" w14:textId="73A963C0" w:rsidR="002E294C" w:rsidRPr="001A7FC0" w:rsidRDefault="002E294C" w:rsidP="002E294C">
      <w:pPr>
        <w:pStyle w:val="NoSpacing"/>
        <w:rPr>
          <w:rFonts w:asciiTheme="minorHAnsi" w:hAnsiTheme="minorHAnsi" w:cstheme="minorHAnsi"/>
        </w:rPr>
      </w:pPr>
      <w:r w:rsidRPr="001A7FC0">
        <w:rPr>
          <w:rFonts w:asciiTheme="minorHAnsi" w:hAnsiTheme="minorHAnsi" w:cstheme="minorHAnsi"/>
        </w:rPr>
        <w:t>Linda B. Maroko</w:t>
      </w:r>
    </w:p>
    <w:p w14:paraId="2F91E425" w14:textId="43892346" w:rsidR="007E1543" w:rsidRPr="001A7FC0" w:rsidRDefault="007E1543" w:rsidP="002E294C">
      <w:pPr>
        <w:pStyle w:val="NoSpacing"/>
        <w:rPr>
          <w:rFonts w:asciiTheme="minorHAnsi" w:hAnsiTheme="minorHAnsi" w:cstheme="minorHAnsi"/>
        </w:rPr>
      </w:pPr>
      <w:r w:rsidRPr="001A7FC0">
        <w:rPr>
          <w:rFonts w:asciiTheme="minorHAnsi" w:hAnsiTheme="minorHAnsi" w:cstheme="minorHAnsi"/>
        </w:rPr>
        <w:t>Associate Rules Attorney</w:t>
      </w:r>
    </w:p>
    <w:p w14:paraId="3B4D86DC" w14:textId="1BCDD73D" w:rsidR="007E1543" w:rsidRPr="001A7FC0" w:rsidRDefault="007E1543" w:rsidP="002E294C">
      <w:pPr>
        <w:pStyle w:val="NoSpacing"/>
        <w:rPr>
          <w:rFonts w:asciiTheme="minorHAnsi" w:hAnsiTheme="minorHAnsi" w:cstheme="minorHAnsi"/>
        </w:rPr>
      </w:pPr>
      <w:r w:rsidRPr="001A7FC0">
        <w:rPr>
          <w:rFonts w:asciiTheme="minorHAnsi" w:hAnsiTheme="minorHAnsi" w:cstheme="minorHAnsi"/>
        </w:rPr>
        <w:t>Aderant CompuLaw</w:t>
      </w:r>
    </w:p>
    <w:p w14:paraId="42C6FA94" w14:textId="5788C8E5" w:rsidR="007E1543" w:rsidRPr="001A7FC0" w:rsidRDefault="00EB03FE" w:rsidP="002E294C">
      <w:pPr>
        <w:pStyle w:val="NoSpacing"/>
        <w:rPr>
          <w:rFonts w:asciiTheme="minorHAnsi" w:hAnsiTheme="minorHAnsi" w:cstheme="minorHAnsi"/>
        </w:rPr>
      </w:pPr>
      <w:hyperlink r:id="rId11" w:history="1">
        <w:r w:rsidR="007E1543" w:rsidRPr="001A7FC0">
          <w:rPr>
            <w:rStyle w:val="Hyperlink"/>
            <w:rFonts w:asciiTheme="minorHAnsi" w:hAnsiTheme="minorHAnsi" w:cstheme="minorHAnsi"/>
          </w:rPr>
          <w:t>linda.maroko@aderant.com</w:t>
        </w:r>
      </w:hyperlink>
    </w:p>
    <w:p w14:paraId="758C1C5D" w14:textId="1565A5C5" w:rsidR="007E1543" w:rsidRPr="00FB0499" w:rsidRDefault="007E1543" w:rsidP="002E294C">
      <w:pPr>
        <w:pStyle w:val="NoSpacing"/>
        <w:rPr>
          <w:rFonts w:cs="Times New Roman"/>
          <w:sz w:val="24"/>
          <w:szCs w:val="24"/>
        </w:rPr>
      </w:pPr>
      <w:r w:rsidRPr="00FB0499">
        <w:rPr>
          <w:rFonts w:cs="Times New Roman"/>
          <w:sz w:val="24"/>
          <w:szCs w:val="24"/>
        </w:rPr>
        <w:t>(310) 846-0466</w:t>
      </w:r>
    </w:p>
    <w:sectPr w:rsidR="007E1543" w:rsidRPr="00FB0499" w:rsidSect="00C924D3">
      <w:head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0847F" w14:textId="77777777" w:rsidR="009C3AF8" w:rsidRDefault="009C3AF8" w:rsidP="006C5747">
      <w:pPr>
        <w:spacing w:after="0" w:line="240" w:lineRule="auto"/>
      </w:pPr>
      <w:r>
        <w:separator/>
      </w:r>
    </w:p>
  </w:endnote>
  <w:endnote w:type="continuationSeparator" w:id="0">
    <w:p w14:paraId="40524E2A" w14:textId="77777777" w:rsidR="009C3AF8" w:rsidRDefault="009C3AF8" w:rsidP="006C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w:rPr>
      <w:id w:val="887769388"/>
      <w:docPartObj>
        <w:docPartGallery w:val="Page Numbers (Bottom of Page)"/>
        <w:docPartUnique/>
      </w:docPartObj>
    </w:sdtPr>
    <w:sdtEndPr>
      <w:rPr>
        <w:noProof/>
        <w:sz w:val="18"/>
        <w:szCs w:val="18"/>
      </w:rPr>
    </w:sdtEndPr>
    <w:sdtContent>
      <w:p w14:paraId="45AC179C" w14:textId="21770A8C" w:rsidR="00B73A1B" w:rsidRDefault="00167468" w:rsidP="007F07D6">
        <w:pPr>
          <w:pStyle w:val="Footer"/>
          <w:jc w:val="center"/>
          <w:rPr>
            <w:rFonts w:cs="Times"/>
            <w:color w:val="595959" w:themeColor="text1" w:themeTint="A6"/>
            <w:sz w:val="16"/>
            <w:szCs w:val="16"/>
          </w:rPr>
        </w:pPr>
        <w:r>
          <w:rPr>
            <w:rFonts w:cs="Times"/>
            <w:color w:val="595959" w:themeColor="text1" w:themeTint="A6"/>
            <w:sz w:val="16"/>
            <w:szCs w:val="16"/>
          </w:rPr>
          <w:t xml:space="preserve">200 Corporate Pointe Suite 400 </w:t>
        </w:r>
        <w:r w:rsidR="002F4512">
          <w:rPr>
            <w:rFonts w:cs="Times"/>
            <w:color w:val="595959" w:themeColor="text1" w:themeTint="A6"/>
            <w:sz w:val="16"/>
            <w:szCs w:val="16"/>
          </w:rPr>
          <w:t xml:space="preserve"> </w:t>
        </w:r>
        <w:r>
          <w:rPr>
            <w:rFonts w:cs="Times"/>
            <w:color w:val="595959" w:themeColor="text1" w:themeTint="A6"/>
            <w:sz w:val="16"/>
            <w:szCs w:val="16"/>
          </w:rPr>
          <w:t>Culver City, CA 90230   (800) 444 0020</w:t>
        </w:r>
        <w:r w:rsidR="007F07D6" w:rsidRPr="009A5437">
          <w:rPr>
            <w:rFonts w:cs="Times"/>
            <w:color w:val="595959" w:themeColor="text1" w:themeTint="A6"/>
            <w:sz w:val="16"/>
            <w:szCs w:val="16"/>
          </w:rPr>
          <w:t xml:space="preserve">   </w:t>
        </w:r>
        <w:hyperlink r:id="rId1" w:history="1">
          <w:r w:rsidR="00B73A1B" w:rsidRPr="00511732">
            <w:rPr>
              <w:rStyle w:val="Hyperlink"/>
              <w:rFonts w:cs="Times"/>
              <w:sz w:val="16"/>
              <w:szCs w:val="16"/>
            </w:rPr>
            <w:t>www.aderant.com</w:t>
          </w:r>
        </w:hyperlink>
      </w:p>
      <w:p w14:paraId="4BCE987A" w14:textId="77777777" w:rsidR="00B73A1B" w:rsidRDefault="00B73A1B" w:rsidP="007F07D6">
        <w:pPr>
          <w:pStyle w:val="Footer"/>
          <w:jc w:val="center"/>
          <w:rPr>
            <w:rFonts w:cs="Times"/>
            <w:color w:val="595959" w:themeColor="text1" w:themeTint="A6"/>
            <w:sz w:val="16"/>
            <w:szCs w:val="16"/>
          </w:rPr>
        </w:pPr>
      </w:p>
      <w:p w14:paraId="5AD2DA46" w14:textId="0313E1F6" w:rsidR="00C924D3" w:rsidRPr="009A5437" w:rsidRDefault="00B73A1B" w:rsidP="007F07D6">
        <w:pPr>
          <w:pStyle w:val="Footer"/>
          <w:jc w:val="center"/>
          <w:rPr>
            <w:rFonts w:cs="Times"/>
            <w:color w:val="595959" w:themeColor="text1" w:themeTint="A6"/>
            <w:sz w:val="16"/>
            <w:szCs w:val="16"/>
          </w:rPr>
        </w:pPr>
        <w:r>
          <w:rPr>
            <w:rFonts w:cs="Times"/>
            <w:noProof/>
            <w:sz w:val="18"/>
            <w:szCs w:val="18"/>
          </w:rPr>
          <w:drawing>
            <wp:inline distT="0" distB="0" distL="0" distR="0" wp14:anchorId="2CD05D34" wp14:editId="79F3371E">
              <wp:extent cx="5943600" cy="482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2">
                        <a:extLst>
                          <a:ext uri="{28A0092B-C50C-407E-A947-70E740481C1C}">
                            <a14:useLocalDpi xmlns:a14="http://schemas.microsoft.com/office/drawing/2010/main" val="0"/>
                          </a:ext>
                        </a:extLst>
                      </a:blip>
                      <a:stretch>
                        <a:fillRect/>
                      </a:stretch>
                    </pic:blipFill>
                    <pic:spPr>
                      <a:xfrm>
                        <a:off x="0" y="0"/>
                        <a:ext cx="5943600" cy="48260"/>
                      </a:xfrm>
                      <a:prstGeom prst="rect">
                        <a:avLst/>
                      </a:prstGeom>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09A2D" w14:textId="77777777" w:rsidR="009C3AF8" w:rsidRDefault="009C3AF8" w:rsidP="006C5747">
      <w:pPr>
        <w:spacing w:after="0" w:line="240" w:lineRule="auto"/>
      </w:pPr>
      <w:r>
        <w:separator/>
      </w:r>
    </w:p>
  </w:footnote>
  <w:footnote w:type="continuationSeparator" w:id="0">
    <w:p w14:paraId="373CD87E" w14:textId="77777777" w:rsidR="009C3AF8" w:rsidRDefault="009C3AF8" w:rsidP="006C5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29A16" w14:textId="7A7EBF5E" w:rsidR="00F841A5" w:rsidRPr="00B106EB" w:rsidRDefault="00F841A5">
    <w:pPr>
      <w:pStyle w:val="Header"/>
      <w:rPr>
        <w:rFonts w:asciiTheme="minorHAnsi" w:hAnsiTheme="minorHAnsi" w:cstheme="minorHAnsi"/>
      </w:rPr>
    </w:pPr>
    <w:r w:rsidRPr="00B106EB">
      <w:rPr>
        <w:rFonts w:asciiTheme="minorHAnsi" w:hAnsiTheme="minorHAnsi" w:cstheme="minorHAnsi"/>
      </w:rPr>
      <w:t>Rule 32 Task Force</w:t>
    </w:r>
  </w:p>
  <w:p w14:paraId="6B808231" w14:textId="67D81B0F" w:rsidR="00F841A5" w:rsidRPr="00B106EB" w:rsidRDefault="00F841A5">
    <w:pPr>
      <w:pStyle w:val="Header"/>
      <w:rPr>
        <w:rFonts w:asciiTheme="minorHAnsi" w:hAnsiTheme="minorHAnsi" w:cstheme="minorHAnsi"/>
      </w:rPr>
    </w:pPr>
    <w:r w:rsidRPr="00B106EB">
      <w:rPr>
        <w:rFonts w:asciiTheme="minorHAnsi" w:hAnsiTheme="minorHAnsi" w:cstheme="minorHAnsi"/>
      </w:rPr>
      <w:t>February 22, 2019</w:t>
    </w:r>
  </w:p>
  <w:p w14:paraId="6892FB2B" w14:textId="08B080A0" w:rsidR="00F841A5" w:rsidRPr="00B106EB" w:rsidRDefault="00F841A5">
    <w:pPr>
      <w:pStyle w:val="Header"/>
      <w:rPr>
        <w:rFonts w:asciiTheme="minorHAnsi" w:hAnsiTheme="minorHAnsi" w:cstheme="minorHAnsi"/>
      </w:rPr>
    </w:pPr>
    <w:r w:rsidRPr="00B106EB">
      <w:rPr>
        <w:rFonts w:asciiTheme="minorHAnsi" w:hAnsiTheme="minorHAnsi" w:cstheme="minorHAnsi"/>
      </w:rPr>
      <w:t xml:space="preserve">Page </w:t>
    </w:r>
    <w:r w:rsidRPr="00B106EB">
      <w:rPr>
        <w:rFonts w:asciiTheme="minorHAnsi" w:hAnsiTheme="minorHAnsi" w:cstheme="minorHAnsi"/>
      </w:rPr>
      <w:fldChar w:fldCharType="begin"/>
    </w:r>
    <w:r w:rsidRPr="00B106EB">
      <w:rPr>
        <w:rFonts w:asciiTheme="minorHAnsi" w:hAnsiTheme="minorHAnsi" w:cstheme="minorHAnsi"/>
      </w:rPr>
      <w:instrText xml:space="preserve"> PAGE   \* MERGEFORMAT </w:instrText>
    </w:r>
    <w:r w:rsidRPr="00B106EB">
      <w:rPr>
        <w:rFonts w:asciiTheme="minorHAnsi" w:hAnsiTheme="minorHAnsi" w:cstheme="minorHAnsi"/>
      </w:rPr>
      <w:fldChar w:fldCharType="separate"/>
    </w:r>
    <w:r w:rsidRPr="00B106EB">
      <w:rPr>
        <w:rFonts w:asciiTheme="minorHAnsi" w:hAnsiTheme="minorHAnsi" w:cstheme="minorHAnsi"/>
        <w:noProof/>
      </w:rPr>
      <w:t>1</w:t>
    </w:r>
    <w:r w:rsidRPr="00B106EB">
      <w:rPr>
        <w:rFonts w:asciiTheme="minorHAnsi" w:hAnsiTheme="minorHAnsi" w:cstheme="minorHAnsi"/>
        <w:noProof/>
      </w:rPr>
      <w:fldChar w:fldCharType="end"/>
    </w:r>
  </w:p>
  <w:p w14:paraId="719E1CEF" w14:textId="77777777" w:rsidR="00F841A5" w:rsidRDefault="00F8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8E825" w14:textId="77777777" w:rsidR="00C924D3" w:rsidRDefault="00F40172">
    <w:pPr>
      <w:pStyle w:val="Header"/>
    </w:pPr>
    <w:r>
      <w:rPr>
        <w:noProof/>
      </w:rPr>
      <w:drawing>
        <wp:inline distT="0" distB="0" distL="0" distR="0" wp14:anchorId="1763F955" wp14:editId="4141AD62">
          <wp:extent cx="1808273" cy="5714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8273" cy="5714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747"/>
    <w:rsid w:val="00001C69"/>
    <w:rsid w:val="00003EC5"/>
    <w:rsid w:val="000077AF"/>
    <w:rsid w:val="00017E67"/>
    <w:rsid w:val="00022A1D"/>
    <w:rsid w:val="00024B6D"/>
    <w:rsid w:val="0004597D"/>
    <w:rsid w:val="0005566C"/>
    <w:rsid w:val="00057CBB"/>
    <w:rsid w:val="000937C7"/>
    <w:rsid w:val="000B43A9"/>
    <w:rsid w:val="000C4ABD"/>
    <w:rsid w:val="000C5A3E"/>
    <w:rsid w:val="000D51C0"/>
    <w:rsid w:val="000F238C"/>
    <w:rsid w:val="00102597"/>
    <w:rsid w:val="001225AE"/>
    <w:rsid w:val="0012481C"/>
    <w:rsid w:val="00130BE3"/>
    <w:rsid w:val="001346D9"/>
    <w:rsid w:val="00135AA9"/>
    <w:rsid w:val="00150FB6"/>
    <w:rsid w:val="00167468"/>
    <w:rsid w:val="00187593"/>
    <w:rsid w:val="0019744B"/>
    <w:rsid w:val="001A7FC0"/>
    <w:rsid w:val="001D7FD2"/>
    <w:rsid w:val="001E3B0D"/>
    <w:rsid w:val="002016C2"/>
    <w:rsid w:val="00211284"/>
    <w:rsid w:val="00212672"/>
    <w:rsid w:val="0021792A"/>
    <w:rsid w:val="00220561"/>
    <w:rsid w:val="00236A88"/>
    <w:rsid w:val="00241B90"/>
    <w:rsid w:val="00255BBF"/>
    <w:rsid w:val="00277B05"/>
    <w:rsid w:val="00283CCA"/>
    <w:rsid w:val="00292DD7"/>
    <w:rsid w:val="002B708D"/>
    <w:rsid w:val="002C22D5"/>
    <w:rsid w:val="002E294C"/>
    <w:rsid w:val="002F020C"/>
    <w:rsid w:val="002F4512"/>
    <w:rsid w:val="002F5021"/>
    <w:rsid w:val="00306F5E"/>
    <w:rsid w:val="00325084"/>
    <w:rsid w:val="00366E1E"/>
    <w:rsid w:val="003765F8"/>
    <w:rsid w:val="00376AAA"/>
    <w:rsid w:val="0038470F"/>
    <w:rsid w:val="003B5AE8"/>
    <w:rsid w:val="003C0691"/>
    <w:rsid w:val="003D0A55"/>
    <w:rsid w:val="003D7448"/>
    <w:rsid w:val="003E2129"/>
    <w:rsid w:val="003F180D"/>
    <w:rsid w:val="003F3E3A"/>
    <w:rsid w:val="003F640F"/>
    <w:rsid w:val="004060A8"/>
    <w:rsid w:val="004145BC"/>
    <w:rsid w:val="0044331E"/>
    <w:rsid w:val="004503C8"/>
    <w:rsid w:val="00467E6F"/>
    <w:rsid w:val="00477E2D"/>
    <w:rsid w:val="004828AD"/>
    <w:rsid w:val="00491D35"/>
    <w:rsid w:val="00497BB7"/>
    <w:rsid w:val="004A1316"/>
    <w:rsid w:val="004A7475"/>
    <w:rsid w:val="004A7E01"/>
    <w:rsid w:val="004C021E"/>
    <w:rsid w:val="004C4E71"/>
    <w:rsid w:val="004C52B4"/>
    <w:rsid w:val="004E31D2"/>
    <w:rsid w:val="004F3ED7"/>
    <w:rsid w:val="00515E39"/>
    <w:rsid w:val="005311CD"/>
    <w:rsid w:val="00537731"/>
    <w:rsid w:val="0054376B"/>
    <w:rsid w:val="00554685"/>
    <w:rsid w:val="0055710A"/>
    <w:rsid w:val="005673B7"/>
    <w:rsid w:val="00594433"/>
    <w:rsid w:val="005962C3"/>
    <w:rsid w:val="005B0AED"/>
    <w:rsid w:val="005B4342"/>
    <w:rsid w:val="005C33DB"/>
    <w:rsid w:val="005D607A"/>
    <w:rsid w:val="005E6566"/>
    <w:rsid w:val="005F78DA"/>
    <w:rsid w:val="00604C11"/>
    <w:rsid w:val="0060675B"/>
    <w:rsid w:val="006078A4"/>
    <w:rsid w:val="0062424E"/>
    <w:rsid w:val="006521BC"/>
    <w:rsid w:val="00655BD5"/>
    <w:rsid w:val="00665FB0"/>
    <w:rsid w:val="00670BA6"/>
    <w:rsid w:val="00682380"/>
    <w:rsid w:val="006C1B4A"/>
    <w:rsid w:val="006C5747"/>
    <w:rsid w:val="006E0C67"/>
    <w:rsid w:val="006E1E61"/>
    <w:rsid w:val="006F69A5"/>
    <w:rsid w:val="0070083E"/>
    <w:rsid w:val="00703958"/>
    <w:rsid w:val="00705A59"/>
    <w:rsid w:val="007136A7"/>
    <w:rsid w:val="00721F08"/>
    <w:rsid w:val="007232F3"/>
    <w:rsid w:val="007405D1"/>
    <w:rsid w:val="007579A3"/>
    <w:rsid w:val="00764E1D"/>
    <w:rsid w:val="0077067F"/>
    <w:rsid w:val="00782BF1"/>
    <w:rsid w:val="00783D35"/>
    <w:rsid w:val="00786336"/>
    <w:rsid w:val="00794AF8"/>
    <w:rsid w:val="007A3C5E"/>
    <w:rsid w:val="007C7FC4"/>
    <w:rsid w:val="007D0129"/>
    <w:rsid w:val="007E1543"/>
    <w:rsid w:val="007F07D6"/>
    <w:rsid w:val="007F5F76"/>
    <w:rsid w:val="007F653F"/>
    <w:rsid w:val="007F6D16"/>
    <w:rsid w:val="008007A5"/>
    <w:rsid w:val="008007DD"/>
    <w:rsid w:val="008135DD"/>
    <w:rsid w:val="008414E5"/>
    <w:rsid w:val="00864A6E"/>
    <w:rsid w:val="008659A3"/>
    <w:rsid w:val="00865EEC"/>
    <w:rsid w:val="008B649A"/>
    <w:rsid w:val="008C1A25"/>
    <w:rsid w:val="008C3291"/>
    <w:rsid w:val="008C6AF4"/>
    <w:rsid w:val="008D0CB6"/>
    <w:rsid w:val="008D2063"/>
    <w:rsid w:val="008D7608"/>
    <w:rsid w:val="008F3743"/>
    <w:rsid w:val="009014CA"/>
    <w:rsid w:val="00912FBA"/>
    <w:rsid w:val="0093635E"/>
    <w:rsid w:val="009448B3"/>
    <w:rsid w:val="00945C70"/>
    <w:rsid w:val="00952C60"/>
    <w:rsid w:val="00953E10"/>
    <w:rsid w:val="00992027"/>
    <w:rsid w:val="009A5437"/>
    <w:rsid w:val="009B0F82"/>
    <w:rsid w:val="009C3AF8"/>
    <w:rsid w:val="009C4B40"/>
    <w:rsid w:val="009D25A9"/>
    <w:rsid w:val="009D7244"/>
    <w:rsid w:val="009E5F2B"/>
    <w:rsid w:val="009F3EAE"/>
    <w:rsid w:val="00A27005"/>
    <w:rsid w:val="00A60800"/>
    <w:rsid w:val="00A64CFF"/>
    <w:rsid w:val="00A72086"/>
    <w:rsid w:val="00A87692"/>
    <w:rsid w:val="00A90270"/>
    <w:rsid w:val="00A94ABB"/>
    <w:rsid w:val="00AA0C6F"/>
    <w:rsid w:val="00AC4205"/>
    <w:rsid w:val="00AC465F"/>
    <w:rsid w:val="00AD6EA9"/>
    <w:rsid w:val="00AE2BBC"/>
    <w:rsid w:val="00AF0E26"/>
    <w:rsid w:val="00B02B8D"/>
    <w:rsid w:val="00B106EB"/>
    <w:rsid w:val="00B15478"/>
    <w:rsid w:val="00B214EB"/>
    <w:rsid w:val="00B30D49"/>
    <w:rsid w:val="00B32B2D"/>
    <w:rsid w:val="00B345A7"/>
    <w:rsid w:val="00B462E7"/>
    <w:rsid w:val="00B47564"/>
    <w:rsid w:val="00B61F05"/>
    <w:rsid w:val="00B72C3C"/>
    <w:rsid w:val="00B73A1B"/>
    <w:rsid w:val="00B82648"/>
    <w:rsid w:val="00B828BB"/>
    <w:rsid w:val="00B94335"/>
    <w:rsid w:val="00BA69EB"/>
    <w:rsid w:val="00BA6FF1"/>
    <w:rsid w:val="00BC2F86"/>
    <w:rsid w:val="00BD3D4B"/>
    <w:rsid w:val="00BD42D3"/>
    <w:rsid w:val="00BD7731"/>
    <w:rsid w:val="00BE48F0"/>
    <w:rsid w:val="00BF038B"/>
    <w:rsid w:val="00BF0E52"/>
    <w:rsid w:val="00BF714F"/>
    <w:rsid w:val="00C03C97"/>
    <w:rsid w:val="00C11D55"/>
    <w:rsid w:val="00C13D86"/>
    <w:rsid w:val="00C15B96"/>
    <w:rsid w:val="00C30251"/>
    <w:rsid w:val="00C37BF4"/>
    <w:rsid w:val="00C41215"/>
    <w:rsid w:val="00C41D5A"/>
    <w:rsid w:val="00C80E37"/>
    <w:rsid w:val="00C86354"/>
    <w:rsid w:val="00C91D59"/>
    <w:rsid w:val="00C924D3"/>
    <w:rsid w:val="00CA3A6E"/>
    <w:rsid w:val="00CC33E4"/>
    <w:rsid w:val="00CC4954"/>
    <w:rsid w:val="00CC7F09"/>
    <w:rsid w:val="00CD4020"/>
    <w:rsid w:val="00CE34CC"/>
    <w:rsid w:val="00CF327D"/>
    <w:rsid w:val="00CF404C"/>
    <w:rsid w:val="00CF60CE"/>
    <w:rsid w:val="00D02E6E"/>
    <w:rsid w:val="00D05F0C"/>
    <w:rsid w:val="00D1294C"/>
    <w:rsid w:val="00D147C8"/>
    <w:rsid w:val="00D301C0"/>
    <w:rsid w:val="00D3360D"/>
    <w:rsid w:val="00D61F90"/>
    <w:rsid w:val="00D71747"/>
    <w:rsid w:val="00D71DD7"/>
    <w:rsid w:val="00D80FA4"/>
    <w:rsid w:val="00D96411"/>
    <w:rsid w:val="00DA416F"/>
    <w:rsid w:val="00DB0A63"/>
    <w:rsid w:val="00DB4A4D"/>
    <w:rsid w:val="00DC678B"/>
    <w:rsid w:val="00DD52C2"/>
    <w:rsid w:val="00DF46F3"/>
    <w:rsid w:val="00DF5D21"/>
    <w:rsid w:val="00DF7511"/>
    <w:rsid w:val="00E0177E"/>
    <w:rsid w:val="00E1269C"/>
    <w:rsid w:val="00E129A3"/>
    <w:rsid w:val="00E329D1"/>
    <w:rsid w:val="00E51733"/>
    <w:rsid w:val="00E803FF"/>
    <w:rsid w:val="00E9083E"/>
    <w:rsid w:val="00E956C8"/>
    <w:rsid w:val="00E964E2"/>
    <w:rsid w:val="00EA59D9"/>
    <w:rsid w:val="00EB03FE"/>
    <w:rsid w:val="00EB16B4"/>
    <w:rsid w:val="00ED57BD"/>
    <w:rsid w:val="00EE15A6"/>
    <w:rsid w:val="00EF57D4"/>
    <w:rsid w:val="00F05691"/>
    <w:rsid w:val="00F0783A"/>
    <w:rsid w:val="00F35A10"/>
    <w:rsid w:val="00F40172"/>
    <w:rsid w:val="00F41194"/>
    <w:rsid w:val="00F809E5"/>
    <w:rsid w:val="00F841A5"/>
    <w:rsid w:val="00F87EF8"/>
    <w:rsid w:val="00FA5A7B"/>
    <w:rsid w:val="00FB0499"/>
    <w:rsid w:val="00FB11F4"/>
    <w:rsid w:val="00FB6A36"/>
    <w:rsid w:val="00FC0416"/>
    <w:rsid w:val="00FD0BEF"/>
    <w:rsid w:val="00FE071E"/>
    <w:rsid w:val="00FE64B3"/>
    <w:rsid w:val="00FE6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F7BE09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411"/>
    <w:pPr>
      <w:spacing w:line="36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747"/>
  </w:style>
  <w:style w:type="paragraph" w:styleId="Footer">
    <w:name w:val="footer"/>
    <w:basedOn w:val="Normal"/>
    <w:link w:val="FooterChar"/>
    <w:uiPriority w:val="99"/>
    <w:unhideWhenUsed/>
    <w:rsid w:val="006C5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747"/>
  </w:style>
  <w:style w:type="paragraph" w:styleId="BalloonText">
    <w:name w:val="Balloon Text"/>
    <w:basedOn w:val="Normal"/>
    <w:link w:val="BalloonTextChar"/>
    <w:uiPriority w:val="99"/>
    <w:semiHidden/>
    <w:unhideWhenUsed/>
    <w:rsid w:val="006C5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747"/>
    <w:rPr>
      <w:rFonts w:ascii="Tahoma" w:hAnsi="Tahoma" w:cs="Tahoma"/>
      <w:sz w:val="16"/>
      <w:szCs w:val="16"/>
    </w:rPr>
  </w:style>
  <w:style w:type="paragraph" w:customStyle="1" w:styleId="HeadlineArial16ptGray">
    <w:name w:val="Headline Arial 16pt Gray"/>
    <w:basedOn w:val="Normal"/>
    <w:link w:val="HeadlineArial16ptGrayChar"/>
    <w:qFormat/>
    <w:rsid w:val="008B649A"/>
    <w:rPr>
      <w:rFonts w:ascii="Arial" w:hAnsi="Arial" w:cs="Arial"/>
      <w:color w:val="5F5F5F"/>
      <w:sz w:val="32"/>
      <w:szCs w:val="32"/>
    </w:rPr>
  </w:style>
  <w:style w:type="paragraph" w:customStyle="1" w:styleId="HeadlineArial16ptRed">
    <w:name w:val="Headline Arial 16pt Red"/>
    <w:basedOn w:val="Normal"/>
    <w:link w:val="HeadlineArial16ptRedChar"/>
    <w:qFormat/>
    <w:rsid w:val="008B649A"/>
    <w:rPr>
      <w:rFonts w:ascii="Arial" w:hAnsi="Arial" w:cs="Arial"/>
      <w:color w:val="B30838"/>
      <w:sz w:val="32"/>
      <w:szCs w:val="32"/>
    </w:rPr>
  </w:style>
  <w:style w:type="character" w:customStyle="1" w:styleId="HeadlineArial16ptGrayChar">
    <w:name w:val="Headline Arial 16pt Gray Char"/>
    <w:basedOn w:val="DefaultParagraphFont"/>
    <w:link w:val="HeadlineArial16ptGray"/>
    <w:rsid w:val="008B649A"/>
    <w:rPr>
      <w:rFonts w:ascii="Arial" w:hAnsi="Arial" w:cs="Arial"/>
      <w:color w:val="5F5F5F"/>
      <w:sz w:val="32"/>
      <w:szCs w:val="32"/>
    </w:rPr>
  </w:style>
  <w:style w:type="paragraph" w:customStyle="1" w:styleId="SubheadlineArial12ptBoldRed">
    <w:name w:val="Subheadline Arial 12pt Bold Red"/>
    <w:basedOn w:val="Normal"/>
    <w:link w:val="SubheadlineArial12ptBoldRedChar"/>
    <w:qFormat/>
    <w:rsid w:val="00236A88"/>
    <w:rPr>
      <w:rFonts w:ascii="Arial" w:hAnsi="Arial" w:cs="Arial"/>
      <w:b/>
      <w:color w:val="B30838"/>
      <w:sz w:val="24"/>
      <w:szCs w:val="24"/>
    </w:rPr>
  </w:style>
  <w:style w:type="character" w:customStyle="1" w:styleId="HeadlineArial16ptRedChar">
    <w:name w:val="Headline Arial 16pt Red Char"/>
    <w:basedOn w:val="DefaultParagraphFont"/>
    <w:link w:val="HeadlineArial16ptRed"/>
    <w:rsid w:val="008B649A"/>
    <w:rPr>
      <w:rFonts w:ascii="Arial" w:hAnsi="Arial" w:cs="Arial"/>
      <w:color w:val="B30838"/>
      <w:sz w:val="32"/>
      <w:szCs w:val="32"/>
    </w:rPr>
  </w:style>
  <w:style w:type="paragraph" w:customStyle="1" w:styleId="SubheadlineArial12ptBoldGray">
    <w:name w:val="Subheadline Arial 12pt Bold Gray"/>
    <w:basedOn w:val="Normal"/>
    <w:link w:val="SubheadlineArial12ptBoldGrayChar"/>
    <w:qFormat/>
    <w:rsid w:val="00236A88"/>
    <w:rPr>
      <w:rFonts w:ascii="Arial" w:hAnsi="Arial" w:cs="Arial"/>
      <w:b/>
      <w:color w:val="5F5F5F"/>
      <w:sz w:val="24"/>
      <w:szCs w:val="24"/>
    </w:rPr>
  </w:style>
  <w:style w:type="character" w:customStyle="1" w:styleId="SubheadlineArial12ptBoldRedChar">
    <w:name w:val="Subheadline Arial 12pt Bold Red Char"/>
    <w:basedOn w:val="DefaultParagraphFont"/>
    <w:link w:val="SubheadlineArial12ptBoldRed"/>
    <w:rsid w:val="00236A88"/>
    <w:rPr>
      <w:rFonts w:ascii="Arial" w:hAnsi="Arial" w:cs="Arial"/>
      <w:b/>
      <w:color w:val="B30838"/>
      <w:sz w:val="24"/>
      <w:szCs w:val="24"/>
    </w:rPr>
  </w:style>
  <w:style w:type="character" w:customStyle="1" w:styleId="SubheadlineArial12ptBoldGrayChar">
    <w:name w:val="Subheadline Arial 12pt Bold Gray Char"/>
    <w:basedOn w:val="DefaultParagraphFont"/>
    <w:link w:val="SubheadlineArial12ptBoldGray"/>
    <w:rsid w:val="00236A88"/>
    <w:rPr>
      <w:rFonts w:ascii="Arial" w:hAnsi="Arial" w:cs="Arial"/>
      <w:b/>
      <w:color w:val="5F5F5F"/>
      <w:sz w:val="24"/>
      <w:szCs w:val="24"/>
    </w:rPr>
  </w:style>
  <w:style w:type="character" w:styleId="Hyperlink">
    <w:name w:val="Hyperlink"/>
    <w:basedOn w:val="DefaultParagraphFont"/>
    <w:uiPriority w:val="99"/>
    <w:unhideWhenUsed/>
    <w:rsid w:val="00B73A1B"/>
    <w:rPr>
      <w:color w:val="0000FF" w:themeColor="hyperlink"/>
      <w:u w:val="single"/>
    </w:rPr>
  </w:style>
  <w:style w:type="paragraph" w:styleId="NoSpacing">
    <w:name w:val="No Spacing"/>
    <w:uiPriority w:val="1"/>
    <w:qFormat/>
    <w:rsid w:val="00E803FF"/>
    <w:pPr>
      <w:spacing w:after="0" w:line="240" w:lineRule="auto"/>
    </w:pPr>
    <w:rPr>
      <w:rFonts w:ascii="Times New Roman" w:hAnsi="Times New Roman"/>
    </w:rPr>
  </w:style>
  <w:style w:type="paragraph" w:styleId="CommentText">
    <w:name w:val="annotation text"/>
    <w:basedOn w:val="Normal"/>
    <w:link w:val="CommentTextChar"/>
    <w:uiPriority w:val="99"/>
    <w:semiHidden/>
    <w:unhideWhenUsed/>
    <w:rsid w:val="00E803F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E803FF"/>
    <w:rPr>
      <w:sz w:val="20"/>
      <w:szCs w:val="20"/>
    </w:rPr>
  </w:style>
  <w:style w:type="character" w:styleId="UnresolvedMention">
    <w:name w:val="Unresolved Mention"/>
    <w:basedOn w:val="DefaultParagraphFont"/>
    <w:uiPriority w:val="99"/>
    <w:semiHidden/>
    <w:unhideWhenUsed/>
    <w:rsid w:val="007E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7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da.maroko@adera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meltzer@courts.az.gov"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deran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7D33C1A172B48A1DB01CD6C9AC95C" ma:contentTypeVersion="0" ma:contentTypeDescription="Create a new document." ma:contentTypeScope="" ma:versionID="0e0c241cc7c20a4621cccfcd05b6d9a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EE01-6F8A-41A7-87E1-F43B71D21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8BA8DF3-2692-45F0-9D90-2D712186BF7F}">
  <ds:schemaRefs>
    <ds:schemaRef ds:uri="http://schemas.microsoft.com/sharepoint/v3/contenttype/forms"/>
  </ds:schemaRefs>
</ds:datastoreItem>
</file>

<file path=customXml/itemProps3.xml><?xml version="1.0" encoding="utf-8"?>
<ds:datastoreItem xmlns:ds="http://schemas.openxmlformats.org/officeDocument/2006/customXml" ds:itemID="{CB872C24-B810-4042-A126-B4147FA3D150}">
  <ds:schemaRef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0070EF-52B6-43C2-8BFE-0C8F4C42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Aderant 2012 8.5 x 11 Letterhead</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Aderant 2012 8.5 x 11 Letterhead</dc:title>
  <dc:creator>AG</dc:creator>
  <cp:lastModifiedBy>Linda Maroko</cp:lastModifiedBy>
  <cp:revision>7</cp:revision>
  <cp:lastPrinted>2019-02-22T21:44:00Z</cp:lastPrinted>
  <dcterms:created xsi:type="dcterms:W3CDTF">2019-02-22T21:34:00Z</dcterms:created>
  <dcterms:modified xsi:type="dcterms:W3CDTF">2019-02-22T21:45:00Z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eddd9c2c-7e9d-4860-b891-1ab48ffa0574</vt:lpwstr>
  </property>
  <property fmtid="{D5CDD505-2E9C-101B-9397-08002B2CF9AE}" pid="3" name="ContentTypeId">
    <vt:lpwstr>0x0101003EB7D33C1A172B48A1DB01CD6C9AC95C</vt:lpwstr>
  </property>
</Properties>
</file>