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000C35" w:rsidRDefault="00C94138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bookmarkStart w:id="1" w:name="_GoBack"/>
            <w:bookmarkEnd w:id="1"/>
            <w:r>
              <w:rPr>
                <w:sz w:val="28"/>
                <w:szCs w:val="28"/>
              </w:rPr>
              <w:t>Maret Vessella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019350</w:t>
            </w:r>
            <w:r w:rsidR="0073216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Chief Bar Counsel</w:t>
            </w:r>
          </w:p>
          <w:p w:rsidR="00494BDF" w:rsidRPr="006F63FD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State Bar of Arizona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4201 N</w:t>
            </w:r>
            <w:r w:rsidR="00C94138">
              <w:rPr>
                <w:sz w:val="28"/>
                <w:szCs w:val="28"/>
              </w:rPr>
              <w:t>orth</w:t>
            </w:r>
            <w:r w:rsidRPr="006F63FD">
              <w:rPr>
                <w:sz w:val="28"/>
                <w:szCs w:val="28"/>
              </w:rPr>
              <w:t xml:space="preserve"> 24th Street, Suite 100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</w:t>
            </w:r>
            <w:r w:rsidR="00C94138">
              <w:rPr>
                <w:sz w:val="28"/>
                <w:szCs w:val="28"/>
              </w:rPr>
              <w:t>rizona</w:t>
            </w:r>
            <w:r w:rsidRPr="006F63FD">
              <w:rPr>
                <w:sz w:val="28"/>
                <w:szCs w:val="28"/>
              </w:rPr>
              <w:t xml:space="preserve">  85016-6288</w:t>
            </w:r>
          </w:p>
          <w:p w:rsidR="006F63FD" w:rsidRDefault="00B5729F" w:rsidP="00C941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Telephone: </w:t>
            </w:r>
            <w:r w:rsidR="00352347">
              <w:rPr>
                <w:sz w:val="28"/>
                <w:szCs w:val="28"/>
              </w:rPr>
              <w:t>(602) 340-72</w:t>
            </w:r>
            <w:r w:rsidR="00C94138">
              <w:rPr>
                <w:sz w:val="28"/>
                <w:szCs w:val="28"/>
              </w:rPr>
              <w:t>50</w:t>
            </w:r>
          </w:p>
          <w:p w:rsidR="00306041" w:rsidRDefault="00306041" w:rsidP="00C941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  <w:r w:rsidR="00B5729F" w:rsidRPr="00B5729F">
              <w:rPr>
                <w:sz w:val="28"/>
                <w:szCs w:val="28"/>
              </w:rPr>
              <w:t>maret.vessella@staff.azbar.org</w:t>
            </w:r>
          </w:p>
          <w:p w:rsidR="00B5729F" w:rsidRPr="00735659" w:rsidRDefault="00B5729F" w:rsidP="00C94138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Attorney for Petitioner</w:t>
            </w: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  <w:bookmarkEnd w:id="0"/>
    </w:tbl>
    <w:p w:rsidR="00B5729F" w:rsidRDefault="00B5729F" w:rsidP="00306041">
      <w:pPr>
        <w:pStyle w:val="Court"/>
        <w:spacing w:after="0" w:line="240" w:lineRule="auto"/>
        <w:rPr>
          <w:b/>
          <w:sz w:val="28"/>
          <w:szCs w:val="28"/>
        </w:rPr>
      </w:pPr>
    </w:p>
    <w:p w:rsidR="000C48A9" w:rsidRDefault="000F7A7F" w:rsidP="00306041">
      <w:pPr>
        <w:pStyle w:val="Court"/>
        <w:spacing w:after="0"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p w:rsidR="00306041" w:rsidRPr="00306041" w:rsidRDefault="00306041" w:rsidP="00306041">
      <w:pPr>
        <w:pStyle w:val="Court"/>
        <w:spacing w:after="0" w:line="240" w:lineRule="auto"/>
        <w:rPr>
          <w:b/>
          <w:sz w:val="24"/>
          <w:szCs w:val="24"/>
        </w:rPr>
      </w:pPr>
    </w:p>
    <w:p w:rsidR="00306041" w:rsidRPr="00306041" w:rsidRDefault="00306041" w:rsidP="00306041">
      <w:pPr>
        <w:pStyle w:val="Court"/>
        <w:spacing w:after="0" w:line="240" w:lineRule="auto"/>
        <w:rPr>
          <w:b/>
          <w:sz w:val="24"/>
          <w:szCs w:val="24"/>
        </w:rPr>
      </w:pP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626D5">
        <w:trPr>
          <w:trHeight w:val="1809"/>
        </w:trPr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Default="00357F4D" w:rsidP="00C94138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2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C94138" w:rsidRPr="00C94138" w:rsidRDefault="00C94138" w:rsidP="00C94138">
            <w:pPr>
              <w:spacing w:line="240" w:lineRule="auto"/>
            </w:pPr>
          </w:p>
          <w:p w:rsidR="00C94138" w:rsidRDefault="00E67511" w:rsidP="00C94138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C94138">
              <w:rPr>
                <w:b/>
                <w:sz w:val="28"/>
                <w:szCs w:val="28"/>
              </w:rPr>
              <w:t>AMEND</w:t>
            </w:r>
            <w:r w:rsidR="00306041">
              <w:rPr>
                <w:b/>
                <w:sz w:val="28"/>
                <w:szCs w:val="28"/>
              </w:rPr>
              <w:t xml:space="preserve"> RULE 70 OF THE RULES OF THE</w:t>
            </w:r>
          </w:p>
          <w:p w:rsidR="00357F4D" w:rsidRDefault="00C94138" w:rsidP="00306041">
            <w:pPr>
              <w:pStyle w:val="Caption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SUPREME COURT</w:t>
            </w:r>
          </w:p>
          <w:p w:rsidR="00306041" w:rsidRPr="00306041" w:rsidRDefault="00306041" w:rsidP="00306041">
            <w:pPr>
              <w:spacing w:line="240" w:lineRule="auto"/>
            </w:pPr>
          </w:p>
          <w:p w:rsidR="00306041" w:rsidRPr="00206794" w:rsidRDefault="00306041" w:rsidP="0030604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C94138">
            <w:pPr>
              <w:pStyle w:val="Caption"/>
              <w:tabs>
                <w:tab w:val="left" w:pos="1238"/>
              </w:tabs>
              <w:spacing w:line="240" w:lineRule="auto"/>
              <w:ind w:left="259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692391">
              <w:rPr>
                <w:sz w:val="28"/>
                <w:szCs w:val="28"/>
              </w:rPr>
              <w:t>1</w:t>
            </w:r>
            <w:r w:rsidR="00D60D9B">
              <w:rPr>
                <w:sz w:val="28"/>
                <w:szCs w:val="28"/>
              </w:rPr>
              <w:t>9</w:t>
            </w:r>
            <w:r w:rsidR="00F850BE">
              <w:rPr>
                <w:sz w:val="28"/>
                <w:szCs w:val="28"/>
              </w:rPr>
              <w:t>-</w:t>
            </w:r>
            <w:r w:rsidR="00C94138">
              <w:rPr>
                <w:sz w:val="28"/>
                <w:szCs w:val="28"/>
              </w:rPr>
              <w:t>________</w:t>
            </w:r>
          </w:p>
          <w:p w:rsidR="00C94138" w:rsidRDefault="00C94138" w:rsidP="00C94138">
            <w:pPr>
              <w:pStyle w:val="Caption"/>
              <w:spacing w:line="240" w:lineRule="auto"/>
              <w:ind w:left="252" w:right="115"/>
              <w:rPr>
                <w:b/>
                <w:sz w:val="28"/>
                <w:szCs w:val="28"/>
              </w:rPr>
            </w:pPr>
          </w:p>
          <w:p w:rsidR="00306041" w:rsidRDefault="00306041" w:rsidP="00C94138">
            <w:pPr>
              <w:pStyle w:val="Caption"/>
              <w:spacing w:line="240" w:lineRule="auto"/>
              <w:ind w:left="252" w:right="115"/>
              <w:rPr>
                <w:b/>
                <w:sz w:val="28"/>
                <w:szCs w:val="28"/>
              </w:rPr>
            </w:pPr>
          </w:p>
          <w:p w:rsidR="00357F4D" w:rsidRPr="00C94138" w:rsidRDefault="00D60D9B" w:rsidP="00C94138">
            <w:pPr>
              <w:pStyle w:val="Caption"/>
              <w:spacing w:line="240" w:lineRule="auto"/>
              <w:ind w:left="252" w:right="115"/>
              <w:rPr>
                <w:b/>
                <w:sz w:val="28"/>
                <w:szCs w:val="28"/>
              </w:rPr>
            </w:pPr>
            <w:r w:rsidRPr="00C94138">
              <w:rPr>
                <w:b/>
                <w:sz w:val="28"/>
                <w:szCs w:val="28"/>
              </w:rPr>
              <w:t>PETITION</w:t>
            </w:r>
            <w:r w:rsidR="00C94138">
              <w:rPr>
                <w:b/>
                <w:sz w:val="28"/>
                <w:szCs w:val="28"/>
              </w:rPr>
              <w:t xml:space="preserve"> </w:t>
            </w:r>
          </w:p>
          <w:p w:rsidR="00357F4D" w:rsidRPr="000F7A7F" w:rsidRDefault="00357F4D" w:rsidP="00306041">
            <w:pPr>
              <w:pStyle w:val="Caption"/>
              <w:ind w:right="115"/>
              <w:rPr>
                <w:szCs w:val="26"/>
              </w:rPr>
            </w:pPr>
          </w:p>
        </w:tc>
      </w:tr>
      <w:bookmarkEnd w:id="2"/>
    </w:tbl>
    <w:p w:rsidR="00206794" w:rsidRPr="00B5729F" w:rsidRDefault="00206794" w:rsidP="00C94138">
      <w:pPr>
        <w:pStyle w:val="Body"/>
        <w:widowControl w:val="0"/>
        <w:spacing w:line="480" w:lineRule="auto"/>
        <w:ind w:left="180" w:right="180" w:firstLine="540"/>
        <w:jc w:val="both"/>
        <w:rPr>
          <w:sz w:val="18"/>
          <w:szCs w:val="18"/>
        </w:rPr>
      </w:pPr>
    </w:p>
    <w:p w:rsidR="00306041" w:rsidRDefault="00C114CD" w:rsidP="00432C5B">
      <w:pPr>
        <w:pStyle w:val="Body"/>
        <w:widowControl w:val="0"/>
        <w:spacing w:line="480" w:lineRule="auto"/>
        <w:ind w:left="180" w:right="180" w:firstLine="540"/>
        <w:jc w:val="both"/>
        <w:rPr>
          <w:sz w:val="28"/>
          <w:szCs w:val="28"/>
        </w:rPr>
      </w:pPr>
      <w:r w:rsidRPr="007B7449">
        <w:rPr>
          <w:sz w:val="28"/>
          <w:szCs w:val="28"/>
        </w:rPr>
        <w:t>Pursuant to Rule 28(</w:t>
      </w:r>
      <w:r>
        <w:rPr>
          <w:sz w:val="28"/>
          <w:szCs w:val="28"/>
        </w:rPr>
        <w:t>a</w:t>
      </w:r>
      <w:r w:rsidRPr="007B7449">
        <w:rPr>
          <w:sz w:val="28"/>
          <w:szCs w:val="28"/>
        </w:rPr>
        <w:t>)</w:t>
      </w:r>
      <w:r>
        <w:rPr>
          <w:sz w:val="28"/>
          <w:szCs w:val="28"/>
        </w:rPr>
        <w:t xml:space="preserve">, Ariz. R. Sup. Ct., </w:t>
      </w:r>
      <w:r w:rsidRPr="007B7449">
        <w:rPr>
          <w:sz w:val="28"/>
          <w:szCs w:val="28"/>
        </w:rPr>
        <w:t>the State Bar of Arizona (</w:t>
      </w:r>
      <w:r>
        <w:rPr>
          <w:sz w:val="28"/>
          <w:szCs w:val="28"/>
        </w:rPr>
        <w:t>“</w:t>
      </w:r>
      <w:r w:rsidR="000348E4">
        <w:rPr>
          <w:sz w:val="28"/>
          <w:szCs w:val="28"/>
        </w:rPr>
        <w:t>the state b</w:t>
      </w:r>
      <w:r w:rsidRPr="007B7449">
        <w:rPr>
          <w:sz w:val="28"/>
          <w:szCs w:val="28"/>
        </w:rPr>
        <w:t xml:space="preserve">ar”) </w:t>
      </w:r>
      <w:r>
        <w:rPr>
          <w:sz w:val="28"/>
          <w:szCs w:val="28"/>
        </w:rPr>
        <w:t>petitions the Court to amend Rule 70</w:t>
      </w:r>
      <w:r w:rsidR="00432C5B">
        <w:rPr>
          <w:sz w:val="28"/>
          <w:szCs w:val="28"/>
        </w:rPr>
        <w:t xml:space="preserve">. </w:t>
      </w:r>
      <w:r>
        <w:rPr>
          <w:sz w:val="28"/>
          <w:szCs w:val="28"/>
        </w:rPr>
        <w:t>The proposed amendments are necessary to clarify the scope of the public’s access to information and r</w:t>
      </w:r>
      <w:r w:rsidR="000348E4">
        <w:rPr>
          <w:sz w:val="28"/>
          <w:szCs w:val="28"/>
        </w:rPr>
        <w:t>ecords maintained by the state b</w:t>
      </w:r>
      <w:r>
        <w:rPr>
          <w:sz w:val="28"/>
          <w:szCs w:val="28"/>
        </w:rPr>
        <w:t xml:space="preserve">ar. </w:t>
      </w:r>
      <w:r w:rsidR="00432C5B">
        <w:rPr>
          <w:sz w:val="28"/>
          <w:szCs w:val="28"/>
        </w:rPr>
        <w:t>T</w:t>
      </w:r>
      <w:r>
        <w:rPr>
          <w:sz w:val="28"/>
          <w:szCs w:val="28"/>
        </w:rPr>
        <w:t xml:space="preserve">he proposed rule </w:t>
      </w:r>
      <w:r w:rsidR="00432C5B">
        <w:rPr>
          <w:sz w:val="28"/>
          <w:szCs w:val="28"/>
        </w:rPr>
        <w:t xml:space="preserve">incorporates </w:t>
      </w:r>
      <w:r w:rsidR="000348E4">
        <w:rPr>
          <w:sz w:val="28"/>
          <w:szCs w:val="28"/>
        </w:rPr>
        <w:t>the state b</w:t>
      </w:r>
      <w:r>
        <w:rPr>
          <w:sz w:val="28"/>
          <w:szCs w:val="28"/>
        </w:rPr>
        <w:t xml:space="preserve">ar’s </w:t>
      </w:r>
      <w:r>
        <w:rPr>
          <w:sz w:val="28"/>
          <w:szCs w:val="28"/>
        </w:rPr>
        <w:lastRenderedPageBreak/>
        <w:t>present practice</w:t>
      </w:r>
      <w:r w:rsidR="00432C5B">
        <w:rPr>
          <w:sz w:val="28"/>
          <w:szCs w:val="28"/>
        </w:rPr>
        <w:t xml:space="preserve"> of responding to </w:t>
      </w:r>
      <w:r>
        <w:rPr>
          <w:sz w:val="28"/>
          <w:szCs w:val="28"/>
        </w:rPr>
        <w:t xml:space="preserve">routine requests for information </w:t>
      </w:r>
      <w:r w:rsidR="00432C5B">
        <w:rPr>
          <w:sz w:val="28"/>
          <w:szCs w:val="28"/>
        </w:rPr>
        <w:t>and</w:t>
      </w:r>
      <w:r>
        <w:rPr>
          <w:sz w:val="28"/>
          <w:szCs w:val="28"/>
        </w:rPr>
        <w:t xml:space="preserve"> records</w:t>
      </w:r>
      <w:r w:rsidR="00432C5B">
        <w:rPr>
          <w:sz w:val="28"/>
          <w:szCs w:val="28"/>
        </w:rPr>
        <w:t>.</w:t>
      </w:r>
    </w:p>
    <w:p w:rsidR="00306041" w:rsidRDefault="00306041" w:rsidP="00306041">
      <w:pPr>
        <w:pStyle w:val="Body"/>
        <w:widowControl w:val="0"/>
        <w:spacing w:line="480" w:lineRule="auto"/>
        <w:ind w:left="180" w:right="18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DISCUSSION</w:t>
      </w:r>
    </w:p>
    <w:p w:rsidR="00306041" w:rsidRDefault="00306041" w:rsidP="00306041">
      <w:pPr>
        <w:pStyle w:val="Body"/>
        <w:widowControl w:val="0"/>
        <w:spacing w:line="480" w:lineRule="auto"/>
        <w:ind w:left="18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The current rule addresses the non-public nature of the “work product of state bar sta</w:t>
      </w:r>
      <w:r w:rsidR="00D9177E">
        <w:rPr>
          <w:sz w:val="28"/>
          <w:szCs w:val="28"/>
        </w:rPr>
        <w:t xml:space="preserve">ff [and] bar counsel,” but does not </w:t>
      </w:r>
      <w:r w:rsidR="00824833">
        <w:rPr>
          <w:sz w:val="28"/>
          <w:szCs w:val="28"/>
        </w:rPr>
        <w:t xml:space="preserve">specifically </w:t>
      </w:r>
      <w:r w:rsidR="00D9177E">
        <w:rPr>
          <w:sz w:val="28"/>
          <w:szCs w:val="28"/>
        </w:rPr>
        <w:t xml:space="preserve">address internal communications between </w:t>
      </w:r>
      <w:r w:rsidR="00824833">
        <w:rPr>
          <w:sz w:val="28"/>
          <w:szCs w:val="28"/>
        </w:rPr>
        <w:t>s</w:t>
      </w:r>
      <w:r w:rsidR="00D9177E">
        <w:rPr>
          <w:sz w:val="28"/>
          <w:szCs w:val="28"/>
        </w:rPr>
        <w:t xml:space="preserve">tate </w:t>
      </w:r>
      <w:r w:rsidR="00824833">
        <w:rPr>
          <w:sz w:val="28"/>
          <w:szCs w:val="28"/>
        </w:rPr>
        <w:t>b</w:t>
      </w:r>
      <w:r w:rsidR="00D9177E">
        <w:rPr>
          <w:sz w:val="28"/>
          <w:szCs w:val="28"/>
        </w:rPr>
        <w:t xml:space="preserve">ar staff or internal notes, memoranda or similar documents. The current rule </w:t>
      </w:r>
      <w:r w:rsidR="00432C5B">
        <w:rPr>
          <w:sz w:val="28"/>
          <w:szCs w:val="28"/>
        </w:rPr>
        <w:t xml:space="preserve">also </w:t>
      </w:r>
      <w:r w:rsidR="00D9177E">
        <w:rPr>
          <w:sz w:val="28"/>
          <w:szCs w:val="28"/>
        </w:rPr>
        <w:t xml:space="preserve">does not specifically address </w:t>
      </w:r>
      <w:r w:rsidR="00432C5B">
        <w:rPr>
          <w:sz w:val="28"/>
          <w:szCs w:val="28"/>
        </w:rPr>
        <w:t xml:space="preserve">the public’s access to </w:t>
      </w:r>
      <w:r w:rsidR="00D9177E">
        <w:rPr>
          <w:sz w:val="28"/>
          <w:szCs w:val="28"/>
        </w:rPr>
        <w:t>documents provided to the A</w:t>
      </w:r>
      <w:r w:rsidR="00824833">
        <w:rPr>
          <w:sz w:val="28"/>
          <w:szCs w:val="28"/>
        </w:rPr>
        <w:t xml:space="preserve">ttorney Discipline Probable Cause Committee (“committee”) </w:t>
      </w:r>
      <w:r w:rsidR="00D9177E">
        <w:rPr>
          <w:sz w:val="28"/>
          <w:szCs w:val="28"/>
        </w:rPr>
        <w:t xml:space="preserve">for its review and consideration, </w:t>
      </w:r>
      <w:r w:rsidR="006C7E89">
        <w:rPr>
          <w:sz w:val="28"/>
          <w:szCs w:val="28"/>
        </w:rPr>
        <w:t xml:space="preserve">probation compliance </w:t>
      </w:r>
      <w:r w:rsidR="00060FF3">
        <w:rPr>
          <w:sz w:val="28"/>
          <w:szCs w:val="28"/>
        </w:rPr>
        <w:t xml:space="preserve">records, </w:t>
      </w:r>
      <w:r w:rsidR="00D9177E">
        <w:rPr>
          <w:sz w:val="28"/>
          <w:szCs w:val="28"/>
        </w:rPr>
        <w:t xml:space="preserve">medical records, </w:t>
      </w:r>
      <w:r w:rsidR="00432C5B">
        <w:rPr>
          <w:sz w:val="28"/>
          <w:szCs w:val="28"/>
        </w:rPr>
        <w:t xml:space="preserve">witness interview recordings </w:t>
      </w:r>
      <w:r w:rsidR="006C7E89">
        <w:rPr>
          <w:sz w:val="28"/>
          <w:szCs w:val="28"/>
        </w:rPr>
        <w:t>and</w:t>
      </w:r>
      <w:r w:rsidR="00432C5B">
        <w:rPr>
          <w:sz w:val="28"/>
          <w:szCs w:val="28"/>
        </w:rPr>
        <w:t xml:space="preserve"> </w:t>
      </w:r>
      <w:r w:rsidR="00D9177E">
        <w:rPr>
          <w:sz w:val="28"/>
          <w:szCs w:val="28"/>
        </w:rPr>
        <w:t>transcripts, or tax records.</w:t>
      </w:r>
    </w:p>
    <w:p w:rsidR="00D9177E" w:rsidRPr="00306041" w:rsidRDefault="00D9177E" w:rsidP="00306041">
      <w:pPr>
        <w:pStyle w:val="Body"/>
        <w:widowControl w:val="0"/>
        <w:spacing w:line="480" w:lineRule="auto"/>
        <w:ind w:left="18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>The proposed rule w</w:t>
      </w:r>
      <w:r w:rsidR="006C7E89">
        <w:rPr>
          <w:sz w:val="28"/>
          <w:szCs w:val="28"/>
        </w:rPr>
        <w:t>ill</w:t>
      </w:r>
      <w:r>
        <w:rPr>
          <w:sz w:val="28"/>
          <w:szCs w:val="28"/>
        </w:rPr>
        <w:t xml:space="preserve"> clarify the documen</w:t>
      </w:r>
      <w:r w:rsidR="000348E4">
        <w:rPr>
          <w:sz w:val="28"/>
          <w:szCs w:val="28"/>
        </w:rPr>
        <w:t>ts and records the state bar may</w:t>
      </w:r>
      <w:r>
        <w:rPr>
          <w:sz w:val="28"/>
          <w:szCs w:val="28"/>
        </w:rPr>
        <w:t xml:space="preserve"> disclose to </w:t>
      </w:r>
      <w:r w:rsidR="004F4189">
        <w:rPr>
          <w:sz w:val="28"/>
          <w:szCs w:val="28"/>
        </w:rPr>
        <w:t xml:space="preserve">individuals and other entities prior </w:t>
      </w:r>
      <w:r w:rsidR="004F4189">
        <w:rPr>
          <w:sz w:val="28"/>
          <w:szCs w:val="28"/>
        </w:rPr>
        <w:lastRenderedPageBreak/>
        <w:t>to</w:t>
      </w:r>
      <w:r>
        <w:rPr>
          <w:sz w:val="28"/>
          <w:szCs w:val="28"/>
        </w:rPr>
        <w:t xml:space="preserve"> the record and proceedings becom</w:t>
      </w:r>
      <w:r w:rsidR="004F4189">
        <w:rPr>
          <w:sz w:val="28"/>
          <w:szCs w:val="28"/>
        </w:rPr>
        <w:t>ing</w:t>
      </w:r>
      <w:r>
        <w:rPr>
          <w:sz w:val="28"/>
          <w:szCs w:val="28"/>
        </w:rPr>
        <w:t xml:space="preserve"> matter</w:t>
      </w:r>
      <w:r w:rsidR="004F4189">
        <w:rPr>
          <w:sz w:val="28"/>
          <w:szCs w:val="28"/>
        </w:rPr>
        <w:t>s</w:t>
      </w:r>
      <w:r>
        <w:rPr>
          <w:sz w:val="28"/>
          <w:szCs w:val="28"/>
        </w:rPr>
        <w:t xml:space="preserve"> of public record. It also address</w:t>
      </w:r>
      <w:r w:rsidR="00824833">
        <w:rPr>
          <w:sz w:val="28"/>
          <w:szCs w:val="28"/>
        </w:rPr>
        <w:t>es</w:t>
      </w:r>
      <w:r w:rsidR="004F4189">
        <w:rPr>
          <w:sz w:val="28"/>
          <w:szCs w:val="28"/>
        </w:rPr>
        <w:t xml:space="preserve"> the public’s access to documents while charges are being reviewed or investigated by bar counsel.</w:t>
      </w:r>
    </w:p>
    <w:p w:rsidR="001F591C" w:rsidRDefault="0008003D" w:rsidP="00C94138">
      <w:pPr>
        <w:pStyle w:val="Body"/>
        <w:widowControl w:val="0"/>
        <w:spacing w:line="480" w:lineRule="auto"/>
        <w:ind w:left="180" w:right="18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03E0F" w:rsidRPr="006F63FD">
        <w:rPr>
          <w:sz w:val="28"/>
          <w:szCs w:val="28"/>
        </w:rPr>
        <w:t xml:space="preserve"> </w:t>
      </w:r>
      <w:r w:rsidR="00D802D9">
        <w:rPr>
          <w:sz w:val="28"/>
          <w:szCs w:val="28"/>
        </w:rPr>
        <w:t>Attached as Exhibit A is a copy of the current rule in legislative format</w:t>
      </w:r>
      <w:r w:rsidR="006C7E89">
        <w:rPr>
          <w:sz w:val="28"/>
          <w:szCs w:val="28"/>
        </w:rPr>
        <w:t>,</w:t>
      </w:r>
      <w:r w:rsidR="00447B7F">
        <w:rPr>
          <w:rStyle w:val="FootnoteReference"/>
          <w:sz w:val="28"/>
          <w:szCs w:val="28"/>
        </w:rPr>
        <w:footnoteReference w:id="1"/>
      </w:r>
      <w:r w:rsidR="00D802D9">
        <w:rPr>
          <w:sz w:val="28"/>
          <w:szCs w:val="28"/>
        </w:rPr>
        <w:t xml:space="preserve"> reflecting the proposed amendments to </w:t>
      </w:r>
      <w:r w:rsidR="00615A28">
        <w:rPr>
          <w:sz w:val="28"/>
          <w:szCs w:val="28"/>
        </w:rPr>
        <w:t>Rule 70</w:t>
      </w:r>
      <w:r w:rsidR="00D802D9">
        <w:rPr>
          <w:sz w:val="28"/>
          <w:szCs w:val="28"/>
        </w:rPr>
        <w:t>. Attached as Exhibit B is a copy of the proposed rule.</w:t>
      </w:r>
    </w:p>
    <w:p w:rsidR="004331B2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Rule 70(a)(3) should be amended to reflect that access to information </w:t>
      </w:r>
      <w:r w:rsidR="006C7E89">
        <w:rPr>
          <w:rStyle w:val="BodyTextChar"/>
          <w:sz w:val="28"/>
          <w:szCs w:val="28"/>
        </w:rPr>
        <w:t>continues</w:t>
      </w:r>
      <w:r>
        <w:rPr>
          <w:rStyle w:val="BodyTextChar"/>
          <w:sz w:val="28"/>
          <w:szCs w:val="28"/>
        </w:rPr>
        <w:t xml:space="preserve"> for six months from the date the </w:t>
      </w:r>
      <w:r w:rsidR="00824833">
        <w:rPr>
          <w:rStyle w:val="BodyTextChar"/>
          <w:sz w:val="28"/>
          <w:szCs w:val="28"/>
        </w:rPr>
        <w:t xml:space="preserve">committee </w:t>
      </w:r>
      <w:r>
        <w:rPr>
          <w:rStyle w:val="BodyTextChar"/>
          <w:sz w:val="28"/>
          <w:szCs w:val="28"/>
        </w:rPr>
        <w:t xml:space="preserve">dismisses </w:t>
      </w:r>
      <w:r w:rsidR="006C7E89">
        <w:rPr>
          <w:rStyle w:val="BodyTextChar"/>
          <w:sz w:val="28"/>
          <w:szCs w:val="28"/>
        </w:rPr>
        <w:t xml:space="preserve">a </w:t>
      </w:r>
      <w:r>
        <w:rPr>
          <w:rStyle w:val="BodyTextChar"/>
          <w:sz w:val="28"/>
          <w:szCs w:val="28"/>
        </w:rPr>
        <w:t>charge of misconduct.</w:t>
      </w:r>
    </w:p>
    <w:p w:rsidR="00365FCE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Rule 70(a)(4) should be deleted because</w:t>
      </w:r>
      <w:r w:rsidR="006C7E89">
        <w:rPr>
          <w:rStyle w:val="BodyTextChar"/>
          <w:sz w:val="28"/>
          <w:szCs w:val="28"/>
        </w:rPr>
        <w:t xml:space="preserve"> </w:t>
      </w:r>
      <w:r>
        <w:rPr>
          <w:rStyle w:val="BodyTextChar"/>
          <w:sz w:val="28"/>
          <w:szCs w:val="28"/>
        </w:rPr>
        <w:t xml:space="preserve">Rule </w:t>
      </w:r>
      <w:r w:rsidR="006C7E89">
        <w:rPr>
          <w:rStyle w:val="BodyTextChar"/>
          <w:sz w:val="28"/>
          <w:szCs w:val="28"/>
        </w:rPr>
        <w:t>70</w:t>
      </w:r>
      <w:r>
        <w:rPr>
          <w:rStyle w:val="BodyTextChar"/>
          <w:sz w:val="28"/>
          <w:szCs w:val="28"/>
        </w:rPr>
        <w:t>(3)(a)</w:t>
      </w:r>
      <w:r w:rsidR="006C7E89">
        <w:rPr>
          <w:rStyle w:val="BodyTextChar"/>
          <w:sz w:val="28"/>
          <w:szCs w:val="28"/>
        </w:rPr>
        <w:t xml:space="preserve"> addresses the </w:t>
      </w:r>
      <w:r w:rsidR="00824833">
        <w:rPr>
          <w:rStyle w:val="BodyTextChar"/>
          <w:sz w:val="28"/>
          <w:szCs w:val="28"/>
        </w:rPr>
        <w:t>timeframe that all dismissals are public</w:t>
      </w:r>
      <w:r w:rsidR="006C7E89">
        <w:rPr>
          <w:rStyle w:val="BodyTextChar"/>
          <w:sz w:val="28"/>
          <w:szCs w:val="28"/>
        </w:rPr>
        <w:t>.</w:t>
      </w:r>
    </w:p>
    <w:p w:rsidR="00365FCE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Proposed Rule 70(a)(4) should be amended to address the </w:t>
      </w:r>
      <w:r>
        <w:rPr>
          <w:rStyle w:val="BodyTextChar"/>
          <w:sz w:val="28"/>
          <w:szCs w:val="28"/>
        </w:rPr>
        <w:lastRenderedPageBreak/>
        <w:t>availability of information in contempt proceedings (Rule 47(h)(4)) and alleged violations of probation</w:t>
      </w:r>
      <w:r w:rsidR="006C7E89">
        <w:rPr>
          <w:rStyle w:val="BodyTextChar"/>
          <w:sz w:val="28"/>
          <w:szCs w:val="28"/>
        </w:rPr>
        <w:t xml:space="preserve"> (Rule 60(a)(5))</w:t>
      </w:r>
      <w:r>
        <w:rPr>
          <w:rStyle w:val="BodyTextChar"/>
          <w:sz w:val="28"/>
          <w:szCs w:val="28"/>
        </w:rPr>
        <w:t>.</w:t>
      </w:r>
    </w:p>
    <w:p w:rsidR="000348E4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Rule 70(b)(1) should be amended to </w:t>
      </w:r>
      <w:r w:rsidR="00BB6F48">
        <w:rPr>
          <w:rStyle w:val="BodyTextChar"/>
          <w:sz w:val="28"/>
          <w:szCs w:val="28"/>
        </w:rPr>
        <w:t xml:space="preserve">clarify and define the scope of the work product exception to the availability of information to the public.  </w:t>
      </w:r>
    </w:p>
    <w:p w:rsidR="00365FCE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Proposed Rule 70(b)(3) should be adopted to </w:t>
      </w:r>
      <w:r w:rsidR="00BB6F48">
        <w:rPr>
          <w:rStyle w:val="BodyTextChar"/>
          <w:sz w:val="28"/>
          <w:szCs w:val="28"/>
        </w:rPr>
        <w:t xml:space="preserve">clarify that written submissions to the </w:t>
      </w:r>
      <w:r w:rsidR="00824833">
        <w:rPr>
          <w:rStyle w:val="BodyTextChar"/>
          <w:sz w:val="28"/>
          <w:szCs w:val="28"/>
        </w:rPr>
        <w:t>committee</w:t>
      </w:r>
      <w:r w:rsidR="00BB6F48">
        <w:rPr>
          <w:rStyle w:val="BodyTextChar"/>
          <w:sz w:val="28"/>
          <w:szCs w:val="28"/>
        </w:rPr>
        <w:t xml:space="preserve"> by the state bar, respondents, or complainants are confidential from the public.  </w:t>
      </w:r>
      <w:r w:rsidR="00824833">
        <w:rPr>
          <w:rStyle w:val="BodyTextChar"/>
          <w:sz w:val="28"/>
          <w:szCs w:val="28"/>
        </w:rPr>
        <w:t xml:space="preserve">Committee meetings are confidential pursuant to rule 50(f).  </w:t>
      </w:r>
      <w:r w:rsidR="00EC76AD">
        <w:rPr>
          <w:rStyle w:val="BodyTextChar"/>
          <w:sz w:val="28"/>
          <w:szCs w:val="28"/>
        </w:rPr>
        <w:t>S</w:t>
      </w:r>
      <w:r w:rsidR="00824833">
        <w:rPr>
          <w:rStyle w:val="BodyTextChar"/>
          <w:sz w:val="28"/>
          <w:szCs w:val="28"/>
        </w:rPr>
        <w:t xml:space="preserve">ubmissions to the committee </w:t>
      </w:r>
      <w:r w:rsidR="00EC76AD">
        <w:rPr>
          <w:rStyle w:val="BodyTextChar"/>
          <w:sz w:val="28"/>
          <w:szCs w:val="28"/>
        </w:rPr>
        <w:t xml:space="preserve">are maintained as non-public which </w:t>
      </w:r>
      <w:r w:rsidR="00824833">
        <w:rPr>
          <w:rStyle w:val="BodyTextChar"/>
          <w:sz w:val="28"/>
          <w:szCs w:val="28"/>
        </w:rPr>
        <w:t>is</w:t>
      </w:r>
      <w:r w:rsidR="00BB6F48">
        <w:rPr>
          <w:rStyle w:val="BodyTextChar"/>
          <w:sz w:val="28"/>
          <w:szCs w:val="28"/>
        </w:rPr>
        <w:t xml:space="preserve"> consistent with the confidential nature of proceedings.</w:t>
      </w:r>
    </w:p>
    <w:p w:rsidR="00365FCE" w:rsidRDefault="00365FCE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Proposed Rule 70(b)(8) simply </w:t>
      </w:r>
      <w:r w:rsidR="006C7E89">
        <w:rPr>
          <w:rStyle w:val="BodyTextChar"/>
          <w:sz w:val="28"/>
          <w:szCs w:val="28"/>
        </w:rPr>
        <w:t>changes</w:t>
      </w:r>
      <w:r>
        <w:rPr>
          <w:rStyle w:val="BodyTextChar"/>
          <w:sz w:val="28"/>
          <w:szCs w:val="28"/>
        </w:rPr>
        <w:t xml:space="preserve"> the reference to the “Attorney Consumer Assistance Program” to the</w:t>
      </w:r>
      <w:r w:rsidR="000348E4">
        <w:rPr>
          <w:rStyle w:val="BodyTextChar"/>
          <w:sz w:val="28"/>
          <w:szCs w:val="28"/>
        </w:rPr>
        <w:t xml:space="preserve"> “state bar’s </w:t>
      </w:r>
      <w:r w:rsidR="000348E4">
        <w:rPr>
          <w:rStyle w:val="BodyTextChar"/>
          <w:sz w:val="28"/>
          <w:szCs w:val="28"/>
        </w:rPr>
        <w:lastRenderedPageBreak/>
        <w:t>intake department</w:t>
      </w:r>
      <w:r>
        <w:rPr>
          <w:rStyle w:val="BodyTextChar"/>
          <w:sz w:val="28"/>
          <w:szCs w:val="28"/>
        </w:rPr>
        <w:t>”</w:t>
      </w:r>
      <w:r w:rsidR="000348E4">
        <w:rPr>
          <w:rStyle w:val="BodyTextChar"/>
          <w:sz w:val="28"/>
          <w:szCs w:val="28"/>
        </w:rPr>
        <w:t xml:space="preserve"> t</w:t>
      </w:r>
      <w:r w:rsidR="00EC76AD">
        <w:rPr>
          <w:rStyle w:val="BodyTextChar"/>
          <w:sz w:val="28"/>
          <w:szCs w:val="28"/>
        </w:rPr>
        <w:t>o which it is commonly referred.  The current rules do not define “Attorney Consumer Assistance Program.”</w:t>
      </w:r>
    </w:p>
    <w:p w:rsidR="00365FCE" w:rsidRDefault="000E0F67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Proposed Rule 70(b)(13), </w:t>
      </w:r>
      <w:r w:rsidR="00783873">
        <w:rPr>
          <w:rStyle w:val="BodyTextChar"/>
          <w:sz w:val="28"/>
          <w:szCs w:val="28"/>
        </w:rPr>
        <w:t>(14) and</w:t>
      </w:r>
      <w:r>
        <w:rPr>
          <w:rStyle w:val="BodyTextChar"/>
          <w:sz w:val="28"/>
          <w:szCs w:val="28"/>
        </w:rPr>
        <w:t xml:space="preserve"> </w:t>
      </w:r>
      <w:r w:rsidR="006C7E89">
        <w:rPr>
          <w:rStyle w:val="BodyTextChar"/>
          <w:sz w:val="28"/>
          <w:szCs w:val="28"/>
        </w:rPr>
        <w:t>(</w:t>
      </w:r>
      <w:r>
        <w:rPr>
          <w:rStyle w:val="BodyTextChar"/>
          <w:sz w:val="28"/>
          <w:szCs w:val="28"/>
        </w:rPr>
        <w:t>15) should be adopted to ensure that medical records, recordings and transcripts of witness interviews</w:t>
      </w:r>
      <w:r w:rsidR="001E183D">
        <w:rPr>
          <w:rStyle w:val="BodyTextChar"/>
          <w:sz w:val="28"/>
          <w:szCs w:val="28"/>
        </w:rPr>
        <w:t>,</w:t>
      </w:r>
      <w:r>
        <w:rPr>
          <w:rStyle w:val="BodyTextChar"/>
          <w:sz w:val="28"/>
          <w:szCs w:val="28"/>
        </w:rPr>
        <w:t xml:space="preserve"> and tax records, respectively, do not become matters of public record.</w:t>
      </w:r>
      <w:r w:rsidR="00BB6F48">
        <w:rPr>
          <w:rStyle w:val="BodyTextChar"/>
          <w:sz w:val="28"/>
          <w:szCs w:val="28"/>
        </w:rPr>
        <w:t xml:space="preserve">  These items are currently treated as confidential work product or are frequently the subject of a request for protective order.</w:t>
      </w:r>
    </w:p>
    <w:p w:rsidR="000E0F67" w:rsidRDefault="000E0F67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Rule 70(c)(1) should be reformatted to clarify the rule</w:t>
      </w:r>
      <w:r w:rsidR="00EC76AD">
        <w:rPr>
          <w:rStyle w:val="BodyTextChar"/>
          <w:sz w:val="28"/>
          <w:szCs w:val="28"/>
        </w:rPr>
        <w:t xml:space="preserve"> as to when certain information becomes accessible to the public</w:t>
      </w:r>
      <w:r>
        <w:rPr>
          <w:rStyle w:val="BodyTextChar"/>
          <w:sz w:val="28"/>
          <w:szCs w:val="28"/>
        </w:rPr>
        <w:t>.</w:t>
      </w:r>
    </w:p>
    <w:p w:rsidR="000E0F67" w:rsidRDefault="000E0F67" w:rsidP="00447B7F">
      <w:pPr>
        <w:pStyle w:val="Body"/>
        <w:spacing w:line="480" w:lineRule="auto"/>
        <w:ind w:left="187" w:right="187" w:firstLine="547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Proposed Rule 70(c)(3) should be adopted to note that matters un</w:t>
      </w:r>
      <w:r w:rsidR="000348E4">
        <w:rPr>
          <w:rStyle w:val="BodyTextChar"/>
          <w:sz w:val="28"/>
          <w:szCs w:val="28"/>
        </w:rPr>
        <w:t>der open investigation by the state b</w:t>
      </w:r>
      <w:r>
        <w:rPr>
          <w:rStyle w:val="BodyTextChar"/>
          <w:sz w:val="28"/>
          <w:szCs w:val="28"/>
        </w:rPr>
        <w:t xml:space="preserve">ar or in the prescreening process are not </w:t>
      </w:r>
      <w:r w:rsidR="006C7E89">
        <w:rPr>
          <w:rStyle w:val="BodyTextChar"/>
          <w:sz w:val="28"/>
          <w:szCs w:val="28"/>
        </w:rPr>
        <w:t>subject to being subpoenaed</w:t>
      </w:r>
      <w:r>
        <w:rPr>
          <w:rStyle w:val="BodyTextChar"/>
          <w:sz w:val="28"/>
          <w:szCs w:val="28"/>
        </w:rPr>
        <w:t>.</w:t>
      </w:r>
    </w:p>
    <w:p w:rsidR="000E0F67" w:rsidRDefault="000E0F67" w:rsidP="006C7E89">
      <w:pPr>
        <w:pStyle w:val="Body"/>
        <w:spacing w:line="480" w:lineRule="auto"/>
        <w:ind w:left="187" w:right="187" w:firstLine="547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lastRenderedPageBreak/>
        <w:t>Proposed Rule 70(c)(4) should be adopted to clarify the types of documents and records that may be disclosed to other agencies and entities.</w:t>
      </w:r>
    </w:p>
    <w:p w:rsidR="000E0F67" w:rsidRDefault="000E0F67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Proposed Rule 70(c)(8) should be adopted to clarify that documents sealed pursuant to Rule 70(b) can be used in formal proceedings.</w:t>
      </w:r>
    </w:p>
    <w:p w:rsidR="00BC7A18" w:rsidRPr="006F63FD" w:rsidRDefault="00E70461" w:rsidP="00C94138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>No petition to amend Rule 70 has been filed within the past five years</w:t>
      </w:r>
      <w:r w:rsidR="00BC7A18">
        <w:rPr>
          <w:rStyle w:val="BodyTextChar"/>
          <w:sz w:val="28"/>
          <w:szCs w:val="28"/>
        </w:rPr>
        <w:t>.</w:t>
      </w:r>
    </w:p>
    <w:p w:rsidR="000C48A9" w:rsidRPr="006F63FD" w:rsidRDefault="007A3F0F" w:rsidP="00C94138">
      <w:pPr>
        <w:pStyle w:val="Body"/>
        <w:widowControl w:val="0"/>
        <w:spacing w:line="480" w:lineRule="auto"/>
        <w:ind w:left="180" w:right="180" w:firstLine="540"/>
        <w:jc w:val="center"/>
        <w:rPr>
          <w:rStyle w:val="BodyTextChar"/>
          <w:b/>
          <w:sz w:val="28"/>
          <w:szCs w:val="28"/>
        </w:rPr>
      </w:pPr>
      <w:r w:rsidRPr="006F63FD">
        <w:rPr>
          <w:rStyle w:val="BodyTextChar"/>
          <w:b/>
          <w:sz w:val="28"/>
          <w:szCs w:val="28"/>
        </w:rPr>
        <w:t>CONCLUSION</w:t>
      </w:r>
    </w:p>
    <w:p w:rsidR="006C7E89" w:rsidRDefault="006C7E89" w:rsidP="006C7E89">
      <w:pPr>
        <w:pStyle w:val="Body"/>
        <w:widowControl w:val="0"/>
        <w:spacing w:line="480" w:lineRule="auto"/>
        <w:ind w:left="180" w:right="180" w:firstLine="540"/>
        <w:jc w:val="both"/>
        <w:rPr>
          <w:rStyle w:val="BodyTextChar"/>
          <w:sz w:val="28"/>
          <w:szCs w:val="28"/>
        </w:rPr>
      </w:pPr>
      <w:r>
        <w:rPr>
          <w:rStyle w:val="BodyTextChar"/>
          <w:sz w:val="28"/>
          <w:szCs w:val="28"/>
        </w:rPr>
        <w:t xml:space="preserve">The proposed rule amendments are intended to clarify the availability of information, documents, records and other items </w:t>
      </w:r>
      <w:r w:rsidR="000348E4">
        <w:rPr>
          <w:rStyle w:val="BodyTextChar"/>
          <w:sz w:val="28"/>
          <w:szCs w:val="28"/>
        </w:rPr>
        <w:t>kept by the state bar in its normal course of business.</w:t>
      </w:r>
      <w:r>
        <w:rPr>
          <w:rStyle w:val="BodyTextChar"/>
          <w:sz w:val="28"/>
          <w:szCs w:val="28"/>
        </w:rPr>
        <w:t xml:space="preserve"> It is not intended to </w:t>
      </w:r>
      <w:r w:rsidR="00EC76AD">
        <w:rPr>
          <w:rStyle w:val="BodyTextChar"/>
          <w:sz w:val="28"/>
          <w:szCs w:val="28"/>
        </w:rPr>
        <w:t xml:space="preserve">substantively </w:t>
      </w:r>
      <w:r>
        <w:rPr>
          <w:rStyle w:val="BodyTextChar"/>
          <w:sz w:val="28"/>
          <w:szCs w:val="28"/>
        </w:rPr>
        <w:t>alter</w:t>
      </w:r>
      <w:r w:rsidR="000348E4">
        <w:rPr>
          <w:rStyle w:val="BodyTextChar"/>
          <w:sz w:val="28"/>
          <w:szCs w:val="28"/>
        </w:rPr>
        <w:t xml:space="preserve"> the manner in which the state b</w:t>
      </w:r>
      <w:r>
        <w:rPr>
          <w:rStyle w:val="BodyTextChar"/>
          <w:sz w:val="28"/>
          <w:szCs w:val="28"/>
        </w:rPr>
        <w:t xml:space="preserve">ar presently interprets Rule 70 or provides information and </w:t>
      </w:r>
      <w:r>
        <w:rPr>
          <w:rStyle w:val="BodyTextChar"/>
          <w:sz w:val="28"/>
          <w:szCs w:val="28"/>
        </w:rPr>
        <w:lastRenderedPageBreak/>
        <w:t>records upon request.</w:t>
      </w:r>
    </w:p>
    <w:p w:rsidR="000F7C13" w:rsidRPr="006F63FD" w:rsidRDefault="000F7C13" w:rsidP="00C94138">
      <w:pPr>
        <w:pStyle w:val="Body"/>
        <w:widowControl w:val="0"/>
        <w:tabs>
          <w:tab w:val="left" w:pos="720"/>
        </w:tabs>
        <w:spacing w:line="480" w:lineRule="auto"/>
        <w:ind w:left="180" w:right="180" w:firstLine="540"/>
        <w:rPr>
          <w:spacing w:val="-3"/>
          <w:sz w:val="28"/>
          <w:szCs w:val="28"/>
        </w:rPr>
      </w:pPr>
      <w:r w:rsidRPr="006F63FD">
        <w:rPr>
          <w:sz w:val="28"/>
          <w:szCs w:val="28"/>
        </w:rPr>
        <w:t>The State Bar</w:t>
      </w:r>
      <w:r w:rsidR="00735659">
        <w:rPr>
          <w:sz w:val="28"/>
          <w:szCs w:val="28"/>
        </w:rPr>
        <w:t xml:space="preserve"> of Arizona</w:t>
      </w:r>
      <w:r w:rsidRPr="006F63FD">
        <w:rPr>
          <w:sz w:val="28"/>
          <w:szCs w:val="28"/>
        </w:rPr>
        <w:t xml:space="preserve"> respectfully </w:t>
      </w:r>
      <w:r w:rsidR="004F4189">
        <w:rPr>
          <w:sz w:val="28"/>
          <w:szCs w:val="28"/>
        </w:rPr>
        <w:t>petition</w:t>
      </w:r>
      <w:r w:rsidR="006C7E89">
        <w:rPr>
          <w:sz w:val="28"/>
          <w:szCs w:val="28"/>
        </w:rPr>
        <w:t>s</w:t>
      </w:r>
      <w:r w:rsidR="004F4189">
        <w:rPr>
          <w:sz w:val="28"/>
          <w:szCs w:val="28"/>
        </w:rPr>
        <w:t xml:space="preserve"> the Court to amend Rule 70, Ariz. R. Sup. Ct., for the reasons stated herein and as proposed in Exhibit B.</w:t>
      </w:r>
    </w:p>
    <w:p w:rsidR="000C48A9" w:rsidRPr="006F63FD" w:rsidRDefault="000C48A9" w:rsidP="00C94138">
      <w:pPr>
        <w:pStyle w:val="Body"/>
        <w:widowControl w:val="0"/>
        <w:tabs>
          <w:tab w:val="left" w:pos="720"/>
        </w:tabs>
        <w:ind w:left="180" w:right="180" w:firstLine="540"/>
        <w:rPr>
          <w:sz w:val="28"/>
          <w:szCs w:val="28"/>
        </w:rPr>
      </w:pPr>
      <w:r w:rsidRPr="006F63FD">
        <w:rPr>
          <w:sz w:val="28"/>
          <w:szCs w:val="28"/>
        </w:rPr>
        <w:t xml:space="preserve">RESPECTFULLY SUBMITTED this </w:t>
      </w:r>
      <w:r w:rsidR="004F4189">
        <w:rPr>
          <w:sz w:val="28"/>
          <w:szCs w:val="28"/>
        </w:rPr>
        <w:t>10</w:t>
      </w:r>
      <w:r w:rsidR="004F4189" w:rsidRPr="004F4189">
        <w:rPr>
          <w:sz w:val="28"/>
          <w:szCs w:val="28"/>
          <w:vertAlign w:val="superscript"/>
        </w:rPr>
        <w:t>th</w:t>
      </w:r>
      <w:r w:rsidR="004F4189">
        <w:rPr>
          <w:sz w:val="28"/>
          <w:szCs w:val="28"/>
        </w:rPr>
        <w:t xml:space="preserve"> </w:t>
      </w:r>
      <w:r w:rsidRPr="006F63FD">
        <w:rPr>
          <w:sz w:val="28"/>
          <w:szCs w:val="28"/>
        </w:rPr>
        <w:t>day of</w:t>
      </w:r>
      <w:r w:rsidR="004F4189">
        <w:rPr>
          <w:sz w:val="28"/>
          <w:szCs w:val="28"/>
        </w:rPr>
        <w:t xml:space="preserve"> January, 2019</w:t>
      </w:r>
      <w:r w:rsidRPr="006F63FD">
        <w:rPr>
          <w:sz w:val="28"/>
          <w:szCs w:val="28"/>
        </w:rPr>
        <w:t>.</w:t>
      </w:r>
    </w:p>
    <w:p w:rsidR="000C48A9" w:rsidRPr="000F7A7F" w:rsidRDefault="000C48A9" w:rsidP="000C48A9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p w:rsidR="000C48A9" w:rsidRPr="006F63FD" w:rsidRDefault="004F4189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Maret Vessella</w:t>
      </w:r>
    </w:p>
    <w:p w:rsidR="000C48A9" w:rsidRPr="006F63FD" w:rsidRDefault="00206794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>
        <w:rPr>
          <w:sz w:val="28"/>
          <w:szCs w:val="28"/>
        </w:rPr>
        <w:t>Chief Bar Counsel</w:t>
      </w:r>
    </w:p>
    <w:p w:rsidR="006C7E89" w:rsidRDefault="006C7E89" w:rsidP="00447B7F">
      <w:pPr>
        <w:widowControl w:val="0"/>
        <w:spacing w:line="240" w:lineRule="auto"/>
        <w:ind w:left="187" w:right="4140"/>
        <w:rPr>
          <w:sz w:val="28"/>
          <w:szCs w:val="28"/>
        </w:rPr>
      </w:pPr>
    </w:p>
    <w:p w:rsidR="006C7E89" w:rsidRDefault="006C7E89" w:rsidP="00447B7F">
      <w:pPr>
        <w:widowControl w:val="0"/>
        <w:spacing w:line="240" w:lineRule="auto"/>
        <w:ind w:left="187" w:right="4140"/>
        <w:rPr>
          <w:sz w:val="28"/>
          <w:szCs w:val="28"/>
        </w:rPr>
      </w:pPr>
    </w:p>
    <w:p w:rsidR="000C48A9" w:rsidRPr="00C52E56" w:rsidRDefault="000C48A9" w:rsidP="00447B7F">
      <w:pPr>
        <w:widowControl w:val="0"/>
        <w:spacing w:line="240" w:lineRule="auto"/>
        <w:ind w:left="187" w:right="4140"/>
        <w:rPr>
          <w:sz w:val="28"/>
          <w:szCs w:val="28"/>
        </w:rPr>
      </w:pPr>
      <w:r w:rsidRPr="00C52E56">
        <w:rPr>
          <w:sz w:val="28"/>
          <w:szCs w:val="28"/>
        </w:rPr>
        <w:t>Electronic copy filed with the</w:t>
      </w:r>
    </w:p>
    <w:p w:rsidR="000C48A9" w:rsidRPr="00C52E56" w:rsidRDefault="000C48A9" w:rsidP="00447B7F">
      <w:pPr>
        <w:spacing w:line="240" w:lineRule="auto"/>
        <w:ind w:left="187" w:right="4140"/>
        <w:rPr>
          <w:sz w:val="28"/>
          <w:szCs w:val="28"/>
        </w:rPr>
      </w:pPr>
      <w:r w:rsidRPr="00C52E56">
        <w:rPr>
          <w:sz w:val="28"/>
          <w:szCs w:val="28"/>
        </w:rPr>
        <w:t xml:space="preserve">Clerk of the </w:t>
      </w:r>
      <w:r w:rsidR="00692391">
        <w:rPr>
          <w:sz w:val="28"/>
          <w:szCs w:val="28"/>
        </w:rPr>
        <w:t>Supreme Court of Arizona</w:t>
      </w:r>
    </w:p>
    <w:p w:rsidR="000C48A9" w:rsidRPr="00C52E56" w:rsidRDefault="000C48A9" w:rsidP="00447B7F">
      <w:pPr>
        <w:tabs>
          <w:tab w:val="left" w:pos="4836"/>
        </w:tabs>
        <w:spacing w:line="240" w:lineRule="auto"/>
        <w:ind w:left="187" w:right="3870"/>
        <w:rPr>
          <w:sz w:val="28"/>
          <w:szCs w:val="28"/>
        </w:rPr>
      </w:pPr>
      <w:r w:rsidRPr="00C52E56">
        <w:rPr>
          <w:sz w:val="28"/>
          <w:szCs w:val="28"/>
        </w:rPr>
        <w:t>t</w:t>
      </w:r>
      <w:r w:rsidR="000F7A7F" w:rsidRPr="00C52E56">
        <w:rPr>
          <w:sz w:val="28"/>
          <w:szCs w:val="28"/>
        </w:rPr>
        <w:t xml:space="preserve">his </w:t>
      </w:r>
      <w:r w:rsidR="004F4189">
        <w:rPr>
          <w:sz w:val="28"/>
          <w:szCs w:val="28"/>
        </w:rPr>
        <w:t>10</w:t>
      </w:r>
      <w:r w:rsidR="004F4189" w:rsidRPr="004F4189">
        <w:rPr>
          <w:sz w:val="28"/>
          <w:szCs w:val="28"/>
          <w:vertAlign w:val="superscript"/>
        </w:rPr>
        <w:t>th</w:t>
      </w:r>
      <w:r w:rsidR="004F4189">
        <w:rPr>
          <w:sz w:val="28"/>
          <w:szCs w:val="28"/>
        </w:rPr>
        <w:t xml:space="preserve"> </w:t>
      </w:r>
      <w:r w:rsidR="000F7A7F" w:rsidRPr="00C52E56">
        <w:rPr>
          <w:sz w:val="28"/>
          <w:szCs w:val="28"/>
        </w:rPr>
        <w:t xml:space="preserve">day of </w:t>
      </w:r>
      <w:r w:rsidR="004F4189">
        <w:rPr>
          <w:sz w:val="28"/>
          <w:szCs w:val="28"/>
        </w:rPr>
        <w:t>January</w:t>
      </w:r>
      <w:r w:rsidR="006F63FD" w:rsidRPr="00C52E56">
        <w:rPr>
          <w:sz w:val="28"/>
          <w:szCs w:val="28"/>
        </w:rPr>
        <w:t xml:space="preserve">, </w:t>
      </w:r>
      <w:r w:rsidR="00D60D9B">
        <w:rPr>
          <w:sz w:val="28"/>
          <w:szCs w:val="28"/>
        </w:rPr>
        <w:t>2019</w:t>
      </w:r>
      <w:r w:rsidR="000F7A7F" w:rsidRPr="00C52E56">
        <w:rPr>
          <w:sz w:val="28"/>
          <w:szCs w:val="28"/>
        </w:rPr>
        <w:t>.</w:t>
      </w:r>
    </w:p>
    <w:p w:rsidR="000F7A7F" w:rsidRPr="00C52E56" w:rsidRDefault="000F7A7F" w:rsidP="00447B7F">
      <w:pPr>
        <w:spacing w:line="240" w:lineRule="auto"/>
        <w:ind w:left="187" w:right="4572"/>
        <w:rPr>
          <w:sz w:val="28"/>
          <w:szCs w:val="28"/>
        </w:rPr>
      </w:pPr>
    </w:p>
    <w:p w:rsidR="000C48A9" w:rsidRDefault="004F4189" w:rsidP="00447B7F">
      <w:pPr>
        <w:spacing w:line="240" w:lineRule="auto"/>
        <w:ind w:left="187" w:right="4572"/>
        <w:rPr>
          <w:sz w:val="28"/>
          <w:szCs w:val="28"/>
        </w:rPr>
      </w:pPr>
      <w:r>
        <w:rPr>
          <w:sz w:val="28"/>
          <w:szCs w:val="28"/>
        </w:rPr>
        <w:t>by: _______________</w:t>
      </w:r>
    </w:p>
    <w:p w:rsidR="00615A28" w:rsidRPr="000F7A7F" w:rsidRDefault="00615A28" w:rsidP="006C7E89">
      <w:pPr>
        <w:tabs>
          <w:tab w:val="left" w:pos="8145"/>
        </w:tabs>
        <w:spacing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MV:jb</w:t>
      </w:r>
    </w:p>
    <w:sectPr w:rsidR="00615A28" w:rsidRPr="000F7A7F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BC3" w:rsidRDefault="009E3BC3">
      <w:r>
        <w:separator/>
      </w:r>
    </w:p>
  </w:endnote>
  <w:endnote w:type="continuationSeparator" w:id="0">
    <w:p w:rsidR="009E3BC3" w:rsidRDefault="009E3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D3E4A">
          <w:rPr>
            <w:noProof/>
            <w:sz w:val="26"/>
            <w:szCs w:val="26"/>
          </w:rPr>
          <w:t>1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BC3" w:rsidRDefault="009E3BC3">
      <w:r>
        <w:separator/>
      </w:r>
    </w:p>
  </w:footnote>
  <w:footnote w:type="continuationSeparator" w:id="0">
    <w:p w:rsidR="009E3BC3" w:rsidRDefault="009E3BC3">
      <w:r>
        <w:continuationSeparator/>
      </w:r>
    </w:p>
  </w:footnote>
  <w:footnote w:id="1">
    <w:p w:rsidR="00447B7F" w:rsidRPr="00447B7F" w:rsidRDefault="00447B7F" w:rsidP="00615A28">
      <w:pPr>
        <w:pStyle w:val="FootnoteText"/>
        <w:ind w:left="180" w:right="180"/>
        <w:jc w:val="both"/>
        <w:rPr>
          <w:sz w:val="28"/>
          <w:szCs w:val="28"/>
        </w:rPr>
      </w:pPr>
      <w:r w:rsidRPr="00447B7F">
        <w:rPr>
          <w:rStyle w:val="FootnoteReference"/>
          <w:sz w:val="28"/>
          <w:szCs w:val="28"/>
        </w:rPr>
        <w:footnoteRef/>
      </w:r>
      <w:r w:rsidRPr="00447B7F">
        <w:rPr>
          <w:sz w:val="28"/>
          <w:szCs w:val="28"/>
        </w:rPr>
        <w:t xml:space="preserve"> Additions in the text of the rule are shown by </w:t>
      </w:r>
      <w:r w:rsidRPr="00447B7F">
        <w:rPr>
          <w:sz w:val="28"/>
          <w:szCs w:val="28"/>
          <w:u w:val="single"/>
        </w:rPr>
        <w:t>underscoring</w:t>
      </w:r>
      <w:r w:rsidRPr="00447B7F">
        <w:rPr>
          <w:sz w:val="28"/>
          <w:szCs w:val="28"/>
        </w:rPr>
        <w:t xml:space="preserve"> and deletions from text are shown by </w:t>
      </w:r>
      <w:r w:rsidRPr="00447B7F">
        <w:rPr>
          <w:strike/>
          <w:sz w:val="28"/>
          <w:szCs w:val="28"/>
        </w:rPr>
        <w:t>strikethrough</w:t>
      </w:r>
      <w:r w:rsidR="006C7E89">
        <w:rPr>
          <w:strike/>
          <w:sz w:val="28"/>
          <w:szCs w:val="28"/>
        </w:rPr>
        <w:t>s</w:t>
      </w:r>
      <w:r w:rsidRPr="00447B7F">
        <w:rPr>
          <w:sz w:val="28"/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08499C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A159B7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F33D7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Pr="00206794" w:rsidRDefault="00000C35">
    <w:pPr>
      <w:rPr>
        <w:sz w:val="28"/>
        <w:szCs w:val="28"/>
      </w:rPr>
    </w:pPr>
    <w:r w:rsidRPr="00206794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-636422</wp:posOffset>
              </wp:positionH>
              <wp:positionV relativeFrom="margin">
                <wp:posOffset>9550</wp:posOffset>
              </wp:positionV>
              <wp:extent cx="457200" cy="8024775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024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 w:rsidP="00206794">
                          <w:pPr>
                            <w:spacing w:line="480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1pt;margin-top:.75pt;width:36pt;height:6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" stroked="f">
              <v:textbox inset="0,0,0,0">
                <w:txbxContent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 w:rsidP="00206794">
                    <w:pPr>
                      <w:spacing w:line="480" w:lineRule="auto"/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348E4"/>
    <w:rsid w:val="000410B3"/>
    <w:rsid w:val="00043D4D"/>
    <w:rsid w:val="00052372"/>
    <w:rsid w:val="00060FF3"/>
    <w:rsid w:val="000666D1"/>
    <w:rsid w:val="0008003D"/>
    <w:rsid w:val="000917C0"/>
    <w:rsid w:val="000A1D6B"/>
    <w:rsid w:val="000C48A9"/>
    <w:rsid w:val="000E0F67"/>
    <w:rsid w:val="000F7A7F"/>
    <w:rsid w:val="000F7C13"/>
    <w:rsid w:val="00135326"/>
    <w:rsid w:val="001419CC"/>
    <w:rsid w:val="00167D57"/>
    <w:rsid w:val="001A2520"/>
    <w:rsid w:val="001E183D"/>
    <w:rsid w:val="001F591C"/>
    <w:rsid w:val="00206794"/>
    <w:rsid w:val="002544FE"/>
    <w:rsid w:val="00274D6A"/>
    <w:rsid w:val="002D1EEE"/>
    <w:rsid w:val="002F6162"/>
    <w:rsid w:val="00306041"/>
    <w:rsid w:val="00352347"/>
    <w:rsid w:val="003566D6"/>
    <w:rsid w:val="00357F4D"/>
    <w:rsid w:val="003617D1"/>
    <w:rsid w:val="00365FCE"/>
    <w:rsid w:val="00377199"/>
    <w:rsid w:val="003A28AC"/>
    <w:rsid w:val="003A3365"/>
    <w:rsid w:val="00407E2D"/>
    <w:rsid w:val="00432C5B"/>
    <w:rsid w:val="004331B2"/>
    <w:rsid w:val="00440E4C"/>
    <w:rsid w:val="00447B7F"/>
    <w:rsid w:val="004626D5"/>
    <w:rsid w:val="00463734"/>
    <w:rsid w:val="00494BDF"/>
    <w:rsid w:val="004C3AE3"/>
    <w:rsid w:val="004F4189"/>
    <w:rsid w:val="00504E1E"/>
    <w:rsid w:val="00506859"/>
    <w:rsid w:val="00520F93"/>
    <w:rsid w:val="00566856"/>
    <w:rsid w:val="005A21B0"/>
    <w:rsid w:val="005B5161"/>
    <w:rsid w:val="005D6AD4"/>
    <w:rsid w:val="00615A28"/>
    <w:rsid w:val="00616A4F"/>
    <w:rsid w:val="006338C1"/>
    <w:rsid w:val="00636F5E"/>
    <w:rsid w:val="00654323"/>
    <w:rsid w:val="00665CCF"/>
    <w:rsid w:val="006666D1"/>
    <w:rsid w:val="006721EC"/>
    <w:rsid w:val="006766BF"/>
    <w:rsid w:val="00692391"/>
    <w:rsid w:val="006932BA"/>
    <w:rsid w:val="006B4F9A"/>
    <w:rsid w:val="006C7E89"/>
    <w:rsid w:val="006F63FD"/>
    <w:rsid w:val="00732169"/>
    <w:rsid w:val="00735659"/>
    <w:rsid w:val="007427C6"/>
    <w:rsid w:val="0077110E"/>
    <w:rsid w:val="00771A58"/>
    <w:rsid w:val="00783873"/>
    <w:rsid w:val="007870CB"/>
    <w:rsid w:val="007A3F0F"/>
    <w:rsid w:val="007D5C49"/>
    <w:rsid w:val="007D73FF"/>
    <w:rsid w:val="007E3CCB"/>
    <w:rsid w:val="008006ED"/>
    <w:rsid w:val="00822598"/>
    <w:rsid w:val="00824833"/>
    <w:rsid w:val="008360A1"/>
    <w:rsid w:val="00861563"/>
    <w:rsid w:val="00871AAA"/>
    <w:rsid w:val="00876F57"/>
    <w:rsid w:val="00891AAA"/>
    <w:rsid w:val="008A4860"/>
    <w:rsid w:val="00933EA1"/>
    <w:rsid w:val="00951416"/>
    <w:rsid w:val="00960D21"/>
    <w:rsid w:val="00981D29"/>
    <w:rsid w:val="00981E11"/>
    <w:rsid w:val="009E3BC3"/>
    <w:rsid w:val="00A1564B"/>
    <w:rsid w:val="00A378D8"/>
    <w:rsid w:val="00A5194F"/>
    <w:rsid w:val="00A85033"/>
    <w:rsid w:val="00A871D6"/>
    <w:rsid w:val="00A93A7C"/>
    <w:rsid w:val="00AC2890"/>
    <w:rsid w:val="00AF282C"/>
    <w:rsid w:val="00AF3FF7"/>
    <w:rsid w:val="00B12ED4"/>
    <w:rsid w:val="00B1491D"/>
    <w:rsid w:val="00B47B7D"/>
    <w:rsid w:val="00B5729F"/>
    <w:rsid w:val="00BB48F6"/>
    <w:rsid w:val="00BB6F48"/>
    <w:rsid w:val="00BC7A18"/>
    <w:rsid w:val="00BF4436"/>
    <w:rsid w:val="00C03E0F"/>
    <w:rsid w:val="00C114CD"/>
    <w:rsid w:val="00C52E56"/>
    <w:rsid w:val="00C5407A"/>
    <w:rsid w:val="00C662B0"/>
    <w:rsid w:val="00C84FD4"/>
    <w:rsid w:val="00C94138"/>
    <w:rsid w:val="00C958EE"/>
    <w:rsid w:val="00CD21FB"/>
    <w:rsid w:val="00D117FA"/>
    <w:rsid w:val="00D423FE"/>
    <w:rsid w:val="00D442E4"/>
    <w:rsid w:val="00D60D9B"/>
    <w:rsid w:val="00D802D9"/>
    <w:rsid w:val="00D80EDC"/>
    <w:rsid w:val="00D9177E"/>
    <w:rsid w:val="00DF4F15"/>
    <w:rsid w:val="00E047D3"/>
    <w:rsid w:val="00E21AB1"/>
    <w:rsid w:val="00E266B7"/>
    <w:rsid w:val="00E321C5"/>
    <w:rsid w:val="00E5772B"/>
    <w:rsid w:val="00E67511"/>
    <w:rsid w:val="00E70461"/>
    <w:rsid w:val="00E81026"/>
    <w:rsid w:val="00E82D0F"/>
    <w:rsid w:val="00E942D1"/>
    <w:rsid w:val="00E950B5"/>
    <w:rsid w:val="00EC76AD"/>
    <w:rsid w:val="00ED3E4A"/>
    <w:rsid w:val="00F05879"/>
    <w:rsid w:val="00F06F5B"/>
    <w:rsid w:val="00F2485D"/>
    <w:rsid w:val="00F33926"/>
    <w:rsid w:val="00F60C61"/>
    <w:rsid w:val="00F64B52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FE068-B224-40F3-8CEB-9546C45B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1</TotalTime>
  <Pages>7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2</cp:revision>
  <cp:lastPrinted>2014-04-30T16:27:00Z</cp:lastPrinted>
  <dcterms:created xsi:type="dcterms:W3CDTF">2019-01-10T23:52:00Z</dcterms:created>
  <dcterms:modified xsi:type="dcterms:W3CDTF">2019-01-10T23:52:00Z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