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B7E9" w14:textId="77777777" w:rsidR="00DC38DE" w:rsidRPr="00F72E82" w:rsidRDefault="00DC38DE" w:rsidP="00F72E82">
      <w:pPr>
        <w:pStyle w:val="AttorneyName"/>
        <w:spacing w:line="240" w:lineRule="auto"/>
        <w:rPr>
          <w:rFonts w:ascii="Times New Roman" w:hAnsi="Times New Roman"/>
          <w:b/>
          <w:sz w:val="28"/>
          <w:szCs w:val="28"/>
        </w:rPr>
      </w:pPr>
      <w:r w:rsidRPr="00F72E82">
        <w:rPr>
          <w:rFonts w:ascii="Times New Roman" w:hAnsi="Times New Roman"/>
          <w:b/>
          <w:sz w:val="28"/>
          <w:szCs w:val="28"/>
        </w:rPr>
        <w:t>ARIZONA ATTORNEYS FOR CRIMINAL JUSTICE</w:t>
      </w:r>
    </w:p>
    <w:p w14:paraId="6B6F03AA" w14:textId="77777777" w:rsidR="00D0294B" w:rsidRDefault="00D0294B" w:rsidP="00F72E82">
      <w:pPr>
        <w:pStyle w:val="AttorneyName"/>
        <w:spacing w:line="240" w:lineRule="auto"/>
        <w:rPr>
          <w:rFonts w:ascii="Times New Roman" w:hAnsi="Times New Roman"/>
          <w:b/>
          <w:i/>
          <w:sz w:val="28"/>
          <w:szCs w:val="28"/>
        </w:rPr>
      </w:pPr>
    </w:p>
    <w:p w14:paraId="442F9F02" w14:textId="77777777" w:rsidR="00A74317" w:rsidRPr="00C57B99" w:rsidRDefault="00A74317" w:rsidP="00A74317">
      <w:pPr>
        <w:pStyle w:val="AttorneyName"/>
        <w:spacing w:line="240" w:lineRule="auto"/>
        <w:rPr>
          <w:rFonts w:ascii="Times New Roman" w:hAnsi="Times New Roman"/>
          <w:b/>
          <w:i/>
          <w:sz w:val="24"/>
          <w:szCs w:val="24"/>
        </w:rPr>
      </w:pPr>
      <w:r>
        <w:rPr>
          <w:rFonts w:ascii="Times New Roman" w:hAnsi="Times New Roman"/>
          <w:b/>
          <w:i/>
          <w:sz w:val="24"/>
          <w:szCs w:val="24"/>
        </w:rPr>
        <w:t>DAVID J. EUCHNER</w:t>
      </w:r>
      <w:r w:rsidRPr="00C57B99">
        <w:rPr>
          <w:rFonts w:ascii="Times New Roman" w:hAnsi="Times New Roman"/>
          <w:b/>
          <w:i/>
          <w:sz w:val="24"/>
          <w:szCs w:val="24"/>
        </w:rPr>
        <w:t>, SB#</w:t>
      </w:r>
      <w:r>
        <w:rPr>
          <w:rFonts w:ascii="Times New Roman" w:hAnsi="Times New Roman"/>
          <w:b/>
          <w:i/>
          <w:sz w:val="24"/>
          <w:szCs w:val="24"/>
        </w:rPr>
        <w:t>021768</w:t>
      </w:r>
    </w:p>
    <w:p w14:paraId="71F3E3DE" w14:textId="77777777"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Pima County Public Defender’s Office</w:t>
      </w:r>
    </w:p>
    <w:p w14:paraId="3479BB2D" w14:textId="77777777" w:rsidR="00A74317" w:rsidRPr="002F1FBD"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52151C">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77777777"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Pr>
          <w:rFonts w:ascii="Times New Roman" w:hAnsi="Times New Roman"/>
          <w:b/>
          <w:sz w:val="24"/>
          <w:szCs w:val="24"/>
        </w:rPr>
        <w:tab/>
      </w:r>
      <w:r w:rsidRPr="002F1FBD">
        <w:rPr>
          <w:rFonts w:ascii="Times New Roman" w:hAnsi="Times New Roman"/>
          <w:b/>
          <w:sz w:val="24"/>
          <w:szCs w:val="24"/>
        </w:rPr>
        <w:t>(</w:t>
      </w:r>
      <w:r>
        <w:rPr>
          <w:rFonts w:ascii="Times New Roman" w:hAnsi="Times New Roman"/>
          <w:b/>
          <w:sz w:val="24"/>
          <w:szCs w:val="24"/>
        </w:rPr>
        <w:t>520</w:t>
      </w:r>
      <w:r w:rsidRPr="002F1FBD">
        <w:rPr>
          <w:rFonts w:ascii="Times New Roman" w:hAnsi="Times New Roman"/>
          <w:b/>
          <w:sz w:val="24"/>
          <w:szCs w:val="24"/>
        </w:rPr>
        <w:t xml:space="preserve">) </w:t>
      </w:r>
      <w:r>
        <w:rPr>
          <w:rFonts w:ascii="Times New Roman" w:hAnsi="Times New Roman"/>
          <w:b/>
          <w:sz w:val="24"/>
          <w:szCs w:val="24"/>
        </w:rPr>
        <w:t>724-6800</w:t>
      </w:r>
    </w:p>
    <w:p w14:paraId="724B03C3" w14:textId="77777777"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Pr="004F3877">
          <w:rPr>
            <w:rStyle w:val="Hyperlink"/>
            <w:rFonts w:ascii="Times New Roman" w:hAnsi="Times New Roman"/>
            <w:b/>
            <w:sz w:val="24"/>
            <w:szCs w:val="24"/>
          </w:rPr>
          <w:t>david.euchner@pima.gov</w:t>
        </w:r>
      </w:hyperlink>
    </w:p>
    <w:p w14:paraId="42DC38D1" w14:textId="77777777" w:rsidR="00A74317" w:rsidRDefault="00A74317" w:rsidP="00A74317">
      <w:pPr>
        <w:pStyle w:val="AttorneyName"/>
        <w:spacing w:line="240" w:lineRule="auto"/>
        <w:rPr>
          <w:rFonts w:ascii="Times New Roman" w:hAnsi="Times New Roman"/>
          <w:b/>
          <w:i/>
          <w:sz w:val="24"/>
          <w:szCs w:val="24"/>
        </w:rPr>
      </w:pPr>
    </w:p>
    <w:p w14:paraId="157C6FD6" w14:textId="77777777" w:rsidR="00A74317" w:rsidRPr="00C57B99" w:rsidRDefault="00A74317" w:rsidP="00A74317">
      <w:pPr>
        <w:pStyle w:val="AttorneyName"/>
        <w:spacing w:line="240" w:lineRule="auto"/>
        <w:rPr>
          <w:rFonts w:ascii="Times New Roman" w:hAnsi="Times New Roman"/>
          <w:b/>
          <w:i/>
          <w:sz w:val="24"/>
          <w:szCs w:val="24"/>
        </w:rPr>
      </w:pPr>
      <w:r>
        <w:rPr>
          <w:rFonts w:ascii="Times New Roman" w:hAnsi="Times New Roman"/>
          <w:b/>
          <w:i/>
          <w:sz w:val="24"/>
          <w:szCs w:val="24"/>
        </w:rPr>
        <w:t>NATHAN S. BENEDICT</w:t>
      </w:r>
      <w:r w:rsidRPr="00C57B99">
        <w:rPr>
          <w:rFonts w:ascii="Times New Roman" w:hAnsi="Times New Roman"/>
          <w:b/>
          <w:i/>
          <w:sz w:val="24"/>
          <w:szCs w:val="24"/>
        </w:rPr>
        <w:t>, SB#</w:t>
      </w:r>
      <w:r>
        <w:rPr>
          <w:rFonts w:ascii="Times New Roman" w:hAnsi="Times New Roman"/>
          <w:b/>
          <w:i/>
          <w:sz w:val="24"/>
          <w:szCs w:val="24"/>
        </w:rPr>
        <w:t>029879</w:t>
      </w:r>
    </w:p>
    <w:p w14:paraId="61DB2A46" w14:textId="77777777"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Salt River Pima-Maricopa Indian Community Defense Advocate Office</w:t>
      </w:r>
    </w:p>
    <w:p w14:paraId="2FF1AED9" w14:textId="77777777" w:rsidR="00A74317" w:rsidRPr="002F1FBD"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10005 E. Osborn St., Scottsdale, AZ 85256</w:t>
      </w:r>
    </w:p>
    <w:p w14:paraId="65CD987E" w14:textId="77777777"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Pr>
          <w:rFonts w:ascii="Times New Roman" w:hAnsi="Times New Roman"/>
          <w:b/>
          <w:sz w:val="24"/>
          <w:szCs w:val="24"/>
        </w:rPr>
        <w:tab/>
      </w:r>
      <w:r w:rsidRPr="002F1FBD">
        <w:rPr>
          <w:rFonts w:ascii="Times New Roman" w:hAnsi="Times New Roman"/>
          <w:b/>
          <w:sz w:val="24"/>
          <w:szCs w:val="24"/>
        </w:rPr>
        <w:t>(</w:t>
      </w:r>
      <w:r>
        <w:rPr>
          <w:rFonts w:ascii="Times New Roman" w:hAnsi="Times New Roman"/>
          <w:b/>
          <w:sz w:val="24"/>
          <w:szCs w:val="24"/>
        </w:rPr>
        <w:t>480</w:t>
      </w:r>
      <w:r w:rsidRPr="002F1FBD">
        <w:rPr>
          <w:rFonts w:ascii="Times New Roman" w:hAnsi="Times New Roman"/>
          <w:b/>
          <w:sz w:val="24"/>
          <w:szCs w:val="24"/>
        </w:rPr>
        <w:t xml:space="preserve">) </w:t>
      </w:r>
      <w:r>
        <w:rPr>
          <w:rFonts w:ascii="Times New Roman" w:hAnsi="Times New Roman"/>
          <w:b/>
          <w:sz w:val="24"/>
          <w:szCs w:val="24"/>
        </w:rPr>
        <w:t>362-5737</w:t>
      </w:r>
    </w:p>
    <w:p w14:paraId="1B5FF590" w14:textId="77777777" w:rsidR="00A74317" w:rsidRDefault="00F33938" w:rsidP="00A74317">
      <w:pPr>
        <w:pStyle w:val="AttorneyName"/>
        <w:spacing w:line="240" w:lineRule="auto"/>
        <w:rPr>
          <w:rFonts w:ascii="Times New Roman" w:hAnsi="Times New Roman"/>
          <w:b/>
          <w:sz w:val="24"/>
          <w:szCs w:val="24"/>
        </w:rPr>
      </w:pPr>
      <w:hyperlink r:id="rId12" w:history="1">
        <w:r w:rsidR="00A74317" w:rsidRPr="00CA5184">
          <w:rPr>
            <w:rStyle w:val="Hyperlink"/>
            <w:rFonts w:ascii="Times New Roman" w:hAnsi="Times New Roman"/>
            <w:b/>
            <w:sz w:val="24"/>
            <w:szCs w:val="24"/>
          </w:rPr>
          <w:t>nathan.benedict@srpmic-nsn.gov</w:t>
        </w:r>
      </w:hyperlink>
    </w:p>
    <w:p w14:paraId="34882FB6" w14:textId="77777777" w:rsidR="00943146" w:rsidRDefault="00943146" w:rsidP="00943146">
      <w:pPr>
        <w:pStyle w:val="AttorneyName"/>
        <w:spacing w:line="240" w:lineRule="auto"/>
        <w:rPr>
          <w:rFonts w:ascii="Times New Roman" w:hAnsi="Times New Roman"/>
          <w:b/>
          <w:sz w:val="28"/>
          <w:szCs w:val="28"/>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132787F6" w:rsidR="00DC38DE" w:rsidRPr="0014499B" w:rsidRDefault="00DC38DE" w:rsidP="00A74317">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sidR="00A74317">
              <w:rPr>
                <w:rFonts w:ascii="Times New Roman" w:hAnsi="Times New Roman"/>
                <w:sz w:val="28"/>
                <w:szCs w:val="28"/>
              </w:rPr>
              <w:t>Arizona Rule of Criminal Procedure 20(b)</w:t>
            </w:r>
            <w:r w:rsidR="001B408E">
              <w:rPr>
                <w:rFonts w:ascii="Times New Roman" w:hAnsi="Times New Roman"/>
                <w:sz w:val="28"/>
                <w:szCs w:val="28"/>
              </w:rPr>
              <w:t>(1)</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tc>
        <w:tc>
          <w:tcPr>
            <w:tcW w:w="4542" w:type="dxa"/>
            <w:shd w:val="clear" w:color="auto" w:fill="auto"/>
          </w:tcPr>
          <w:p w14:paraId="268AB801" w14:textId="567A168C"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Pr>
                <w:rFonts w:ascii="Times New Roman" w:hAnsi="Times New Roman"/>
                <w:sz w:val="28"/>
                <w:szCs w:val="28"/>
              </w:rPr>
              <w:t>1</w:t>
            </w:r>
            <w:r w:rsidR="009E7AC2">
              <w:rPr>
                <w:rFonts w:ascii="Times New Roman" w:hAnsi="Times New Roman"/>
                <w:sz w:val="28"/>
                <w:szCs w:val="28"/>
              </w:rPr>
              <w:t>9</w:t>
            </w:r>
            <w:r w:rsidRPr="0014499B">
              <w:rPr>
                <w:rFonts w:ascii="Times New Roman" w:hAnsi="Times New Roman"/>
                <w:sz w:val="28"/>
                <w:szCs w:val="28"/>
              </w:rPr>
              <w:t>-</w:t>
            </w:r>
            <w:r w:rsidR="009E7AC2">
              <w:rPr>
                <w:rFonts w:ascii="Times New Roman" w:hAnsi="Times New Roman"/>
                <w:sz w:val="28"/>
                <w:szCs w:val="28"/>
              </w:rPr>
              <w:t>____</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3635BCE4" w:rsidR="00DC38DE" w:rsidRPr="00F84E06" w:rsidRDefault="00DC38DE" w:rsidP="00A74317">
            <w:pPr>
              <w:pStyle w:val="SingleSpacing"/>
              <w:spacing w:line="240" w:lineRule="auto"/>
              <w:rPr>
                <w:rFonts w:ascii="Times New Roman" w:hAnsi="Times New Roman"/>
                <w:b/>
                <w:i/>
                <w:sz w:val="28"/>
                <w:szCs w:val="28"/>
              </w:rPr>
            </w:pPr>
            <w:r w:rsidRPr="0014499B">
              <w:rPr>
                <w:rFonts w:ascii="Times New Roman" w:hAnsi="Times New Roman"/>
                <w:b/>
                <w:sz w:val="28"/>
                <w:szCs w:val="28"/>
              </w:rPr>
              <w:t>PETITION TO A</w:t>
            </w:r>
            <w:r w:rsidR="00D0294B">
              <w:rPr>
                <w:rFonts w:ascii="Times New Roman" w:hAnsi="Times New Roman"/>
                <w:b/>
                <w:sz w:val="28"/>
                <w:szCs w:val="28"/>
              </w:rPr>
              <w:t>MEN</w:t>
            </w:r>
            <w:r w:rsidRPr="0014499B">
              <w:rPr>
                <w:rFonts w:ascii="Times New Roman" w:hAnsi="Times New Roman"/>
                <w:b/>
                <w:sz w:val="28"/>
                <w:szCs w:val="28"/>
              </w:rPr>
              <w:t xml:space="preserve">D ARIZONA RULE OF </w:t>
            </w:r>
            <w:r w:rsidR="00A74317">
              <w:rPr>
                <w:rFonts w:ascii="Times New Roman" w:hAnsi="Times New Roman"/>
                <w:b/>
                <w:sz w:val="28"/>
                <w:szCs w:val="28"/>
              </w:rPr>
              <w:t>CRIMINAL PROCEDURE 20(B)</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109D667E"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 hereby submits the following petition</w:t>
      </w:r>
      <w:r w:rsidR="00A74317">
        <w:rPr>
          <w:rFonts w:ascii="Times New Roman" w:hAnsi="Times New Roman"/>
          <w:sz w:val="28"/>
          <w:szCs w:val="28"/>
        </w:rPr>
        <w:t xml:space="preserve"> to amend Arizona Rule of Criminal Procedure 20(b)</w:t>
      </w:r>
      <w:r w:rsidR="003840C9">
        <w:rPr>
          <w:rFonts w:ascii="Times New Roman" w:hAnsi="Times New Roman"/>
          <w:sz w:val="28"/>
          <w:szCs w:val="28"/>
        </w:rPr>
        <w:t xml:space="preserve">, subsections </w:t>
      </w:r>
      <w:r w:rsidR="001B408E">
        <w:rPr>
          <w:rFonts w:ascii="Times New Roman" w:hAnsi="Times New Roman"/>
          <w:sz w:val="28"/>
          <w:szCs w:val="28"/>
        </w:rPr>
        <w:t>(1)</w:t>
      </w:r>
      <w:r w:rsidR="003840C9">
        <w:rPr>
          <w:rFonts w:ascii="Times New Roman" w:hAnsi="Times New Roman"/>
          <w:sz w:val="28"/>
          <w:szCs w:val="28"/>
        </w:rPr>
        <w:t xml:space="preserve"> and (2)</w:t>
      </w:r>
      <w:r w:rsidR="00A74317">
        <w:rPr>
          <w:rFonts w:ascii="Times New Roman" w:hAnsi="Times New Roman"/>
          <w:sz w:val="28"/>
          <w:szCs w:val="28"/>
        </w:rPr>
        <w:t xml:space="preserve">, to address the anomalous and absurd result of permitting a trial court to entertain a </w:t>
      </w:r>
      <w:r w:rsidR="002C660A">
        <w:rPr>
          <w:rFonts w:ascii="Times New Roman" w:hAnsi="Times New Roman"/>
          <w:sz w:val="28"/>
          <w:szCs w:val="28"/>
        </w:rPr>
        <w:t>motion for judgment of acquittal only in cases where the jury returns a guilty verdict but not when the jury fails to reach a unanimous verdict</w:t>
      </w:r>
      <w:r w:rsidR="00A74317">
        <w:rPr>
          <w:rFonts w:ascii="Times New Roman" w:hAnsi="Times New Roman"/>
          <w:sz w:val="28"/>
          <w:szCs w:val="28"/>
        </w:rPr>
        <w:t>.</w:t>
      </w:r>
    </w:p>
    <w:p w14:paraId="268AB806" w14:textId="397696CF"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w:t>
      </w:r>
      <w:r w:rsidRPr="00A629F8">
        <w:rPr>
          <w:rFonts w:ascii="Times New Roman" w:hAnsi="Times New Roman"/>
          <w:sz w:val="28"/>
          <w:szCs w:val="28"/>
        </w:rPr>
        <w:lastRenderedPageBreak/>
        <w:t>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15845373" w14:textId="77777777" w:rsidR="00BC2358" w:rsidRDefault="00BC2358" w:rsidP="001D0E6C">
      <w:pPr>
        <w:spacing w:line="480" w:lineRule="auto"/>
        <w:ind w:firstLine="720"/>
        <w:jc w:val="both"/>
        <w:rPr>
          <w:rFonts w:ascii="Times New Roman" w:hAnsi="Times New Roman"/>
          <w:sz w:val="28"/>
          <w:szCs w:val="28"/>
        </w:rPr>
      </w:pPr>
    </w:p>
    <w:p w14:paraId="72CA0E0E" w14:textId="4949E9F9" w:rsidR="002C660A"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Background</w:t>
      </w:r>
    </w:p>
    <w:p w14:paraId="46F7B080" w14:textId="1CB2F3B5" w:rsidR="00BC2358" w:rsidRDefault="00802B79"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In </w:t>
      </w:r>
      <w:r w:rsidRPr="00802B79">
        <w:rPr>
          <w:rFonts w:ascii="Times New Roman" w:hAnsi="Times New Roman"/>
          <w:i/>
          <w:sz w:val="28"/>
          <w:szCs w:val="28"/>
        </w:rPr>
        <w:t>State v. Diaz</w:t>
      </w:r>
      <w:r>
        <w:rPr>
          <w:rFonts w:ascii="Times New Roman" w:hAnsi="Times New Roman"/>
          <w:sz w:val="28"/>
          <w:szCs w:val="28"/>
        </w:rPr>
        <w:t xml:space="preserve">, 221 Ariz. </w:t>
      </w:r>
      <w:r w:rsidR="002F33EF">
        <w:rPr>
          <w:rFonts w:ascii="Times New Roman" w:hAnsi="Times New Roman"/>
          <w:sz w:val="28"/>
          <w:szCs w:val="28"/>
        </w:rPr>
        <w:t>2</w:t>
      </w:r>
      <w:r>
        <w:rPr>
          <w:rFonts w:ascii="Times New Roman" w:hAnsi="Times New Roman"/>
          <w:sz w:val="28"/>
          <w:szCs w:val="28"/>
        </w:rPr>
        <w:t>09</w:t>
      </w:r>
      <w:r w:rsidR="00111A1A">
        <w:rPr>
          <w:rFonts w:ascii="Times New Roman" w:hAnsi="Times New Roman"/>
          <w:sz w:val="28"/>
          <w:szCs w:val="28"/>
        </w:rPr>
        <w:t>, 211 ¶ 4</w:t>
      </w:r>
      <w:r>
        <w:rPr>
          <w:rFonts w:ascii="Times New Roman" w:hAnsi="Times New Roman"/>
          <w:sz w:val="28"/>
          <w:szCs w:val="28"/>
        </w:rPr>
        <w:t xml:space="preserve"> (App. 2009), </w:t>
      </w:r>
      <w:r w:rsidR="002F33EF" w:rsidRPr="002F33EF">
        <w:rPr>
          <w:rFonts w:ascii="Times New Roman" w:hAnsi="Times New Roman"/>
          <w:i/>
          <w:sz w:val="28"/>
          <w:szCs w:val="28"/>
        </w:rPr>
        <w:t>vacated on other grounds</w:t>
      </w:r>
      <w:r w:rsidR="002F33EF">
        <w:rPr>
          <w:rFonts w:ascii="Times New Roman" w:hAnsi="Times New Roman"/>
          <w:sz w:val="28"/>
          <w:szCs w:val="28"/>
        </w:rPr>
        <w:t xml:space="preserve">, 223 Ariz. 358 (2010), the defendant challenged his conviction on one count of aggravated assault against R. on the ground that he had previously been tried and the State presented insufficient evidence to convict at that first trial. The court of appeals </w:t>
      </w:r>
      <w:r w:rsidR="00111A1A">
        <w:rPr>
          <w:rFonts w:ascii="Times New Roman" w:hAnsi="Times New Roman"/>
          <w:sz w:val="28"/>
          <w:szCs w:val="28"/>
        </w:rPr>
        <w:t>refused to address the issue because the first jury did not reach a verdict:</w:t>
      </w:r>
    </w:p>
    <w:p w14:paraId="183C391A" w14:textId="381BA18A" w:rsidR="00111A1A" w:rsidRDefault="00111A1A" w:rsidP="00111A1A">
      <w:pPr>
        <w:spacing w:line="240" w:lineRule="auto"/>
        <w:ind w:left="720" w:right="720"/>
        <w:jc w:val="both"/>
        <w:rPr>
          <w:rFonts w:ascii="Times New Roman" w:hAnsi="Times New Roman"/>
          <w:sz w:val="28"/>
          <w:szCs w:val="28"/>
        </w:rPr>
      </w:pPr>
      <w:r w:rsidRPr="00111A1A">
        <w:rPr>
          <w:rFonts w:ascii="Times New Roman" w:hAnsi="Times New Roman"/>
          <w:sz w:val="28"/>
          <w:szCs w:val="28"/>
        </w:rPr>
        <w:t xml:space="preserve">During his first trial, Diaz moved for a judgment of acquittal on the count charging him with the aggravated assault of R. and now asserts the court erred in denying his motion. But, because the jury was unable to reach a verdict regarding his alleged aggravated assault of R., Diaz's first trial ended in a mistrial on that charge. </w:t>
      </w:r>
      <w:r w:rsidRPr="00111A1A">
        <w:rPr>
          <w:rFonts w:ascii="Times New Roman" w:hAnsi="Times New Roman"/>
          <w:i/>
          <w:sz w:val="28"/>
          <w:szCs w:val="28"/>
        </w:rPr>
        <w:t>See</w:t>
      </w:r>
      <w:r w:rsidRPr="00111A1A">
        <w:rPr>
          <w:rFonts w:ascii="Times New Roman" w:hAnsi="Times New Roman"/>
          <w:sz w:val="28"/>
          <w:szCs w:val="28"/>
        </w:rPr>
        <w:t xml:space="preserve"> Ariz. R.</w:t>
      </w:r>
      <w:r>
        <w:rPr>
          <w:rFonts w:ascii="Times New Roman" w:hAnsi="Times New Roman"/>
          <w:sz w:val="28"/>
          <w:szCs w:val="28"/>
        </w:rPr>
        <w:t xml:space="preserve"> </w:t>
      </w:r>
      <w:r w:rsidRPr="00111A1A">
        <w:rPr>
          <w:rFonts w:ascii="Times New Roman" w:hAnsi="Times New Roman"/>
          <w:sz w:val="28"/>
          <w:szCs w:val="28"/>
        </w:rPr>
        <w:t xml:space="preserve">Crim. P. 22.4. “Where the jur[ors] disagree and are discharged by the court, then the status of the case is the same as though there had been no trial at all” on the charges as to which the jurors could not agree. </w:t>
      </w:r>
      <w:r w:rsidRPr="00111A1A">
        <w:rPr>
          <w:rFonts w:ascii="Times New Roman" w:hAnsi="Times New Roman"/>
          <w:i/>
          <w:sz w:val="28"/>
          <w:szCs w:val="28"/>
        </w:rPr>
        <w:t>State v. Woodring</w:t>
      </w:r>
      <w:r w:rsidRPr="00111A1A">
        <w:rPr>
          <w:rFonts w:ascii="Times New Roman" w:hAnsi="Times New Roman"/>
          <w:sz w:val="28"/>
          <w:szCs w:val="28"/>
        </w:rPr>
        <w:t xml:space="preserve">, 95 Ariz. 84, 86, 386 P.2d 851, 852 (1963); </w:t>
      </w:r>
      <w:r w:rsidRPr="00111A1A">
        <w:rPr>
          <w:rFonts w:ascii="Times New Roman" w:hAnsi="Times New Roman"/>
          <w:i/>
          <w:sz w:val="28"/>
          <w:szCs w:val="28"/>
        </w:rPr>
        <w:t>cf. State ex rel. Sullivan v. Patterson</w:t>
      </w:r>
      <w:r w:rsidRPr="00111A1A">
        <w:rPr>
          <w:rFonts w:ascii="Times New Roman" w:hAnsi="Times New Roman"/>
          <w:sz w:val="28"/>
          <w:szCs w:val="28"/>
        </w:rPr>
        <w:t xml:space="preserve">, 64 Ariz. 40, 45, 165 P.2d 309, 312 (1946) (mistrial renders “entire proceedings ... a nullity”). Because the declaration of a mistrial had the effect of nullifying all trial proceedings related to the alleged </w:t>
      </w:r>
      <w:r w:rsidRPr="00111A1A">
        <w:rPr>
          <w:rFonts w:ascii="Times New Roman" w:hAnsi="Times New Roman"/>
          <w:sz w:val="28"/>
          <w:szCs w:val="28"/>
        </w:rPr>
        <w:lastRenderedPageBreak/>
        <w:t>aggravated assault of R., including those pertaining to Diaz</w:t>
      </w:r>
      <w:r>
        <w:rPr>
          <w:rFonts w:ascii="Times New Roman" w:hAnsi="Times New Roman"/>
          <w:sz w:val="28"/>
          <w:szCs w:val="28"/>
        </w:rPr>
        <w:t>’</w:t>
      </w:r>
      <w:r w:rsidRPr="00111A1A">
        <w:rPr>
          <w:rFonts w:ascii="Times New Roman" w:hAnsi="Times New Roman"/>
          <w:sz w:val="28"/>
          <w:szCs w:val="28"/>
        </w:rPr>
        <w:t xml:space="preserve">s motion for a judgment of acquittal, it is as if they had never happened, and there is nothing for us to review. </w:t>
      </w:r>
      <w:r w:rsidRPr="00111A1A">
        <w:rPr>
          <w:rFonts w:ascii="Times New Roman" w:hAnsi="Times New Roman"/>
          <w:i/>
          <w:sz w:val="28"/>
          <w:szCs w:val="28"/>
        </w:rPr>
        <w:t>See Woodring</w:t>
      </w:r>
      <w:r w:rsidRPr="00111A1A">
        <w:rPr>
          <w:rFonts w:ascii="Times New Roman" w:hAnsi="Times New Roman"/>
          <w:sz w:val="28"/>
          <w:szCs w:val="28"/>
        </w:rPr>
        <w:t>, 95 Ariz. at 86, 386 P.2d at 852. We, therefore, do not address the issue further.</w:t>
      </w:r>
    </w:p>
    <w:p w14:paraId="48FF2E17" w14:textId="2D8C7E48" w:rsidR="00111A1A" w:rsidRDefault="00111A1A" w:rsidP="00111A1A">
      <w:pPr>
        <w:spacing w:line="240" w:lineRule="auto"/>
        <w:ind w:right="720"/>
        <w:jc w:val="both"/>
        <w:rPr>
          <w:rFonts w:ascii="Times New Roman" w:hAnsi="Times New Roman"/>
          <w:sz w:val="28"/>
          <w:szCs w:val="28"/>
        </w:rPr>
      </w:pPr>
    </w:p>
    <w:p w14:paraId="01D558FE" w14:textId="713FB998" w:rsidR="00111A1A" w:rsidRDefault="00325AFE" w:rsidP="00111A1A">
      <w:pPr>
        <w:spacing w:line="480" w:lineRule="auto"/>
        <w:jc w:val="both"/>
        <w:rPr>
          <w:rFonts w:ascii="Times New Roman" w:hAnsi="Times New Roman"/>
          <w:sz w:val="28"/>
          <w:szCs w:val="28"/>
        </w:rPr>
      </w:pPr>
      <w:r>
        <w:rPr>
          <w:rFonts w:ascii="Times New Roman" w:hAnsi="Times New Roman"/>
          <w:sz w:val="28"/>
          <w:szCs w:val="28"/>
        </w:rPr>
        <w:t xml:space="preserve">While both </w:t>
      </w:r>
      <w:r w:rsidR="00111A1A">
        <w:rPr>
          <w:rFonts w:ascii="Times New Roman" w:hAnsi="Times New Roman"/>
          <w:sz w:val="28"/>
          <w:szCs w:val="28"/>
        </w:rPr>
        <w:t xml:space="preserve">cases upon which </w:t>
      </w:r>
      <w:r w:rsidR="00111A1A" w:rsidRPr="00111A1A">
        <w:rPr>
          <w:rFonts w:ascii="Times New Roman" w:hAnsi="Times New Roman"/>
          <w:i/>
          <w:sz w:val="28"/>
          <w:szCs w:val="28"/>
        </w:rPr>
        <w:t>Diaz</w:t>
      </w:r>
      <w:r w:rsidR="00111A1A">
        <w:rPr>
          <w:rFonts w:ascii="Times New Roman" w:hAnsi="Times New Roman"/>
          <w:sz w:val="28"/>
          <w:szCs w:val="28"/>
        </w:rPr>
        <w:t xml:space="preserve"> relied</w:t>
      </w:r>
      <w:r>
        <w:rPr>
          <w:rFonts w:ascii="Times New Roman" w:hAnsi="Times New Roman"/>
          <w:sz w:val="28"/>
          <w:szCs w:val="28"/>
        </w:rPr>
        <w:t xml:space="preserve"> involved juries that were discharged after being unable to return unanimous verdicts, neither case involved the question whether the evidence in the first trial was sufficient to convict. </w:t>
      </w:r>
    </w:p>
    <w:p w14:paraId="43258311" w14:textId="5A0B702D" w:rsidR="00111A1A" w:rsidRDefault="00325AFE" w:rsidP="00351280">
      <w:pPr>
        <w:spacing w:line="480" w:lineRule="auto"/>
        <w:ind w:firstLine="720"/>
        <w:jc w:val="both"/>
        <w:rPr>
          <w:rFonts w:ascii="Times New Roman" w:hAnsi="Times New Roman"/>
          <w:sz w:val="28"/>
          <w:szCs w:val="28"/>
        </w:rPr>
      </w:pPr>
      <w:r>
        <w:rPr>
          <w:rFonts w:ascii="Times New Roman" w:hAnsi="Times New Roman"/>
          <w:sz w:val="28"/>
          <w:szCs w:val="28"/>
        </w:rPr>
        <w:t xml:space="preserve">The court of appeals did not have another opportunity to address this question until </w:t>
      </w:r>
      <w:r w:rsidRPr="00325AFE">
        <w:rPr>
          <w:rFonts w:ascii="Times New Roman" w:hAnsi="Times New Roman"/>
          <w:i/>
          <w:sz w:val="28"/>
          <w:szCs w:val="28"/>
        </w:rPr>
        <w:t>State v. Godoy (Whitney)</w:t>
      </w:r>
      <w:r>
        <w:rPr>
          <w:rFonts w:ascii="Times New Roman" w:hAnsi="Times New Roman"/>
          <w:sz w:val="28"/>
          <w:szCs w:val="28"/>
        </w:rPr>
        <w:t xml:space="preserve">, 244 Ariz. 327 (App. 2017). In that case, defendant Whitney was charged with five counts of child abuse. The trial </w:t>
      </w:r>
      <w:r w:rsidR="00351280">
        <w:rPr>
          <w:rFonts w:ascii="Times New Roman" w:hAnsi="Times New Roman"/>
          <w:sz w:val="28"/>
          <w:szCs w:val="28"/>
        </w:rPr>
        <w:t xml:space="preserve">court </w:t>
      </w:r>
      <w:r>
        <w:rPr>
          <w:rFonts w:ascii="Times New Roman" w:hAnsi="Times New Roman"/>
          <w:sz w:val="28"/>
          <w:szCs w:val="28"/>
        </w:rPr>
        <w:t xml:space="preserve">granted a motion pursuant to Rule 20(a) as to one count </w:t>
      </w:r>
      <w:r w:rsidR="00A729B8">
        <w:rPr>
          <w:rFonts w:ascii="Times New Roman" w:hAnsi="Times New Roman"/>
          <w:sz w:val="28"/>
          <w:szCs w:val="28"/>
        </w:rPr>
        <w:t xml:space="preserve">and allowed the remaining counts to go to the jury. </w:t>
      </w:r>
      <w:r w:rsidR="00A729B8" w:rsidRPr="00A729B8">
        <w:rPr>
          <w:rFonts w:ascii="Times New Roman" w:hAnsi="Times New Roman"/>
          <w:i/>
          <w:sz w:val="28"/>
          <w:szCs w:val="28"/>
        </w:rPr>
        <w:t>Id</w:t>
      </w:r>
      <w:r w:rsidR="00A729B8">
        <w:rPr>
          <w:rFonts w:ascii="Times New Roman" w:hAnsi="Times New Roman"/>
          <w:sz w:val="28"/>
          <w:szCs w:val="28"/>
        </w:rPr>
        <w:t xml:space="preserve">. at 328 ¶ 2. </w:t>
      </w:r>
      <w:r w:rsidR="00351280">
        <w:rPr>
          <w:rFonts w:ascii="Times New Roman" w:hAnsi="Times New Roman"/>
          <w:sz w:val="28"/>
          <w:szCs w:val="28"/>
        </w:rPr>
        <w:t xml:space="preserve">The judge discovered </w:t>
      </w:r>
      <w:r w:rsidR="00A729B8">
        <w:rPr>
          <w:rFonts w:ascii="Times New Roman" w:hAnsi="Times New Roman"/>
          <w:sz w:val="28"/>
          <w:szCs w:val="28"/>
        </w:rPr>
        <w:t>jur</w:t>
      </w:r>
      <w:r w:rsidR="00351280">
        <w:rPr>
          <w:rFonts w:ascii="Times New Roman" w:hAnsi="Times New Roman"/>
          <w:sz w:val="28"/>
          <w:szCs w:val="28"/>
        </w:rPr>
        <w:t>or</w:t>
      </w:r>
      <w:r w:rsidR="00A729B8">
        <w:rPr>
          <w:rFonts w:ascii="Times New Roman" w:hAnsi="Times New Roman"/>
          <w:sz w:val="28"/>
          <w:szCs w:val="28"/>
        </w:rPr>
        <w:t xml:space="preserve"> misconduct</w:t>
      </w:r>
      <w:r w:rsidR="00351280">
        <w:rPr>
          <w:rFonts w:ascii="Times New Roman" w:hAnsi="Times New Roman"/>
          <w:sz w:val="28"/>
          <w:szCs w:val="28"/>
        </w:rPr>
        <w:t xml:space="preserve"> during deliberations and</w:t>
      </w:r>
      <w:r w:rsidR="00A729B8">
        <w:rPr>
          <w:rFonts w:ascii="Times New Roman" w:hAnsi="Times New Roman"/>
          <w:sz w:val="28"/>
          <w:szCs w:val="28"/>
        </w:rPr>
        <w:t xml:space="preserve"> granted Whitney’s motion for mistrial. </w:t>
      </w:r>
      <w:r w:rsidR="00A729B8" w:rsidRPr="00A729B8">
        <w:rPr>
          <w:rFonts w:ascii="Times New Roman" w:hAnsi="Times New Roman"/>
          <w:i/>
          <w:sz w:val="28"/>
          <w:szCs w:val="28"/>
        </w:rPr>
        <w:t>Id</w:t>
      </w:r>
      <w:r w:rsidR="00A729B8">
        <w:rPr>
          <w:rFonts w:ascii="Times New Roman" w:hAnsi="Times New Roman"/>
          <w:sz w:val="28"/>
          <w:szCs w:val="28"/>
        </w:rPr>
        <w:t xml:space="preserve">. ¶ 3. Eight days after the jury was discharged, Whitney </w:t>
      </w:r>
      <w:r>
        <w:rPr>
          <w:rFonts w:ascii="Times New Roman" w:hAnsi="Times New Roman"/>
          <w:sz w:val="28"/>
          <w:szCs w:val="28"/>
        </w:rPr>
        <w:t xml:space="preserve">filed a </w:t>
      </w:r>
      <w:r w:rsidR="00351280">
        <w:rPr>
          <w:rFonts w:ascii="Times New Roman" w:hAnsi="Times New Roman"/>
          <w:sz w:val="28"/>
          <w:szCs w:val="28"/>
        </w:rPr>
        <w:t xml:space="preserve">“Motion for Reconsideration of the Rule 20(a) Judgement [sic] of Acquittal.” </w:t>
      </w:r>
      <w:r w:rsidR="00351280" w:rsidRPr="00351280">
        <w:rPr>
          <w:rFonts w:ascii="Times New Roman" w:hAnsi="Times New Roman"/>
          <w:i/>
          <w:sz w:val="28"/>
          <w:szCs w:val="28"/>
        </w:rPr>
        <w:t>Id</w:t>
      </w:r>
      <w:r w:rsidR="00351280">
        <w:rPr>
          <w:rFonts w:ascii="Times New Roman" w:hAnsi="Times New Roman"/>
          <w:sz w:val="28"/>
          <w:szCs w:val="28"/>
        </w:rPr>
        <w:t xml:space="preserve">. ¶ 4. In her reply, Whitney argued that the motion alternatively should be considered under Rule 20(b), while affirming her belief that “Rule 20(a) is the more appropriate mechanism under the circumstances.” </w:t>
      </w:r>
      <w:r w:rsidR="00351280" w:rsidRPr="00351280">
        <w:rPr>
          <w:rFonts w:ascii="Times New Roman" w:hAnsi="Times New Roman"/>
          <w:i/>
          <w:sz w:val="28"/>
          <w:szCs w:val="28"/>
        </w:rPr>
        <w:t>Id</w:t>
      </w:r>
      <w:r w:rsidR="00351280">
        <w:rPr>
          <w:rFonts w:ascii="Times New Roman" w:hAnsi="Times New Roman"/>
          <w:sz w:val="28"/>
          <w:szCs w:val="28"/>
        </w:rPr>
        <w:t>. The trial court determined that it should be treated as a motion to reconsider the denial of the Rule 20(a) motion, and it granted the motion as to three of the remaining four counts.</w:t>
      </w:r>
      <w:r w:rsidR="00351280" w:rsidRPr="00351280">
        <w:rPr>
          <w:rFonts w:ascii="Times New Roman" w:hAnsi="Times New Roman"/>
          <w:i/>
          <w:sz w:val="28"/>
          <w:szCs w:val="28"/>
        </w:rPr>
        <w:t xml:space="preserve"> Id</w:t>
      </w:r>
      <w:r w:rsidR="00351280">
        <w:rPr>
          <w:rFonts w:ascii="Times New Roman" w:hAnsi="Times New Roman"/>
          <w:sz w:val="28"/>
          <w:szCs w:val="28"/>
        </w:rPr>
        <w:t>. ¶ 5.</w:t>
      </w:r>
    </w:p>
    <w:p w14:paraId="3B284FB6" w14:textId="53EAEBBC" w:rsidR="00515CB2" w:rsidRDefault="00515CB2" w:rsidP="00351280">
      <w:pPr>
        <w:spacing w:line="480" w:lineRule="auto"/>
        <w:ind w:firstLine="720"/>
        <w:jc w:val="both"/>
        <w:rPr>
          <w:rFonts w:ascii="Times New Roman" w:hAnsi="Times New Roman"/>
          <w:sz w:val="28"/>
          <w:szCs w:val="28"/>
        </w:rPr>
      </w:pPr>
      <w:r>
        <w:rPr>
          <w:rFonts w:ascii="Times New Roman" w:hAnsi="Times New Roman"/>
          <w:sz w:val="28"/>
          <w:szCs w:val="28"/>
        </w:rPr>
        <w:t xml:space="preserve">The court of appeals held that the trial court erred because the procedure for requesting reconsideration of a denial of a Rule 20 motion is delineated within Rule </w:t>
      </w:r>
      <w:r>
        <w:rPr>
          <w:rFonts w:ascii="Times New Roman" w:hAnsi="Times New Roman"/>
          <w:sz w:val="28"/>
          <w:szCs w:val="28"/>
        </w:rPr>
        <w:lastRenderedPageBreak/>
        <w:t xml:space="preserve">20(b), and that under the Rule’s plain language, the trial court “lacked authority to consider Whitney’s renewed Rule 20 motion.” </w:t>
      </w:r>
      <w:r w:rsidRPr="00515CB2">
        <w:rPr>
          <w:rFonts w:ascii="Times New Roman" w:hAnsi="Times New Roman"/>
          <w:i/>
          <w:sz w:val="28"/>
          <w:szCs w:val="28"/>
        </w:rPr>
        <w:t>Id</w:t>
      </w:r>
      <w:r>
        <w:rPr>
          <w:rFonts w:ascii="Times New Roman" w:hAnsi="Times New Roman"/>
          <w:sz w:val="28"/>
          <w:szCs w:val="28"/>
        </w:rPr>
        <w:t xml:space="preserve">. at 329 ¶¶ 8-9. In particular, the court of appeals noted that the “types of verdict” are limited; “except for specialized verdicts, such as guilty except insane or capital verdicts, ‘the jury shall in all cases render a verdict finding the defendant guilty or not guilty.’” </w:t>
      </w:r>
      <w:r w:rsidRPr="00515CB2">
        <w:rPr>
          <w:rFonts w:ascii="Times New Roman" w:hAnsi="Times New Roman"/>
          <w:i/>
          <w:sz w:val="28"/>
          <w:szCs w:val="28"/>
        </w:rPr>
        <w:t>Id</w:t>
      </w:r>
      <w:r>
        <w:rPr>
          <w:rFonts w:ascii="Times New Roman" w:hAnsi="Times New Roman"/>
          <w:sz w:val="28"/>
          <w:szCs w:val="28"/>
        </w:rPr>
        <w:t xml:space="preserve">. ¶ 8 (quoting Rule 23.2). “Had our supreme court intended to allow a motion for judgment of acquittal to be renewed after a mistrial had been declared or the jury was otherwise discharged without reaching a verdict, it could have done so expressly.” </w:t>
      </w:r>
      <w:r w:rsidRPr="00515CB2">
        <w:rPr>
          <w:rFonts w:ascii="Times New Roman" w:hAnsi="Times New Roman"/>
          <w:i/>
          <w:sz w:val="28"/>
          <w:szCs w:val="28"/>
        </w:rPr>
        <w:t>Id</w:t>
      </w:r>
      <w:r>
        <w:rPr>
          <w:rFonts w:ascii="Times New Roman" w:hAnsi="Times New Roman"/>
          <w:sz w:val="28"/>
          <w:szCs w:val="28"/>
        </w:rPr>
        <w:t xml:space="preserve">. ¶ 9. The court of appeals also relied on the fact that in those jurisdictions that allow the practice of renewing a motion for judgment of acquittal after a mistrial, including the federal system, the rule or statute governing the procedure contains express language permitting it. </w:t>
      </w:r>
      <w:r w:rsidRPr="00515CB2">
        <w:rPr>
          <w:rFonts w:ascii="Times New Roman" w:hAnsi="Times New Roman"/>
          <w:i/>
          <w:sz w:val="28"/>
          <w:szCs w:val="28"/>
        </w:rPr>
        <w:t>Id</w:t>
      </w:r>
      <w:r>
        <w:rPr>
          <w:rFonts w:ascii="Times New Roman" w:hAnsi="Times New Roman"/>
          <w:sz w:val="28"/>
          <w:szCs w:val="28"/>
        </w:rPr>
        <w:t>. ¶ 10.</w:t>
      </w:r>
    </w:p>
    <w:p w14:paraId="6C4F234F" w14:textId="4F7280C9" w:rsidR="00AD6744" w:rsidRDefault="00714CCA" w:rsidP="00351280">
      <w:pPr>
        <w:spacing w:line="480" w:lineRule="auto"/>
        <w:ind w:firstLine="720"/>
        <w:jc w:val="both"/>
        <w:rPr>
          <w:rFonts w:ascii="Times New Roman" w:hAnsi="Times New Roman"/>
          <w:sz w:val="28"/>
          <w:szCs w:val="28"/>
        </w:rPr>
      </w:pPr>
      <w:r>
        <w:rPr>
          <w:rFonts w:ascii="Times New Roman" w:hAnsi="Times New Roman"/>
          <w:sz w:val="28"/>
          <w:szCs w:val="28"/>
        </w:rPr>
        <w:t xml:space="preserve">Although the court of appeals was technically correct with regard to the plain language of Rule 20(b), its result was absurd. </w:t>
      </w:r>
      <w:r w:rsidRPr="00714CCA">
        <w:rPr>
          <w:rFonts w:ascii="Times New Roman" w:hAnsi="Times New Roman"/>
          <w:i/>
          <w:sz w:val="28"/>
          <w:szCs w:val="28"/>
        </w:rPr>
        <w:t>Cf. State ex rel. Montgomery v. Harris</w:t>
      </w:r>
      <w:r>
        <w:rPr>
          <w:rFonts w:ascii="Times New Roman" w:hAnsi="Times New Roman"/>
          <w:sz w:val="28"/>
          <w:szCs w:val="28"/>
        </w:rPr>
        <w:t xml:space="preserve">, 234 Ariz. 343, 345 ¶ 13 (2014) (“Statutes should be construed sensibly to avoid reaching an absurd conclusion.”). At the moment the case is presented to the jury and deliberations begin, it is unknown what the jury will do with the case. Possibly it will convict or acquit; possibly it will be unable to reach a unanimous verdict on some or all counts; and as in Whitney’s case, its members might commit misconduct. What is known with absolute certainty, however, is the evidence that was presented </w:t>
      </w:r>
      <w:r>
        <w:rPr>
          <w:rFonts w:ascii="Times New Roman" w:hAnsi="Times New Roman"/>
          <w:sz w:val="28"/>
          <w:szCs w:val="28"/>
        </w:rPr>
        <w:lastRenderedPageBreak/>
        <w:t xml:space="preserve">in the case is complete. </w:t>
      </w:r>
      <w:r w:rsidR="00AD6744">
        <w:rPr>
          <w:rFonts w:ascii="Times New Roman" w:hAnsi="Times New Roman"/>
          <w:sz w:val="28"/>
          <w:szCs w:val="28"/>
        </w:rPr>
        <w:t xml:space="preserve">It is almost axiomatic that “[t]he Double Jeopardy Clause forbids a second trial for the purpose of affording the prosecution another opportunity to supply evidence which it failed to muster in the first proceeding.” </w:t>
      </w:r>
      <w:r w:rsidR="00AD6744" w:rsidRPr="00AD6744">
        <w:rPr>
          <w:rFonts w:ascii="Times New Roman" w:hAnsi="Times New Roman"/>
          <w:i/>
          <w:sz w:val="28"/>
          <w:szCs w:val="28"/>
        </w:rPr>
        <w:t>Burks v. United States</w:t>
      </w:r>
      <w:r w:rsidR="00AD6744">
        <w:rPr>
          <w:rFonts w:ascii="Times New Roman" w:hAnsi="Times New Roman"/>
          <w:sz w:val="28"/>
          <w:szCs w:val="28"/>
        </w:rPr>
        <w:t xml:space="preserve">, 437 U.S. 1, 11 (1978). As this Court and the U.S. Supreme Court have recognized, “[w]hen a case is reversed for any reason but insufficient evidence, ‘the original conviction has been nullified and “the slate wiped clean.”’” </w:t>
      </w:r>
      <w:r w:rsidR="00AD6744" w:rsidRPr="00AD6744">
        <w:rPr>
          <w:rFonts w:ascii="Times New Roman" w:hAnsi="Times New Roman"/>
          <w:i/>
          <w:sz w:val="28"/>
          <w:szCs w:val="28"/>
        </w:rPr>
        <w:t>State v. Moody</w:t>
      </w:r>
      <w:r w:rsidR="00AD6744">
        <w:rPr>
          <w:rFonts w:ascii="Times New Roman" w:hAnsi="Times New Roman"/>
          <w:sz w:val="28"/>
          <w:szCs w:val="28"/>
        </w:rPr>
        <w:t xml:space="preserve">, 208 Ariz. 424, 439 ¶ 26 (2004) (quoting </w:t>
      </w:r>
      <w:r w:rsidR="00AD6744" w:rsidRPr="00AD6744">
        <w:rPr>
          <w:rFonts w:ascii="Times New Roman" w:hAnsi="Times New Roman"/>
          <w:i/>
          <w:sz w:val="28"/>
          <w:szCs w:val="28"/>
        </w:rPr>
        <w:t>Bullington v. Missouri</w:t>
      </w:r>
      <w:r w:rsidR="00AD6744">
        <w:rPr>
          <w:rFonts w:ascii="Times New Roman" w:hAnsi="Times New Roman"/>
          <w:sz w:val="28"/>
          <w:szCs w:val="28"/>
        </w:rPr>
        <w:t xml:space="preserve">, 451 U.S. 430, 442 (1981), </w:t>
      </w:r>
      <w:r w:rsidR="00AD6744" w:rsidRPr="00AD6744">
        <w:rPr>
          <w:rFonts w:ascii="Times New Roman" w:hAnsi="Times New Roman"/>
          <w:i/>
          <w:sz w:val="28"/>
          <w:szCs w:val="28"/>
        </w:rPr>
        <w:t>quoting in turn North Carolina v. Pearce</w:t>
      </w:r>
      <w:r w:rsidR="00D60861">
        <w:rPr>
          <w:rFonts w:ascii="Times New Roman" w:hAnsi="Times New Roman"/>
          <w:sz w:val="28"/>
          <w:szCs w:val="28"/>
        </w:rPr>
        <w:t xml:space="preserve">, 395 U.S. 711, 721 (1969)). </w:t>
      </w:r>
      <w:r w:rsidR="00AD6744">
        <w:rPr>
          <w:rFonts w:ascii="Times New Roman" w:hAnsi="Times New Roman"/>
          <w:sz w:val="28"/>
          <w:szCs w:val="28"/>
        </w:rPr>
        <w:t>While Diaz and Whitney may have avoided conviction in their first trials, the State was still allowed to retry them in spite of the fact that insufficient evidence had been produced at the first trial.</w:t>
      </w:r>
      <w:r w:rsidR="00054624">
        <w:rPr>
          <w:rFonts w:ascii="Times New Roman" w:hAnsi="Times New Roman"/>
          <w:sz w:val="28"/>
          <w:szCs w:val="28"/>
        </w:rPr>
        <w:t xml:space="preserve"> The court of appeals’</w:t>
      </w:r>
      <w:r w:rsidR="00033485">
        <w:rPr>
          <w:rFonts w:ascii="Times New Roman" w:hAnsi="Times New Roman"/>
          <w:sz w:val="28"/>
          <w:szCs w:val="28"/>
        </w:rPr>
        <w:t xml:space="preserve"> </w:t>
      </w:r>
      <w:r w:rsidR="00AD6744">
        <w:rPr>
          <w:rFonts w:ascii="Times New Roman" w:hAnsi="Times New Roman"/>
          <w:sz w:val="28"/>
          <w:szCs w:val="28"/>
        </w:rPr>
        <w:t>reading of Rule 20(b) allows a defendant to obtain relief from a guilty verdict where the jury unanimously voted guilty after 10 minutes of deliberation, but does not allow a similarly situated defendant to seek relief if any jurors voted for acquittal.</w:t>
      </w:r>
    </w:p>
    <w:p w14:paraId="004F18FC" w14:textId="36B9E69B" w:rsidR="00033485" w:rsidRDefault="00054624" w:rsidP="00351280">
      <w:pPr>
        <w:spacing w:line="480" w:lineRule="auto"/>
        <w:ind w:firstLine="720"/>
        <w:jc w:val="both"/>
        <w:rPr>
          <w:rFonts w:ascii="Times New Roman" w:hAnsi="Times New Roman"/>
          <w:sz w:val="28"/>
          <w:szCs w:val="28"/>
        </w:rPr>
      </w:pPr>
      <w:r>
        <w:rPr>
          <w:rFonts w:ascii="Times New Roman" w:hAnsi="Times New Roman"/>
          <w:sz w:val="28"/>
          <w:szCs w:val="28"/>
        </w:rPr>
        <w:t>The court of appeals’</w:t>
      </w:r>
      <w:r w:rsidR="00033485">
        <w:rPr>
          <w:rFonts w:ascii="Times New Roman" w:hAnsi="Times New Roman"/>
          <w:sz w:val="28"/>
          <w:szCs w:val="28"/>
        </w:rPr>
        <w:t xml:space="preserve"> restrictive interpretation of Rule 20(b) </w:t>
      </w:r>
      <w:r>
        <w:rPr>
          <w:rFonts w:ascii="Times New Roman" w:hAnsi="Times New Roman"/>
          <w:sz w:val="28"/>
          <w:szCs w:val="28"/>
        </w:rPr>
        <w:t>is also</w:t>
      </w:r>
      <w:r w:rsidR="00033485">
        <w:rPr>
          <w:rFonts w:ascii="Times New Roman" w:hAnsi="Times New Roman"/>
          <w:sz w:val="28"/>
          <w:szCs w:val="28"/>
        </w:rPr>
        <w:t xml:space="preserve"> bad public policy. This Court explained the benefits of a more expansive reading of Rule 20(b):</w:t>
      </w:r>
    </w:p>
    <w:p w14:paraId="35E4BCD8" w14:textId="3AB58F74" w:rsidR="00033485" w:rsidRDefault="00033485" w:rsidP="00033485">
      <w:pPr>
        <w:spacing w:line="240" w:lineRule="auto"/>
        <w:ind w:left="720" w:right="720"/>
        <w:jc w:val="both"/>
        <w:rPr>
          <w:rFonts w:ascii="Times New Roman" w:hAnsi="Times New Roman"/>
          <w:sz w:val="28"/>
          <w:szCs w:val="28"/>
        </w:rPr>
      </w:pPr>
      <w:r w:rsidRPr="00033485">
        <w:rPr>
          <w:rFonts w:ascii="Times New Roman" w:hAnsi="Times New Roman"/>
          <w:sz w:val="28"/>
          <w:szCs w:val="28"/>
        </w:rPr>
        <w:t xml:space="preserve">Fourth, </w:t>
      </w:r>
      <w:r w:rsidRPr="00033485">
        <w:rPr>
          <w:rFonts w:ascii="Times New Roman" w:hAnsi="Times New Roman"/>
          <w:i/>
          <w:sz w:val="28"/>
          <w:szCs w:val="28"/>
        </w:rPr>
        <w:t>Hyder’s</w:t>
      </w:r>
      <w:r w:rsidRPr="00033485">
        <w:rPr>
          <w:rFonts w:ascii="Times New Roman" w:hAnsi="Times New Roman"/>
          <w:sz w:val="28"/>
          <w:szCs w:val="28"/>
        </w:rPr>
        <w:t xml:space="preserve"> limitation makes little sense from a policy and systemic standpoint. Because </w:t>
      </w:r>
      <w:r w:rsidRPr="00033485">
        <w:rPr>
          <w:rFonts w:ascii="Times New Roman" w:hAnsi="Times New Roman"/>
          <w:i/>
          <w:sz w:val="28"/>
          <w:szCs w:val="28"/>
        </w:rPr>
        <w:t>Hyder</w:t>
      </w:r>
      <w:r w:rsidRPr="00033485">
        <w:rPr>
          <w:rFonts w:ascii="Times New Roman" w:hAnsi="Times New Roman"/>
          <w:sz w:val="28"/>
          <w:szCs w:val="28"/>
        </w:rPr>
        <w:t xml:space="preserve"> sharply limits the ability to grant a post-verdict motion under Rule 20(b), judges in close cases might err on the side of granting the defendant</w:t>
      </w:r>
      <w:r>
        <w:rPr>
          <w:rFonts w:ascii="Times New Roman" w:hAnsi="Times New Roman"/>
          <w:sz w:val="28"/>
          <w:szCs w:val="28"/>
        </w:rPr>
        <w:t>’</w:t>
      </w:r>
      <w:r w:rsidRPr="00033485">
        <w:rPr>
          <w:rFonts w:ascii="Times New Roman" w:hAnsi="Times New Roman"/>
          <w:sz w:val="28"/>
          <w:szCs w:val="28"/>
        </w:rPr>
        <w:t xml:space="preserve">s pre-verdict motion under Rule 20(a), and if so, double jeopardy principles would preclude the state from challenging that ruling on appeal. </w:t>
      </w:r>
      <w:r w:rsidRPr="00033485">
        <w:rPr>
          <w:rFonts w:ascii="Times New Roman" w:hAnsi="Times New Roman"/>
          <w:i/>
          <w:sz w:val="28"/>
          <w:szCs w:val="28"/>
        </w:rPr>
        <w:t>See Smalis v. Pennsylvania</w:t>
      </w:r>
      <w:r w:rsidRPr="00033485">
        <w:rPr>
          <w:rFonts w:ascii="Times New Roman" w:hAnsi="Times New Roman"/>
          <w:sz w:val="28"/>
          <w:szCs w:val="28"/>
        </w:rPr>
        <w:t xml:space="preserve">, 476 U.S. 140, 145–46, 106 S.Ct. 1745, 90 L.Ed.2d 116 (1986). Conversely, if judges are able to reassess the quantum of evidence after a verdict, </w:t>
      </w:r>
      <w:r w:rsidRPr="00033485">
        <w:rPr>
          <w:rFonts w:ascii="Times New Roman" w:hAnsi="Times New Roman"/>
          <w:sz w:val="28"/>
          <w:szCs w:val="28"/>
        </w:rPr>
        <w:lastRenderedPageBreak/>
        <w:t>there will be less incentive to grant pre-verdict motions under Rule 20(a).</w:t>
      </w:r>
    </w:p>
    <w:p w14:paraId="232D6D88" w14:textId="77777777" w:rsidR="00033485" w:rsidRDefault="00033485" w:rsidP="00033485">
      <w:pPr>
        <w:spacing w:line="240" w:lineRule="auto"/>
        <w:ind w:right="720"/>
        <w:jc w:val="both"/>
        <w:rPr>
          <w:rFonts w:ascii="Times New Roman" w:hAnsi="Times New Roman"/>
          <w:sz w:val="28"/>
          <w:szCs w:val="28"/>
        </w:rPr>
      </w:pPr>
    </w:p>
    <w:p w14:paraId="20CFC3B0" w14:textId="1293D75F" w:rsidR="00033485" w:rsidRPr="009C79C4" w:rsidRDefault="00033485" w:rsidP="009C79C4">
      <w:pPr>
        <w:spacing w:line="480" w:lineRule="auto"/>
        <w:jc w:val="both"/>
        <w:rPr>
          <w:rFonts w:ascii="Times New Roman" w:hAnsi="Times New Roman"/>
          <w:sz w:val="28"/>
          <w:szCs w:val="28"/>
        </w:rPr>
      </w:pPr>
      <w:r w:rsidRPr="00AD6744">
        <w:rPr>
          <w:rFonts w:ascii="Times New Roman" w:hAnsi="Times New Roman"/>
          <w:i/>
          <w:sz w:val="28"/>
          <w:szCs w:val="28"/>
        </w:rPr>
        <w:t xml:space="preserve">State v. </w:t>
      </w:r>
      <w:r>
        <w:rPr>
          <w:rFonts w:ascii="Times New Roman" w:hAnsi="Times New Roman"/>
          <w:i/>
          <w:sz w:val="28"/>
          <w:szCs w:val="28"/>
        </w:rPr>
        <w:t>West</w:t>
      </w:r>
      <w:r>
        <w:rPr>
          <w:rFonts w:ascii="Times New Roman" w:hAnsi="Times New Roman"/>
          <w:sz w:val="28"/>
          <w:szCs w:val="28"/>
        </w:rPr>
        <w:t xml:space="preserve">, 226 Ariz. 559, 562 ¶ 12 (2011). Now that the law in Arizona is that Rule 20(b) motions are unavailable in cases where the jury fails to return a verdict, trial judges are incentivized to grant Rule 20(a) motions, in spite of the concerns expressed in </w:t>
      </w:r>
      <w:r w:rsidRPr="00033485">
        <w:rPr>
          <w:rFonts w:ascii="Times New Roman" w:hAnsi="Times New Roman"/>
          <w:i/>
          <w:sz w:val="28"/>
          <w:szCs w:val="28"/>
        </w:rPr>
        <w:t>West</w:t>
      </w:r>
      <w:r>
        <w:rPr>
          <w:rFonts w:ascii="Times New Roman" w:hAnsi="Times New Roman"/>
          <w:sz w:val="28"/>
          <w:szCs w:val="28"/>
        </w:rPr>
        <w:t>.</w:t>
      </w:r>
      <w:r w:rsidR="00D60861">
        <w:rPr>
          <w:rFonts w:ascii="Times New Roman" w:hAnsi="Times New Roman"/>
          <w:sz w:val="28"/>
          <w:szCs w:val="28"/>
        </w:rPr>
        <w:t xml:space="preserve"> Furthermore,</w:t>
      </w:r>
      <w:r w:rsidR="009C79C4">
        <w:rPr>
          <w:rFonts w:ascii="Times New Roman" w:hAnsi="Times New Roman"/>
          <w:sz w:val="28"/>
          <w:szCs w:val="28"/>
        </w:rPr>
        <w:t xml:space="preserve"> some</w:t>
      </w:r>
      <w:r w:rsidR="00D60861">
        <w:rPr>
          <w:rFonts w:ascii="Times New Roman" w:hAnsi="Times New Roman"/>
          <w:sz w:val="28"/>
          <w:szCs w:val="28"/>
        </w:rPr>
        <w:t xml:space="preserve"> trial judges might become more likely to ignore jurors’ claims that they are hopelessly deadlocked and give an </w:t>
      </w:r>
      <w:r w:rsidR="00D60861" w:rsidRPr="00DD519E">
        <w:rPr>
          <w:rFonts w:ascii="Times New Roman" w:hAnsi="Times New Roman"/>
          <w:i/>
          <w:sz w:val="28"/>
          <w:szCs w:val="28"/>
        </w:rPr>
        <w:t>Allen</w:t>
      </w:r>
      <w:r w:rsidR="00D60861">
        <w:rPr>
          <w:rStyle w:val="FootnoteReference"/>
          <w:rFonts w:ascii="Times New Roman" w:hAnsi="Times New Roman"/>
          <w:sz w:val="28"/>
          <w:szCs w:val="28"/>
        </w:rPr>
        <w:footnoteReference w:id="1"/>
      </w:r>
      <w:r w:rsidR="00D60861">
        <w:rPr>
          <w:rFonts w:ascii="Times New Roman" w:hAnsi="Times New Roman"/>
          <w:sz w:val="28"/>
          <w:szCs w:val="28"/>
        </w:rPr>
        <w:t xml:space="preserve"> charge.</w:t>
      </w:r>
      <w:r w:rsidR="00DD519E">
        <w:rPr>
          <w:rFonts w:ascii="Times New Roman" w:hAnsi="Times New Roman"/>
          <w:sz w:val="28"/>
          <w:szCs w:val="28"/>
        </w:rPr>
        <w:t xml:space="preserve"> </w:t>
      </w:r>
      <w:r w:rsidR="00DD519E" w:rsidRPr="00DD519E">
        <w:rPr>
          <w:rFonts w:ascii="Times New Roman" w:hAnsi="Times New Roman"/>
          <w:i/>
          <w:sz w:val="28"/>
          <w:szCs w:val="28"/>
        </w:rPr>
        <w:t xml:space="preserve">See State v. </w:t>
      </w:r>
      <w:r w:rsidR="009C79C4">
        <w:rPr>
          <w:rFonts w:ascii="Times New Roman" w:hAnsi="Times New Roman"/>
          <w:i/>
          <w:sz w:val="28"/>
          <w:szCs w:val="28"/>
        </w:rPr>
        <w:t>McCrimmon</w:t>
      </w:r>
      <w:r w:rsidR="00DD519E">
        <w:rPr>
          <w:rFonts w:ascii="Times New Roman" w:hAnsi="Times New Roman"/>
          <w:sz w:val="28"/>
          <w:szCs w:val="28"/>
        </w:rPr>
        <w:t xml:space="preserve">, </w:t>
      </w:r>
      <w:r w:rsidR="009C79C4">
        <w:rPr>
          <w:rFonts w:ascii="Times New Roman" w:hAnsi="Times New Roman"/>
          <w:sz w:val="28"/>
          <w:szCs w:val="28"/>
        </w:rPr>
        <w:t>187</w:t>
      </w:r>
      <w:r w:rsidR="00DD519E">
        <w:rPr>
          <w:rFonts w:ascii="Times New Roman" w:hAnsi="Times New Roman"/>
          <w:sz w:val="28"/>
          <w:szCs w:val="28"/>
        </w:rPr>
        <w:t xml:space="preserve"> Ariz. </w:t>
      </w:r>
      <w:r w:rsidR="009C79C4">
        <w:rPr>
          <w:rFonts w:ascii="Times New Roman" w:hAnsi="Times New Roman"/>
          <w:sz w:val="28"/>
          <w:szCs w:val="28"/>
        </w:rPr>
        <w:t>169</w:t>
      </w:r>
      <w:r w:rsidR="00DD519E">
        <w:rPr>
          <w:rFonts w:ascii="Times New Roman" w:hAnsi="Times New Roman"/>
          <w:sz w:val="28"/>
          <w:szCs w:val="28"/>
        </w:rPr>
        <w:t xml:space="preserve">, </w:t>
      </w:r>
      <w:r w:rsidR="009C79C4">
        <w:rPr>
          <w:rFonts w:ascii="Times New Roman" w:hAnsi="Times New Roman"/>
          <w:sz w:val="28"/>
          <w:szCs w:val="28"/>
        </w:rPr>
        <w:t>172-73</w:t>
      </w:r>
      <w:r w:rsidR="00DD519E">
        <w:rPr>
          <w:rFonts w:ascii="Times New Roman" w:hAnsi="Times New Roman"/>
          <w:sz w:val="28"/>
          <w:szCs w:val="28"/>
        </w:rPr>
        <w:t xml:space="preserve"> (</w:t>
      </w:r>
      <w:r w:rsidR="009C79C4">
        <w:rPr>
          <w:rFonts w:ascii="Times New Roman" w:hAnsi="Times New Roman"/>
          <w:sz w:val="28"/>
          <w:szCs w:val="28"/>
        </w:rPr>
        <w:t>1996</w:t>
      </w:r>
      <w:r w:rsidR="00DD519E">
        <w:rPr>
          <w:rFonts w:ascii="Times New Roman" w:hAnsi="Times New Roman"/>
          <w:sz w:val="28"/>
          <w:szCs w:val="28"/>
        </w:rPr>
        <w:t>).</w:t>
      </w:r>
      <w:r w:rsidR="009C79C4">
        <w:rPr>
          <w:rFonts w:ascii="Times New Roman" w:hAnsi="Times New Roman"/>
          <w:sz w:val="28"/>
          <w:szCs w:val="28"/>
        </w:rPr>
        <w:t xml:space="preserve"> Still, other judges might become more inclined to suggest to jurors that they may be hopelessly deadlocked when they are not, which would have the effect of engendering litigation that the jury was not discharged for manifest necessity. </w:t>
      </w:r>
      <w:r w:rsidR="009C79C4" w:rsidRPr="009C79C4">
        <w:rPr>
          <w:rFonts w:ascii="Times New Roman" w:hAnsi="Times New Roman"/>
          <w:i/>
          <w:sz w:val="28"/>
          <w:szCs w:val="28"/>
        </w:rPr>
        <w:t>S</w:t>
      </w:r>
      <w:r w:rsidR="009C79C4">
        <w:rPr>
          <w:rFonts w:ascii="Times New Roman" w:hAnsi="Times New Roman"/>
          <w:i/>
          <w:sz w:val="28"/>
          <w:szCs w:val="28"/>
        </w:rPr>
        <w:t>ee S</w:t>
      </w:r>
      <w:r w:rsidR="009C79C4" w:rsidRPr="009C79C4">
        <w:rPr>
          <w:rFonts w:ascii="Times New Roman" w:hAnsi="Times New Roman"/>
          <w:i/>
          <w:sz w:val="28"/>
          <w:szCs w:val="28"/>
        </w:rPr>
        <w:t>tate v. Fenton</w:t>
      </w:r>
      <w:r w:rsidR="009C79C4">
        <w:rPr>
          <w:rFonts w:ascii="Times New Roman" w:hAnsi="Times New Roman"/>
          <w:sz w:val="28"/>
          <w:szCs w:val="28"/>
        </w:rPr>
        <w:t>, 19 Ariz. App. 274, 276-77</w:t>
      </w:r>
      <w:r w:rsidR="009C79C4" w:rsidRPr="009C79C4">
        <w:rPr>
          <w:rFonts w:ascii="Times New Roman" w:hAnsi="Times New Roman"/>
          <w:sz w:val="28"/>
          <w:szCs w:val="28"/>
        </w:rPr>
        <w:t xml:space="preserve"> (1973)</w:t>
      </w:r>
      <w:r w:rsidR="009C79C4">
        <w:rPr>
          <w:rFonts w:ascii="Times New Roman" w:hAnsi="Times New Roman"/>
          <w:sz w:val="28"/>
          <w:szCs w:val="28"/>
        </w:rPr>
        <w:t xml:space="preserve"> (where record reflected “merely a weary group of jurors,</w:t>
      </w:r>
      <w:r w:rsidR="009C79C4" w:rsidRPr="009C79C4">
        <w:rPr>
          <w:rFonts w:ascii="Times New Roman" w:hAnsi="Times New Roman"/>
          <w:sz w:val="28"/>
          <w:szCs w:val="28"/>
        </w:rPr>
        <w:t>”</w:t>
      </w:r>
      <w:r w:rsidR="009C79C4">
        <w:rPr>
          <w:rFonts w:ascii="Times New Roman" w:hAnsi="Times New Roman"/>
          <w:sz w:val="28"/>
          <w:szCs w:val="28"/>
        </w:rPr>
        <w:t xml:space="preserve"> trial court’s discharge of jury violated defendant’s right to be tried by a single tribunal)</w:t>
      </w:r>
      <w:r w:rsidR="009C79C4" w:rsidRPr="009C79C4">
        <w:rPr>
          <w:rFonts w:ascii="Times New Roman" w:hAnsi="Times New Roman"/>
          <w:sz w:val="28"/>
          <w:szCs w:val="28"/>
        </w:rPr>
        <w:t>.</w:t>
      </w:r>
    </w:p>
    <w:p w14:paraId="70E6A773" w14:textId="345007AA"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Proposed Rule</w:t>
      </w:r>
    </w:p>
    <w:p w14:paraId="4B039C67" w14:textId="2ACF8A64" w:rsidR="00D60861" w:rsidRDefault="00D60861"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Rule 20(b)(1) currently </w:t>
      </w:r>
      <w:r w:rsidR="00054624">
        <w:rPr>
          <w:rFonts w:ascii="Times New Roman" w:hAnsi="Times New Roman"/>
          <w:sz w:val="28"/>
          <w:szCs w:val="28"/>
        </w:rPr>
        <w:t xml:space="preserve">allows </w:t>
      </w:r>
      <w:r>
        <w:rPr>
          <w:rFonts w:ascii="Times New Roman" w:hAnsi="Times New Roman"/>
          <w:sz w:val="28"/>
          <w:szCs w:val="28"/>
        </w:rPr>
        <w:t>the defendant to file a motion “no later than 10 days after any verdict is returned.”</w:t>
      </w:r>
      <w:r w:rsidR="003840C9">
        <w:rPr>
          <w:rFonts w:ascii="Times New Roman" w:hAnsi="Times New Roman"/>
          <w:sz w:val="28"/>
          <w:szCs w:val="28"/>
        </w:rPr>
        <w:t xml:space="preserve"> Rule 20(b)(2) states, “</w:t>
      </w:r>
      <w:r w:rsidR="003840C9" w:rsidRPr="003840C9">
        <w:rPr>
          <w:rFonts w:ascii="Times New Roman" w:hAnsi="Times New Roman"/>
          <w:sz w:val="28"/>
          <w:szCs w:val="28"/>
        </w:rPr>
        <w:t xml:space="preserve">After the verdict, if the court determines that there is no substantial evidence to support the verdict, the court </w:t>
      </w:r>
      <w:r w:rsidR="003840C9" w:rsidRPr="003840C9">
        <w:rPr>
          <w:rFonts w:ascii="Times New Roman" w:hAnsi="Times New Roman"/>
          <w:sz w:val="28"/>
          <w:szCs w:val="28"/>
        </w:rPr>
        <w:lastRenderedPageBreak/>
        <w:t>on its own must order a judgment of acquittal or find an aggravator or other sentence enhancement not proven</w:t>
      </w:r>
      <w:r w:rsidR="003840C9">
        <w:rPr>
          <w:rFonts w:ascii="Times New Roman" w:hAnsi="Times New Roman"/>
          <w:sz w:val="28"/>
          <w:szCs w:val="28"/>
        </w:rPr>
        <w:t xml:space="preserve">.” </w:t>
      </w:r>
      <w:r>
        <w:rPr>
          <w:rFonts w:ascii="Times New Roman" w:hAnsi="Times New Roman"/>
          <w:sz w:val="28"/>
          <w:szCs w:val="28"/>
        </w:rPr>
        <w:t xml:space="preserve">AACJ proposes adding the phrase “or </w:t>
      </w:r>
      <w:r w:rsidR="003840C9" w:rsidRPr="00D60861">
        <w:rPr>
          <w:rFonts w:ascii="Times New Roman" w:hAnsi="Times New Roman"/>
          <w:sz w:val="28"/>
          <w:szCs w:val="28"/>
        </w:rPr>
        <w:t>after the court discharges the jury, whichever is later</w:t>
      </w:r>
      <w:r>
        <w:rPr>
          <w:rFonts w:ascii="Times New Roman" w:hAnsi="Times New Roman"/>
          <w:sz w:val="28"/>
          <w:szCs w:val="28"/>
        </w:rPr>
        <w:t xml:space="preserve">” to the end of </w:t>
      </w:r>
      <w:r w:rsidR="003840C9">
        <w:rPr>
          <w:rFonts w:ascii="Times New Roman" w:hAnsi="Times New Roman"/>
          <w:sz w:val="28"/>
          <w:szCs w:val="28"/>
        </w:rPr>
        <w:t xml:space="preserve">Rule 20(b)(1), and modifying Rule 20(b)(2) to begin: “After the verdict or </w:t>
      </w:r>
      <w:r w:rsidR="003840C9" w:rsidRPr="00D60861">
        <w:rPr>
          <w:rFonts w:ascii="Times New Roman" w:hAnsi="Times New Roman"/>
          <w:sz w:val="28"/>
          <w:szCs w:val="28"/>
        </w:rPr>
        <w:t>after the court discharges the jury</w:t>
      </w:r>
      <w:r>
        <w:rPr>
          <w:rFonts w:ascii="Times New Roman" w:hAnsi="Times New Roman"/>
          <w:sz w:val="28"/>
          <w:szCs w:val="28"/>
        </w:rPr>
        <w:t>.</w:t>
      </w:r>
      <w:r w:rsidR="003840C9">
        <w:rPr>
          <w:rFonts w:ascii="Times New Roman" w:hAnsi="Times New Roman"/>
          <w:sz w:val="28"/>
          <w:szCs w:val="28"/>
        </w:rPr>
        <w:t>”</w:t>
      </w:r>
      <w:r>
        <w:rPr>
          <w:rFonts w:ascii="Times New Roman" w:hAnsi="Times New Roman"/>
          <w:sz w:val="28"/>
          <w:szCs w:val="28"/>
        </w:rPr>
        <w:t xml:space="preserve"> </w:t>
      </w:r>
      <w:r w:rsidRPr="00D60861">
        <w:rPr>
          <w:rFonts w:ascii="Times New Roman" w:hAnsi="Times New Roman"/>
          <w:i/>
          <w:sz w:val="28"/>
          <w:szCs w:val="28"/>
        </w:rPr>
        <w:t>See</w:t>
      </w:r>
      <w:r>
        <w:rPr>
          <w:rFonts w:ascii="Times New Roman" w:hAnsi="Times New Roman"/>
          <w:sz w:val="28"/>
          <w:szCs w:val="28"/>
        </w:rPr>
        <w:t xml:space="preserve"> Appendix A. This would track the federal rule, which says: “</w:t>
      </w:r>
      <w:r w:rsidRPr="00D60861">
        <w:rPr>
          <w:rFonts w:ascii="Times New Roman" w:hAnsi="Times New Roman"/>
          <w:sz w:val="28"/>
          <w:szCs w:val="28"/>
        </w:rPr>
        <w:t>A defendant may move for a judgment of acquittal, or renew such a motion, within 14 days after a guilty verdict or after the court discharges the jury, whichever is later</w:t>
      </w:r>
      <w:r>
        <w:rPr>
          <w:rFonts w:ascii="Times New Roman" w:hAnsi="Times New Roman"/>
          <w:sz w:val="28"/>
          <w:szCs w:val="28"/>
        </w:rPr>
        <w:t>.” Fed. R. Crim. P. 29(c)(1).</w:t>
      </w:r>
    </w:p>
    <w:p w14:paraId="514ED3A5" w14:textId="04EDD793" w:rsidR="00D60861"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This change would not have any kind of deleterious effect on the State’s ability to prosecute or a victim’s right to justice</w:t>
      </w:r>
      <w:r w:rsidR="001F6288">
        <w:rPr>
          <w:rFonts w:ascii="Times New Roman" w:hAnsi="Times New Roman"/>
          <w:sz w:val="28"/>
          <w:szCs w:val="28"/>
        </w:rPr>
        <w:t>, because neither the State nor victims have a right to obtain a conviction that is devoid of substantial evidence</w:t>
      </w:r>
      <w:r>
        <w:rPr>
          <w:rFonts w:ascii="Times New Roman" w:hAnsi="Times New Roman"/>
          <w:sz w:val="28"/>
          <w:szCs w:val="28"/>
        </w:rPr>
        <w:t xml:space="preserve">. On the other hand, this change would only fix an anomaly in the law. As the court of appeals recognized in </w:t>
      </w:r>
      <w:r w:rsidRPr="001B408E">
        <w:rPr>
          <w:rFonts w:ascii="Times New Roman" w:hAnsi="Times New Roman"/>
          <w:i/>
          <w:sz w:val="28"/>
          <w:szCs w:val="28"/>
        </w:rPr>
        <w:t>Godoy</w:t>
      </w:r>
      <w:r>
        <w:rPr>
          <w:rFonts w:ascii="Times New Roman" w:hAnsi="Times New Roman"/>
          <w:sz w:val="28"/>
          <w:szCs w:val="28"/>
        </w:rPr>
        <w:t>, in addition to the federal system, thirteen other states have such a rule. 244 Ariz. at 329 ¶ 10 (citing state rules).</w:t>
      </w:r>
    </w:p>
    <w:p w14:paraId="708D4F7C" w14:textId="677990A9" w:rsidR="001B408E"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This Court’s </w:t>
      </w:r>
      <w:r w:rsidR="00C859FD">
        <w:rPr>
          <w:rFonts w:ascii="Times New Roman" w:hAnsi="Times New Roman"/>
          <w:sz w:val="28"/>
          <w:szCs w:val="28"/>
        </w:rPr>
        <w:t xml:space="preserve">Criminal Rules </w:t>
      </w:r>
      <w:r>
        <w:rPr>
          <w:rFonts w:ascii="Times New Roman" w:hAnsi="Times New Roman"/>
          <w:sz w:val="28"/>
          <w:szCs w:val="28"/>
        </w:rPr>
        <w:t>Task Force offered substantive as well as stylistic amendments to Rule 20(b), such as the addition of the opportunity to make a post-verdict motion even if the defendant failed to make a pre-verdict motion under Rule 20(a). Th</w:t>
      </w:r>
      <w:r w:rsidR="00C859FD">
        <w:rPr>
          <w:rFonts w:ascii="Times New Roman" w:hAnsi="Times New Roman"/>
          <w:sz w:val="28"/>
          <w:szCs w:val="28"/>
        </w:rPr>
        <w:t>at</w:t>
      </w:r>
      <w:r>
        <w:rPr>
          <w:rFonts w:ascii="Times New Roman" w:hAnsi="Times New Roman"/>
          <w:sz w:val="28"/>
          <w:szCs w:val="28"/>
        </w:rPr>
        <w:t xml:space="preserve"> Task Force recognized the absurdity of denying a defendant this opportunity to obtain a judgment of acquittal </w:t>
      </w:r>
      <w:r w:rsidR="0023620C">
        <w:rPr>
          <w:rFonts w:ascii="Times New Roman" w:hAnsi="Times New Roman"/>
          <w:sz w:val="28"/>
          <w:szCs w:val="28"/>
        </w:rPr>
        <w:t xml:space="preserve">from the trial court even though that same defendant would have an opportunity to raise sufficiency of the evidence as an </w:t>
      </w:r>
      <w:r w:rsidR="0023620C">
        <w:rPr>
          <w:rFonts w:ascii="Times New Roman" w:hAnsi="Times New Roman"/>
          <w:sz w:val="28"/>
          <w:szCs w:val="28"/>
        </w:rPr>
        <w:lastRenderedPageBreak/>
        <w:t>appellate issue. “</w:t>
      </w:r>
      <w:r w:rsidR="0023620C" w:rsidRPr="0023620C">
        <w:rPr>
          <w:rFonts w:ascii="Times New Roman" w:hAnsi="Times New Roman"/>
          <w:sz w:val="28"/>
          <w:szCs w:val="28"/>
        </w:rPr>
        <w:t xml:space="preserve">If those qualifications, strictly applied, are not met, a trial court must let a conviction stand even if it finds post-verdict no substantial evidence to warrant the conviction. But that potentiality is illogical and, more importantly, would </w:t>
      </w:r>
      <w:r w:rsidR="0023620C">
        <w:rPr>
          <w:rFonts w:ascii="Times New Roman" w:hAnsi="Times New Roman"/>
          <w:sz w:val="28"/>
          <w:szCs w:val="28"/>
        </w:rPr>
        <w:t xml:space="preserve">conflict with well-settled law.” </w:t>
      </w:r>
      <w:r w:rsidR="0023620C" w:rsidRPr="0023620C">
        <w:rPr>
          <w:rFonts w:ascii="Times New Roman" w:hAnsi="Times New Roman"/>
          <w:i/>
          <w:sz w:val="28"/>
          <w:szCs w:val="28"/>
        </w:rPr>
        <w:t>West</w:t>
      </w:r>
      <w:r w:rsidR="0023620C">
        <w:rPr>
          <w:rFonts w:ascii="Times New Roman" w:hAnsi="Times New Roman"/>
          <w:sz w:val="28"/>
          <w:szCs w:val="28"/>
        </w:rPr>
        <w:t>, 226 Ariz. at 561-62 ¶ 11.</w:t>
      </w:r>
      <w:r w:rsidR="00984935">
        <w:rPr>
          <w:rFonts w:ascii="Times New Roman" w:hAnsi="Times New Roman"/>
          <w:sz w:val="28"/>
          <w:szCs w:val="28"/>
        </w:rPr>
        <w:t xml:space="preserve"> </w:t>
      </w:r>
      <w:r w:rsidR="00984935" w:rsidRPr="00984935">
        <w:rPr>
          <w:rFonts w:ascii="Times New Roman" w:hAnsi="Times New Roman"/>
          <w:i/>
          <w:sz w:val="28"/>
          <w:szCs w:val="28"/>
        </w:rPr>
        <w:t>Godoy</w:t>
      </w:r>
      <w:r w:rsidR="00984935">
        <w:rPr>
          <w:rFonts w:ascii="Times New Roman" w:hAnsi="Times New Roman"/>
          <w:sz w:val="28"/>
          <w:szCs w:val="28"/>
        </w:rPr>
        <w:t xml:space="preserve"> was decided </w:t>
      </w:r>
      <w:r w:rsidR="001F6288">
        <w:rPr>
          <w:rFonts w:ascii="Times New Roman" w:hAnsi="Times New Roman"/>
          <w:sz w:val="28"/>
          <w:szCs w:val="28"/>
        </w:rPr>
        <w:t>on September 26, 2017, well after the Criminal Rules Task Force completed its work, and thus it had no opportunity to consider this issue.</w:t>
      </w:r>
    </w:p>
    <w:p w14:paraId="0ECC96CF" w14:textId="77777777" w:rsidR="00D60861" w:rsidRDefault="00D60861" w:rsidP="001D0E6C">
      <w:pPr>
        <w:spacing w:line="480" w:lineRule="auto"/>
        <w:ind w:firstLine="720"/>
        <w:jc w:val="both"/>
        <w:rPr>
          <w:rFonts w:ascii="Times New Roman" w:hAnsi="Times New Roman"/>
          <w:sz w:val="28"/>
          <w:szCs w:val="28"/>
        </w:rPr>
      </w:pPr>
    </w:p>
    <w:p w14:paraId="6F78F8D8" w14:textId="601DC47C"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Conclusion</w:t>
      </w:r>
    </w:p>
    <w:p w14:paraId="1A9BA697" w14:textId="30E3B4BD" w:rsidR="002C660A" w:rsidRPr="0014499B"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For these reasons, AACJ requests this Court grant the petition to amend Rule</w:t>
      </w:r>
      <w:r w:rsidR="007E511A">
        <w:rPr>
          <w:rFonts w:ascii="Times New Roman" w:hAnsi="Times New Roman"/>
          <w:sz w:val="28"/>
          <w:szCs w:val="28"/>
        </w:rPr>
        <w:t>s</w:t>
      </w:r>
      <w:r>
        <w:rPr>
          <w:rFonts w:ascii="Times New Roman" w:hAnsi="Times New Roman"/>
          <w:sz w:val="28"/>
          <w:szCs w:val="28"/>
        </w:rPr>
        <w:t xml:space="preserve"> 20(b)(1)</w:t>
      </w:r>
      <w:r w:rsidR="007E511A">
        <w:rPr>
          <w:rFonts w:ascii="Times New Roman" w:hAnsi="Times New Roman"/>
          <w:sz w:val="28"/>
          <w:szCs w:val="28"/>
        </w:rPr>
        <w:t xml:space="preserve"> and 20(b)(2)</w:t>
      </w:r>
      <w:r>
        <w:rPr>
          <w:rFonts w:ascii="Times New Roman" w:hAnsi="Times New Roman"/>
          <w:sz w:val="28"/>
          <w:szCs w:val="28"/>
        </w:rPr>
        <w:t>.</w:t>
      </w:r>
    </w:p>
    <w:p w14:paraId="268AB80E" w14:textId="55311B3F"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2C660A">
        <w:rPr>
          <w:rFonts w:ascii="Times New Roman" w:hAnsi="Times New Roman"/>
          <w:sz w:val="28"/>
          <w:szCs w:val="28"/>
        </w:rPr>
        <w:t>January 11</w:t>
      </w:r>
      <w:r w:rsidR="00DC38DE">
        <w:rPr>
          <w:rFonts w:ascii="Times New Roman" w:hAnsi="Times New Roman"/>
          <w:sz w:val="28"/>
          <w:szCs w:val="28"/>
        </w:rPr>
        <w:t>,</w:t>
      </w:r>
      <w:r w:rsidR="00DC38DE" w:rsidRPr="0014499B">
        <w:rPr>
          <w:rFonts w:ascii="Times New Roman" w:hAnsi="Times New Roman"/>
          <w:sz w:val="28"/>
          <w:szCs w:val="28"/>
        </w:rPr>
        <w:t xml:space="preserve"> 20</w:t>
      </w:r>
      <w:r w:rsidR="00DC38DE">
        <w:rPr>
          <w:rFonts w:ascii="Times New Roman" w:hAnsi="Times New Roman"/>
          <w:sz w:val="28"/>
          <w:szCs w:val="28"/>
        </w:rPr>
        <w:t>1</w:t>
      </w:r>
      <w:r w:rsidR="002C660A">
        <w:rPr>
          <w:rFonts w:ascii="Times New Roman" w:hAnsi="Times New Roman"/>
          <w:sz w:val="28"/>
          <w:szCs w:val="28"/>
        </w:rPr>
        <w:t>9</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66E7BBC1"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sidRPr="00D9658B">
        <w:rPr>
          <w:rFonts w:ascii="Times New Roman" w:hAnsi="Times New Roman"/>
          <w:sz w:val="28"/>
          <w:szCs w:val="28"/>
          <w:u w:val="single"/>
        </w:rPr>
        <w:tab/>
      </w:r>
      <w:r>
        <w:rPr>
          <w:rFonts w:ascii="Times New Roman" w:hAnsi="Times New Roman"/>
          <w:sz w:val="28"/>
          <w:szCs w:val="28"/>
          <w:u w:val="single"/>
        </w:rPr>
        <w:t>/s/</w:t>
      </w:r>
      <w:r w:rsidRPr="00D9658B">
        <w:rPr>
          <w:rFonts w:ascii="Times New Roman" w:hAnsi="Times New Roman"/>
          <w:sz w:val="28"/>
          <w:szCs w:val="28"/>
          <w:u w:val="single"/>
        </w:rPr>
        <w:tab/>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3467CE6F" w:rsidR="006235B5" w:rsidRDefault="002C660A" w:rsidP="006235B5">
      <w:pPr>
        <w:spacing w:line="240" w:lineRule="auto"/>
        <w:ind w:firstLine="720"/>
        <w:rPr>
          <w:rFonts w:ascii="Times New Roman" w:hAnsi="Times New Roman"/>
          <w:sz w:val="28"/>
          <w:szCs w:val="28"/>
        </w:rPr>
      </w:pPr>
      <w:r>
        <w:rPr>
          <w:rFonts w:ascii="Times New Roman" w:hAnsi="Times New Roman"/>
          <w:sz w:val="28"/>
          <w:szCs w:val="28"/>
        </w:rPr>
        <w:t xml:space="preserve">David J. Euchner </w:t>
      </w:r>
      <w:r w:rsidR="00D0294B">
        <w:rPr>
          <w:rFonts w:ascii="Times New Roman" w:hAnsi="Times New Roman"/>
          <w:sz w:val="28"/>
          <w:szCs w:val="28"/>
        </w:rPr>
        <w:t xml:space="preserve">&amp; </w:t>
      </w:r>
      <w:r>
        <w:rPr>
          <w:rFonts w:ascii="Times New Roman" w:hAnsi="Times New Roman"/>
          <w:sz w:val="28"/>
          <w:szCs w:val="28"/>
        </w:rPr>
        <w:t>Nathan S. Benedict</w:t>
      </w:r>
    </w:p>
    <w:p w14:paraId="450CBE42" w14:textId="18F2268E" w:rsidR="00B16F3E" w:rsidRDefault="00B16F3E" w:rsidP="00DC38DE">
      <w:pPr>
        <w:spacing w:line="240" w:lineRule="auto"/>
        <w:rPr>
          <w:rFonts w:ascii="Times New Roman" w:hAnsi="Times New Roman"/>
          <w:sz w:val="28"/>
          <w:szCs w:val="28"/>
        </w:rPr>
      </w:pPr>
    </w:p>
    <w:p w14:paraId="79F83AC9" w14:textId="77777777" w:rsidR="003447F1" w:rsidRDefault="003447F1">
      <w:pPr>
        <w:spacing w:line="240" w:lineRule="auto"/>
        <w:rPr>
          <w:rFonts w:ascii="Times New Roman" w:hAnsi="Times New Roman"/>
          <w:sz w:val="28"/>
          <w:szCs w:val="28"/>
        </w:rPr>
      </w:pPr>
    </w:p>
    <w:p w14:paraId="78399389" w14:textId="77777777" w:rsidR="003447F1" w:rsidRDefault="003447F1">
      <w:pPr>
        <w:spacing w:line="240" w:lineRule="auto"/>
        <w:rPr>
          <w:rFonts w:ascii="Times New Roman" w:hAnsi="Times New Roman"/>
          <w:sz w:val="28"/>
          <w:szCs w:val="28"/>
        </w:rPr>
      </w:pPr>
      <w:r>
        <w:rPr>
          <w:rFonts w:ascii="Times New Roman" w:hAnsi="Times New Roman"/>
          <w:sz w:val="28"/>
          <w:szCs w:val="28"/>
        </w:rPr>
        <w:t>Electronically filed with the Court</w:t>
      </w:r>
    </w:p>
    <w:p w14:paraId="48C3D426" w14:textId="77777777" w:rsidR="003447F1" w:rsidRDefault="003447F1">
      <w:pPr>
        <w:spacing w:line="240" w:lineRule="auto"/>
        <w:rPr>
          <w:rFonts w:ascii="Times New Roman" w:hAnsi="Times New Roman"/>
          <w:sz w:val="28"/>
          <w:szCs w:val="28"/>
        </w:rPr>
      </w:pPr>
      <w:r>
        <w:rPr>
          <w:rFonts w:ascii="Times New Roman" w:hAnsi="Times New Roman"/>
          <w:sz w:val="28"/>
          <w:szCs w:val="28"/>
        </w:rPr>
        <w:t>on January 10, 2019</w:t>
      </w:r>
    </w:p>
    <w:p w14:paraId="1BA062EB" w14:textId="77777777" w:rsidR="003447F1" w:rsidRDefault="003447F1">
      <w:pPr>
        <w:spacing w:line="240" w:lineRule="auto"/>
        <w:rPr>
          <w:rFonts w:ascii="Times New Roman" w:hAnsi="Times New Roman"/>
          <w:sz w:val="28"/>
          <w:szCs w:val="28"/>
        </w:rPr>
      </w:pPr>
    </w:p>
    <w:p w14:paraId="1CBDE264" w14:textId="18A5CFFE" w:rsidR="003840C9" w:rsidRDefault="003447F1">
      <w:pPr>
        <w:spacing w:line="240" w:lineRule="auto"/>
        <w:rPr>
          <w:rFonts w:ascii="Times New Roman" w:hAnsi="Times New Roman"/>
          <w:sz w:val="28"/>
          <w:szCs w:val="28"/>
        </w:rPr>
      </w:pPr>
      <w:r>
        <w:rPr>
          <w:rFonts w:ascii="Times New Roman" w:hAnsi="Times New Roman"/>
          <w:sz w:val="28"/>
          <w:szCs w:val="28"/>
        </w:rPr>
        <w:t>/s/ David J. Euchner</w:t>
      </w:r>
      <w:bookmarkStart w:id="2" w:name="_GoBack"/>
      <w:bookmarkEnd w:id="2"/>
      <w:r w:rsidR="003840C9">
        <w:rPr>
          <w:rFonts w:ascii="Times New Roman" w:hAnsi="Times New Roman"/>
          <w:sz w:val="28"/>
          <w:szCs w:val="28"/>
        </w:rPr>
        <w:br w:type="page"/>
      </w:r>
    </w:p>
    <w:p w14:paraId="1E3039B1" w14:textId="01673B26" w:rsidR="003840C9" w:rsidRPr="003840C9" w:rsidRDefault="003840C9" w:rsidP="003840C9">
      <w:pPr>
        <w:spacing w:line="240" w:lineRule="auto"/>
        <w:jc w:val="center"/>
        <w:rPr>
          <w:rFonts w:ascii="Times New Roman" w:hAnsi="Times New Roman"/>
          <w:b/>
          <w:sz w:val="48"/>
          <w:szCs w:val="48"/>
          <w:u w:val="single"/>
        </w:rPr>
      </w:pPr>
      <w:r w:rsidRPr="003840C9">
        <w:rPr>
          <w:rFonts w:ascii="Times New Roman" w:hAnsi="Times New Roman"/>
          <w:b/>
          <w:sz w:val="48"/>
          <w:szCs w:val="48"/>
          <w:u w:val="single"/>
        </w:rPr>
        <w:lastRenderedPageBreak/>
        <w:t>APPENDIX A</w:t>
      </w:r>
    </w:p>
    <w:p w14:paraId="7054DFF7" w14:textId="77777777" w:rsidR="003840C9" w:rsidRDefault="003840C9" w:rsidP="00DC38DE">
      <w:pPr>
        <w:spacing w:line="240" w:lineRule="auto"/>
        <w:rPr>
          <w:rFonts w:ascii="Times New Roman" w:hAnsi="Times New Roman"/>
          <w:sz w:val="28"/>
          <w:szCs w:val="28"/>
        </w:rPr>
      </w:pPr>
    </w:p>
    <w:p w14:paraId="500E5C64" w14:textId="77777777" w:rsidR="00854B4F" w:rsidRDefault="00854B4F" w:rsidP="00DC38DE">
      <w:pPr>
        <w:spacing w:line="240" w:lineRule="auto"/>
        <w:rPr>
          <w:rFonts w:ascii="Times New Roman" w:hAnsi="Times New Roman"/>
          <w:sz w:val="28"/>
          <w:szCs w:val="28"/>
        </w:rPr>
      </w:pPr>
    </w:p>
    <w:p w14:paraId="51FB38F3" w14:textId="007B1808" w:rsidR="00854B4F" w:rsidRPr="003840C9" w:rsidRDefault="003840C9" w:rsidP="003840C9">
      <w:pPr>
        <w:spacing w:line="240" w:lineRule="auto"/>
        <w:jc w:val="both"/>
        <w:rPr>
          <w:rFonts w:ascii="Times New Roman" w:hAnsi="Times New Roman"/>
          <w:b/>
          <w:sz w:val="28"/>
          <w:szCs w:val="28"/>
        </w:rPr>
      </w:pPr>
      <w:r w:rsidRPr="003840C9">
        <w:rPr>
          <w:rFonts w:ascii="Times New Roman" w:hAnsi="Times New Roman"/>
          <w:b/>
          <w:sz w:val="28"/>
          <w:szCs w:val="28"/>
        </w:rPr>
        <w:t>Rule 20. Judgment of Acquittal or Unproven Aggravator</w:t>
      </w:r>
    </w:p>
    <w:p w14:paraId="2DC4AD34" w14:textId="05F87EAE" w:rsidR="00854B4F" w:rsidRDefault="00854B4F" w:rsidP="003840C9">
      <w:pPr>
        <w:spacing w:line="240" w:lineRule="auto"/>
        <w:jc w:val="both"/>
        <w:rPr>
          <w:rFonts w:ascii="Times New Roman" w:hAnsi="Times New Roman"/>
          <w:sz w:val="28"/>
          <w:szCs w:val="28"/>
        </w:rPr>
      </w:pPr>
    </w:p>
    <w:p w14:paraId="28404922" w14:textId="77777777" w:rsidR="003840C9" w:rsidRPr="003840C9" w:rsidRDefault="003840C9" w:rsidP="003840C9">
      <w:pPr>
        <w:spacing w:line="240" w:lineRule="auto"/>
        <w:jc w:val="both"/>
        <w:rPr>
          <w:rFonts w:ascii="Times New Roman" w:hAnsi="Times New Roman"/>
          <w:b/>
          <w:sz w:val="28"/>
          <w:szCs w:val="28"/>
        </w:rPr>
      </w:pPr>
      <w:r w:rsidRPr="003840C9">
        <w:rPr>
          <w:rFonts w:ascii="Times New Roman" w:hAnsi="Times New Roman"/>
          <w:b/>
          <w:sz w:val="28"/>
          <w:szCs w:val="28"/>
        </w:rPr>
        <w:t>(a) Before Verdict.</w:t>
      </w:r>
    </w:p>
    <w:p w14:paraId="0ADFD2F2" w14:textId="77777777" w:rsidR="003840C9" w:rsidRPr="003840C9" w:rsidRDefault="003840C9" w:rsidP="003840C9">
      <w:pPr>
        <w:spacing w:line="240" w:lineRule="auto"/>
        <w:jc w:val="both"/>
        <w:rPr>
          <w:rFonts w:ascii="Times New Roman" w:hAnsi="Times New Roman"/>
          <w:sz w:val="28"/>
          <w:szCs w:val="28"/>
        </w:rPr>
      </w:pPr>
    </w:p>
    <w:p w14:paraId="47AC3301" w14:textId="77777777" w:rsidR="003840C9" w:rsidRPr="003840C9" w:rsidRDefault="003840C9" w:rsidP="003840C9">
      <w:pPr>
        <w:spacing w:line="240" w:lineRule="auto"/>
        <w:jc w:val="both"/>
        <w:rPr>
          <w:rFonts w:ascii="Times New Roman" w:hAnsi="Times New Roman"/>
          <w:sz w:val="28"/>
          <w:szCs w:val="28"/>
        </w:rPr>
      </w:pPr>
      <w:r w:rsidRPr="003840C9">
        <w:rPr>
          <w:rFonts w:ascii="Times New Roman" w:hAnsi="Times New Roman"/>
          <w:sz w:val="28"/>
          <w:szCs w:val="28"/>
        </w:rPr>
        <w:t>(1) Acquittal. After the close of evidence on either side, and on motion or on its own, the court must enter a judgment of acquittal on any offense charged in an indictment, information, or complaint if there is no substantial evidence to support a conviction.</w:t>
      </w:r>
    </w:p>
    <w:p w14:paraId="342D83D5" w14:textId="77777777" w:rsidR="003840C9" w:rsidRPr="003840C9" w:rsidRDefault="003840C9" w:rsidP="003840C9">
      <w:pPr>
        <w:spacing w:line="240" w:lineRule="auto"/>
        <w:jc w:val="both"/>
        <w:rPr>
          <w:rFonts w:ascii="Times New Roman" w:hAnsi="Times New Roman"/>
          <w:sz w:val="28"/>
          <w:szCs w:val="28"/>
        </w:rPr>
      </w:pPr>
    </w:p>
    <w:p w14:paraId="3823667E" w14:textId="77777777" w:rsidR="003840C9" w:rsidRPr="003840C9" w:rsidRDefault="003840C9" w:rsidP="003840C9">
      <w:pPr>
        <w:spacing w:line="240" w:lineRule="auto"/>
        <w:jc w:val="both"/>
        <w:rPr>
          <w:rFonts w:ascii="Times New Roman" w:hAnsi="Times New Roman"/>
          <w:sz w:val="28"/>
          <w:szCs w:val="28"/>
        </w:rPr>
      </w:pPr>
      <w:r w:rsidRPr="003840C9">
        <w:rPr>
          <w:rFonts w:ascii="Times New Roman" w:hAnsi="Times New Roman"/>
          <w:sz w:val="28"/>
          <w:szCs w:val="28"/>
        </w:rPr>
        <w:t>(2) Aggravation. After the close of evidence on either side in an aggravation phase, and on motion or on its own, the court must enter a judgment that an aggravating circumstance or other sentence enhancement was not proven if there is no substantial evidence to support the allegation.</w:t>
      </w:r>
    </w:p>
    <w:p w14:paraId="411FC09F" w14:textId="77777777" w:rsidR="003840C9" w:rsidRPr="003840C9" w:rsidRDefault="003840C9" w:rsidP="003840C9">
      <w:pPr>
        <w:spacing w:line="240" w:lineRule="auto"/>
        <w:jc w:val="both"/>
        <w:rPr>
          <w:rFonts w:ascii="Times New Roman" w:hAnsi="Times New Roman"/>
          <w:sz w:val="28"/>
          <w:szCs w:val="28"/>
        </w:rPr>
      </w:pPr>
    </w:p>
    <w:p w14:paraId="6DF03B68" w14:textId="0DA4D265" w:rsidR="003840C9" w:rsidRPr="003840C9" w:rsidRDefault="003840C9" w:rsidP="003840C9">
      <w:pPr>
        <w:spacing w:line="240" w:lineRule="auto"/>
        <w:jc w:val="both"/>
        <w:rPr>
          <w:rFonts w:ascii="Times New Roman" w:hAnsi="Times New Roman"/>
          <w:sz w:val="28"/>
          <w:szCs w:val="28"/>
        </w:rPr>
      </w:pPr>
      <w:r w:rsidRPr="003840C9">
        <w:rPr>
          <w:rFonts w:ascii="Times New Roman" w:hAnsi="Times New Roman"/>
          <w:sz w:val="28"/>
          <w:szCs w:val="28"/>
        </w:rPr>
        <w:t>(3) Timing. The court must rule on a defendant</w:t>
      </w:r>
      <w:r w:rsidR="00537600">
        <w:rPr>
          <w:rFonts w:ascii="Times New Roman" w:hAnsi="Times New Roman"/>
          <w:sz w:val="28"/>
          <w:szCs w:val="28"/>
        </w:rPr>
        <w:t>’</w:t>
      </w:r>
      <w:r w:rsidRPr="003840C9">
        <w:rPr>
          <w:rFonts w:ascii="Times New Roman" w:hAnsi="Times New Roman"/>
          <w:sz w:val="28"/>
          <w:szCs w:val="28"/>
        </w:rPr>
        <w:t>s motion with all possible speed. Until the motion is decided, the defendant is not required to proceed.</w:t>
      </w:r>
    </w:p>
    <w:p w14:paraId="3423FE77" w14:textId="77777777" w:rsidR="003840C9" w:rsidRPr="003840C9" w:rsidRDefault="003840C9" w:rsidP="003840C9">
      <w:pPr>
        <w:spacing w:line="240" w:lineRule="auto"/>
        <w:jc w:val="both"/>
        <w:rPr>
          <w:rFonts w:ascii="Times New Roman" w:hAnsi="Times New Roman"/>
          <w:sz w:val="28"/>
          <w:szCs w:val="28"/>
        </w:rPr>
      </w:pPr>
    </w:p>
    <w:p w14:paraId="4B8AF2E2" w14:textId="77777777" w:rsidR="003840C9" w:rsidRPr="003840C9" w:rsidRDefault="003840C9" w:rsidP="003840C9">
      <w:pPr>
        <w:spacing w:line="240" w:lineRule="auto"/>
        <w:jc w:val="both"/>
        <w:rPr>
          <w:rFonts w:ascii="Times New Roman" w:hAnsi="Times New Roman"/>
          <w:b/>
          <w:sz w:val="28"/>
          <w:szCs w:val="28"/>
        </w:rPr>
      </w:pPr>
      <w:r w:rsidRPr="003840C9">
        <w:rPr>
          <w:rFonts w:ascii="Times New Roman" w:hAnsi="Times New Roman"/>
          <w:b/>
          <w:sz w:val="28"/>
          <w:szCs w:val="28"/>
        </w:rPr>
        <w:t>(b) After Verdict.</w:t>
      </w:r>
    </w:p>
    <w:p w14:paraId="2C949355" w14:textId="77777777" w:rsidR="003840C9" w:rsidRPr="003840C9" w:rsidRDefault="003840C9" w:rsidP="003840C9">
      <w:pPr>
        <w:spacing w:line="240" w:lineRule="auto"/>
        <w:jc w:val="both"/>
        <w:rPr>
          <w:rFonts w:ascii="Times New Roman" w:hAnsi="Times New Roman"/>
          <w:sz w:val="28"/>
          <w:szCs w:val="28"/>
        </w:rPr>
      </w:pPr>
    </w:p>
    <w:p w14:paraId="161A95C5" w14:textId="6BD135FD" w:rsidR="003840C9" w:rsidRPr="003840C9" w:rsidRDefault="003840C9" w:rsidP="003840C9">
      <w:pPr>
        <w:spacing w:line="240" w:lineRule="auto"/>
        <w:jc w:val="both"/>
        <w:rPr>
          <w:rFonts w:ascii="Times New Roman" w:hAnsi="Times New Roman"/>
          <w:sz w:val="28"/>
          <w:szCs w:val="28"/>
        </w:rPr>
      </w:pPr>
      <w:r w:rsidRPr="003840C9">
        <w:rPr>
          <w:rFonts w:ascii="Times New Roman" w:hAnsi="Times New Roman"/>
          <w:sz w:val="28"/>
          <w:szCs w:val="28"/>
        </w:rPr>
        <w:t>(1) On Motion. A defendant may make or renew a motion for judgment of acquittal or unproven aggravator or other sentence enhancement on any conviction or allegation no later than 10 days after any verdict is returned</w:t>
      </w:r>
      <w:r w:rsidR="00537600">
        <w:rPr>
          <w:rFonts w:ascii="Times New Roman" w:hAnsi="Times New Roman"/>
          <w:sz w:val="28"/>
          <w:szCs w:val="28"/>
        </w:rPr>
        <w:t xml:space="preserve"> </w:t>
      </w:r>
      <w:r w:rsidR="00537600" w:rsidRPr="00537600">
        <w:rPr>
          <w:rFonts w:ascii="Times New Roman" w:hAnsi="Times New Roman"/>
          <w:b/>
          <w:color w:val="FF0000"/>
          <w:sz w:val="28"/>
          <w:szCs w:val="28"/>
          <w:u w:val="single"/>
        </w:rPr>
        <w:t>or after the court discharges the jury, whichever is later</w:t>
      </w:r>
      <w:r w:rsidRPr="003840C9">
        <w:rPr>
          <w:rFonts w:ascii="Times New Roman" w:hAnsi="Times New Roman"/>
          <w:sz w:val="28"/>
          <w:szCs w:val="28"/>
        </w:rPr>
        <w:t>.</w:t>
      </w:r>
    </w:p>
    <w:p w14:paraId="14F06E80" w14:textId="77777777" w:rsidR="003840C9" w:rsidRPr="003840C9" w:rsidRDefault="003840C9" w:rsidP="003840C9">
      <w:pPr>
        <w:spacing w:line="240" w:lineRule="auto"/>
        <w:jc w:val="both"/>
        <w:rPr>
          <w:rFonts w:ascii="Times New Roman" w:hAnsi="Times New Roman"/>
          <w:sz w:val="28"/>
          <w:szCs w:val="28"/>
        </w:rPr>
      </w:pPr>
    </w:p>
    <w:p w14:paraId="292080A0" w14:textId="4C895F93" w:rsidR="003840C9" w:rsidRDefault="003840C9" w:rsidP="003840C9">
      <w:pPr>
        <w:spacing w:line="240" w:lineRule="auto"/>
        <w:jc w:val="both"/>
        <w:rPr>
          <w:rFonts w:ascii="Times New Roman" w:hAnsi="Times New Roman"/>
          <w:sz w:val="28"/>
          <w:szCs w:val="28"/>
        </w:rPr>
      </w:pPr>
      <w:r w:rsidRPr="003840C9">
        <w:rPr>
          <w:rFonts w:ascii="Times New Roman" w:hAnsi="Times New Roman"/>
          <w:sz w:val="28"/>
          <w:szCs w:val="28"/>
        </w:rPr>
        <w:t>(2) On Court</w:t>
      </w:r>
      <w:r w:rsidR="00537600">
        <w:rPr>
          <w:rFonts w:ascii="Times New Roman" w:hAnsi="Times New Roman"/>
          <w:sz w:val="28"/>
          <w:szCs w:val="28"/>
        </w:rPr>
        <w:t>’</w:t>
      </w:r>
      <w:r w:rsidRPr="003840C9">
        <w:rPr>
          <w:rFonts w:ascii="Times New Roman" w:hAnsi="Times New Roman"/>
          <w:sz w:val="28"/>
          <w:szCs w:val="28"/>
        </w:rPr>
        <w:t>s Own Initiative. After the verdict</w:t>
      </w:r>
      <w:r w:rsidR="00537600">
        <w:rPr>
          <w:rFonts w:ascii="Times New Roman" w:hAnsi="Times New Roman"/>
          <w:sz w:val="28"/>
          <w:szCs w:val="28"/>
        </w:rPr>
        <w:t xml:space="preserve"> </w:t>
      </w:r>
      <w:r w:rsidR="00537600" w:rsidRPr="00537600">
        <w:rPr>
          <w:rFonts w:ascii="Times New Roman" w:hAnsi="Times New Roman"/>
          <w:b/>
          <w:color w:val="FF0000"/>
          <w:sz w:val="28"/>
          <w:szCs w:val="28"/>
          <w:u w:val="single"/>
        </w:rPr>
        <w:t>or after the court discharges the jury</w:t>
      </w:r>
      <w:r w:rsidRPr="003840C9">
        <w:rPr>
          <w:rFonts w:ascii="Times New Roman" w:hAnsi="Times New Roman"/>
          <w:sz w:val="28"/>
          <w:szCs w:val="28"/>
        </w:rPr>
        <w:t>, if the court determines that there is no substantial evidence to support the verdict, the court on its own must order a judgment of acquittal or find an aggravator or other sentence enhancement not proven.</w:t>
      </w:r>
    </w:p>
    <w:sectPr w:rsidR="003840C9" w:rsidSect="00F54AA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B4237" w14:textId="77777777" w:rsidR="00F33938" w:rsidRDefault="00F33938">
      <w:r>
        <w:separator/>
      </w:r>
    </w:p>
  </w:endnote>
  <w:endnote w:type="continuationSeparator" w:id="0">
    <w:p w14:paraId="6FBA34B0" w14:textId="77777777" w:rsidR="00F33938" w:rsidRDefault="00F3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6188E183"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47F1">
      <w:rPr>
        <w:rStyle w:val="PageNumber"/>
        <w:noProof/>
      </w:rPr>
      <w:t>9</w:t>
    </w:r>
    <w:r>
      <w:rPr>
        <w:rStyle w:val="PageNumber"/>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14AA0" w14:textId="77777777" w:rsidR="00F33938" w:rsidRDefault="00F33938">
      <w:r>
        <w:separator/>
      </w:r>
    </w:p>
  </w:footnote>
  <w:footnote w:type="continuationSeparator" w:id="0">
    <w:p w14:paraId="3222001A" w14:textId="77777777" w:rsidR="00F33938" w:rsidRDefault="00F33938">
      <w:r>
        <w:continuationSeparator/>
      </w:r>
    </w:p>
  </w:footnote>
  <w:footnote w:id="1">
    <w:p w14:paraId="64603E3F" w14:textId="1987A4BF" w:rsidR="001B408E" w:rsidRPr="00D60861" w:rsidRDefault="001B408E" w:rsidP="00D60861">
      <w:pPr>
        <w:pStyle w:val="FootnoteText"/>
        <w:spacing w:line="240" w:lineRule="auto"/>
        <w:jc w:val="both"/>
        <w:rPr>
          <w:rFonts w:ascii="Times New Roman" w:hAnsi="Times New Roman"/>
          <w:sz w:val="28"/>
          <w:szCs w:val="28"/>
        </w:rPr>
      </w:pPr>
      <w:r w:rsidRPr="00D60861">
        <w:rPr>
          <w:rStyle w:val="FootnoteReference"/>
          <w:rFonts w:ascii="Times New Roman" w:hAnsi="Times New Roman"/>
          <w:sz w:val="28"/>
          <w:szCs w:val="28"/>
        </w:rPr>
        <w:footnoteRef/>
      </w:r>
      <w:r w:rsidRPr="00D60861">
        <w:rPr>
          <w:rFonts w:ascii="Times New Roman" w:hAnsi="Times New Roman"/>
          <w:sz w:val="28"/>
          <w:szCs w:val="28"/>
        </w:rPr>
        <w:t xml:space="preserve"> </w:t>
      </w:r>
      <w:r>
        <w:rPr>
          <w:rFonts w:ascii="Times New Roman" w:hAnsi="Times New Roman"/>
          <w:sz w:val="28"/>
          <w:szCs w:val="28"/>
        </w:rPr>
        <w:t xml:space="preserve">Named for </w:t>
      </w:r>
      <w:r w:rsidRPr="00DD519E">
        <w:rPr>
          <w:rFonts w:ascii="Times New Roman" w:hAnsi="Times New Roman"/>
          <w:i/>
          <w:sz w:val="28"/>
          <w:szCs w:val="28"/>
        </w:rPr>
        <w:t>Allen v. United States</w:t>
      </w:r>
      <w:r>
        <w:rPr>
          <w:rFonts w:ascii="Times New Roman" w:hAnsi="Times New Roman"/>
          <w:sz w:val="28"/>
          <w:szCs w:val="28"/>
        </w:rPr>
        <w:t>, 164 U.S. 492 (1896), this Court has described it as a “‘dynamite’ charge” and defined it a</w:t>
      </w:r>
      <w:r w:rsidRPr="00DD519E">
        <w:rPr>
          <w:rFonts w:ascii="Times New Roman" w:hAnsi="Times New Roman"/>
          <w:sz w:val="28"/>
          <w:szCs w:val="28"/>
        </w:rPr>
        <w:t xml:space="preserve">s </w:t>
      </w:r>
      <w:r>
        <w:rPr>
          <w:rFonts w:ascii="Times New Roman" w:hAnsi="Times New Roman"/>
          <w:sz w:val="28"/>
          <w:szCs w:val="28"/>
        </w:rPr>
        <w:t>“</w:t>
      </w:r>
      <w:r w:rsidRPr="00DD519E">
        <w:rPr>
          <w:rFonts w:ascii="Times New Roman" w:hAnsi="Times New Roman"/>
          <w:sz w:val="28"/>
          <w:szCs w:val="28"/>
        </w:rPr>
        <w:t>a supplemental instruction the court gives to encourage a jury to reach a verdict after that jury has been unable to agree after some period of deliberation.</w:t>
      </w:r>
      <w:r>
        <w:rPr>
          <w:rFonts w:ascii="Times New Roman" w:hAnsi="Times New Roman"/>
          <w:sz w:val="28"/>
          <w:szCs w:val="28"/>
        </w:rPr>
        <w:t xml:space="preserve">” </w:t>
      </w:r>
      <w:r w:rsidRPr="00054624">
        <w:rPr>
          <w:rFonts w:ascii="Times New Roman" w:hAnsi="Times New Roman"/>
          <w:i/>
          <w:sz w:val="28"/>
          <w:szCs w:val="28"/>
        </w:rPr>
        <w:t>State v. Dunlap</w:t>
      </w:r>
      <w:r>
        <w:rPr>
          <w:rFonts w:ascii="Times New Roman" w:hAnsi="Times New Roman"/>
          <w:sz w:val="28"/>
          <w:szCs w:val="28"/>
        </w:rPr>
        <w:t>, 187 Ariz. 441, 464 n.5 (1996) (citing</w:t>
      </w:r>
      <w:r w:rsidRPr="00DD519E">
        <w:rPr>
          <w:rFonts w:ascii="Times New Roman" w:hAnsi="Times New Roman"/>
          <w:sz w:val="28"/>
          <w:szCs w:val="28"/>
        </w:rPr>
        <w:t xml:space="preserve"> </w:t>
      </w:r>
      <w:r w:rsidRPr="00DD519E">
        <w:rPr>
          <w:rFonts w:ascii="Times New Roman" w:hAnsi="Times New Roman"/>
          <w:i/>
          <w:sz w:val="28"/>
          <w:szCs w:val="28"/>
        </w:rPr>
        <w:t>United States v. Nickell</w:t>
      </w:r>
      <w:r w:rsidRPr="00DD519E">
        <w:rPr>
          <w:rFonts w:ascii="Times New Roman" w:hAnsi="Times New Roman"/>
          <w:sz w:val="28"/>
          <w:szCs w:val="28"/>
        </w:rPr>
        <w:t>, 883 F.2d 824, 828 (9th Cir.</w:t>
      </w:r>
      <w:r>
        <w:rPr>
          <w:rFonts w:ascii="Times New Roman" w:hAnsi="Times New Roman"/>
          <w:sz w:val="28"/>
          <w:szCs w:val="28"/>
        </w:rPr>
        <w:t xml:space="preserve"> </w:t>
      </w:r>
      <w:r w:rsidRPr="00DD519E">
        <w:rPr>
          <w:rFonts w:ascii="Times New Roman" w:hAnsi="Times New Roman"/>
          <w:sz w:val="28"/>
          <w:szCs w:val="28"/>
        </w:rPr>
        <w:t>1989)</w:t>
      </w:r>
      <w:r>
        <w:rPr>
          <w:rFonts w:ascii="Times New Roman" w:hAnsi="Times New Roman"/>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170EA"/>
    <w:rsid w:val="00030DFC"/>
    <w:rsid w:val="00033485"/>
    <w:rsid w:val="000347CF"/>
    <w:rsid w:val="00036CF2"/>
    <w:rsid w:val="000506CE"/>
    <w:rsid w:val="000539C9"/>
    <w:rsid w:val="00054624"/>
    <w:rsid w:val="00057960"/>
    <w:rsid w:val="000759BB"/>
    <w:rsid w:val="000763D7"/>
    <w:rsid w:val="00076CBE"/>
    <w:rsid w:val="00092D1D"/>
    <w:rsid w:val="00095786"/>
    <w:rsid w:val="000B1D0D"/>
    <w:rsid w:val="000B3D5C"/>
    <w:rsid w:val="000D50D4"/>
    <w:rsid w:val="000E2821"/>
    <w:rsid w:val="000E6C47"/>
    <w:rsid w:val="000E7FAC"/>
    <w:rsid w:val="00111A1A"/>
    <w:rsid w:val="00117CB3"/>
    <w:rsid w:val="00125A1E"/>
    <w:rsid w:val="001269D9"/>
    <w:rsid w:val="00141C61"/>
    <w:rsid w:val="001516C5"/>
    <w:rsid w:val="0016125C"/>
    <w:rsid w:val="00175B0A"/>
    <w:rsid w:val="00186903"/>
    <w:rsid w:val="001B408E"/>
    <w:rsid w:val="001C02C6"/>
    <w:rsid w:val="001C30CE"/>
    <w:rsid w:val="001C60A4"/>
    <w:rsid w:val="001D0E6C"/>
    <w:rsid w:val="001F6288"/>
    <w:rsid w:val="00205E43"/>
    <w:rsid w:val="002076F9"/>
    <w:rsid w:val="00221A90"/>
    <w:rsid w:val="00230545"/>
    <w:rsid w:val="00235C89"/>
    <w:rsid w:val="0023620C"/>
    <w:rsid w:val="0027258D"/>
    <w:rsid w:val="00284E5B"/>
    <w:rsid w:val="00285283"/>
    <w:rsid w:val="002A3420"/>
    <w:rsid w:val="002B5B1B"/>
    <w:rsid w:val="002C0EDD"/>
    <w:rsid w:val="002C660A"/>
    <w:rsid w:val="002E545E"/>
    <w:rsid w:val="002F1FBD"/>
    <w:rsid w:val="002F33EF"/>
    <w:rsid w:val="003055A7"/>
    <w:rsid w:val="00305CB1"/>
    <w:rsid w:val="00311552"/>
    <w:rsid w:val="00325AFE"/>
    <w:rsid w:val="003447F1"/>
    <w:rsid w:val="00351280"/>
    <w:rsid w:val="00357C78"/>
    <w:rsid w:val="003732CB"/>
    <w:rsid w:val="00380B0B"/>
    <w:rsid w:val="003840C9"/>
    <w:rsid w:val="003A2343"/>
    <w:rsid w:val="003A63AE"/>
    <w:rsid w:val="003C15EA"/>
    <w:rsid w:val="003C6246"/>
    <w:rsid w:val="003E5927"/>
    <w:rsid w:val="0041282A"/>
    <w:rsid w:val="00421E9E"/>
    <w:rsid w:val="004434F1"/>
    <w:rsid w:val="00444BE7"/>
    <w:rsid w:val="00451F00"/>
    <w:rsid w:val="00454AE0"/>
    <w:rsid w:val="0047497F"/>
    <w:rsid w:val="00485FAA"/>
    <w:rsid w:val="00493A61"/>
    <w:rsid w:val="004963BA"/>
    <w:rsid w:val="004A2829"/>
    <w:rsid w:val="004B3410"/>
    <w:rsid w:val="004C7133"/>
    <w:rsid w:val="004D72A3"/>
    <w:rsid w:val="004E66AE"/>
    <w:rsid w:val="004E6839"/>
    <w:rsid w:val="004F3B51"/>
    <w:rsid w:val="00502211"/>
    <w:rsid w:val="00512EB9"/>
    <w:rsid w:val="00515CB2"/>
    <w:rsid w:val="005252FB"/>
    <w:rsid w:val="00537600"/>
    <w:rsid w:val="0054468B"/>
    <w:rsid w:val="005453BE"/>
    <w:rsid w:val="00553515"/>
    <w:rsid w:val="00556A2D"/>
    <w:rsid w:val="005924A7"/>
    <w:rsid w:val="005B0C4F"/>
    <w:rsid w:val="005B53BE"/>
    <w:rsid w:val="005B7899"/>
    <w:rsid w:val="005C109B"/>
    <w:rsid w:val="005C6E61"/>
    <w:rsid w:val="005D06D5"/>
    <w:rsid w:val="005D7DCC"/>
    <w:rsid w:val="005F0195"/>
    <w:rsid w:val="005F4669"/>
    <w:rsid w:val="0060208D"/>
    <w:rsid w:val="006114B6"/>
    <w:rsid w:val="006235B5"/>
    <w:rsid w:val="0062703F"/>
    <w:rsid w:val="00627DBE"/>
    <w:rsid w:val="00635786"/>
    <w:rsid w:val="006378F2"/>
    <w:rsid w:val="006463AE"/>
    <w:rsid w:val="00646589"/>
    <w:rsid w:val="00656061"/>
    <w:rsid w:val="00671A36"/>
    <w:rsid w:val="00674178"/>
    <w:rsid w:val="00692962"/>
    <w:rsid w:val="006C0F08"/>
    <w:rsid w:val="006C2808"/>
    <w:rsid w:val="006C5B68"/>
    <w:rsid w:val="006C648E"/>
    <w:rsid w:val="006D4397"/>
    <w:rsid w:val="006E34AB"/>
    <w:rsid w:val="006F5562"/>
    <w:rsid w:val="006F594D"/>
    <w:rsid w:val="00701CE7"/>
    <w:rsid w:val="0070604A"/>
    <w:rsid w:val="007109BB"/>
    <w:rsid w:val="00714CCA"/>
    <w:rsid w:val="00720596"/>
    <w:rsid w:val="00734F6C"/>
    <w:rsid w:val="00744748"/>
    <w:rsid w:val="00760549"/>
    <w:rsid w:val="007626EF"/>
    <w:rsid w:val="00764591"/>
    <w:rsid w:val="00765DAF"/>
    <w:rsid w:val="007669E7"/>
    <w:rsid w:val="00781317"/>
    <w:rsid w:val="00787905"/>
    <w:rsid w:val="00794743"/>
    <w:rsid w:val="007973A8"/>
    <w:rsid w:val="007A3B11"/>
    <w:rsid w:val="007A5AD8"/>
    <w:rsid w:val="007B4B94"/>
    <w:rsid w:val="007C17AC"/>
    <w:rsid w:val="007D2D04"/>
    <w:rsid w:val="007E229C"/>
    <w:rsid w:val="007E511A"/>
    <w:rsid w:val="007F091F"/>
    <w:rsid w:val="007F35A8"/>
    <w:rsid w:val="00802B79"/>
    <w:rsid w:val="0081534B"/>
    <w:rsid w:val="008272AA"/>
    <w:rsid w:val="00831FE6"/>
    <w:rsid w:val="0083406F"/>
    <w:rsid w:val="008367DA"/>
    <w:rsid w:val="008409ED"/>
    <w:rsid w:val="00841AB1"/>
    <w:rsid w:val="008425DB"/>
    <w:rsid w:val="0085222A"/>
    <w:rsid w:val="00854B4F"/>
    <w:rsid w:val="008579E3"/>
    <w:rsid w:val="0086599B"/>
    <w:rsid w:val="00876503"/>
    <w:rsid w:val="008828FB"/>
    <w:rsid w:val="008940B3"/>
    <w:rsid w:val="008B54C8"/>
    <w:rsid w:val="008B7D55"/>
    <w:rsid w:val="008C682F"/>
    <w:rsid w:val="008D1F4D"/>
    <w:rsid w:val="008D575C"/>
    <w:rsid w:val="008E04BA"/>
    <w:rsid w:val="009049C6"/>
    <w:rsid w:val="00923420"/>
    <w:rsid w:val="00936450"/>
    <w:rsid w:val="00943146"/>
    <w:rsid w:val="00956F98"/>
    <w:rsid w:val="009815B4"/>
    <w:rsid w:val="009823DE"/>
    <w:rsid w:val="00984935"/>
    <w:rsid w:val="009923CC"/>
    <w:rsid w:val="009C525E"/>
    <w:rsid w:val="009C79C4"/>
    <w:rsid w:val="009E7AC2"/>
    <w:rsid w:val="009F0CE6"/>
    <w:rsid w:val="00A00B20"/>
    <w:rsid w:val="00A0443C"/>
    <w:rsid w:val="00A42EAA"/>
    <w:rsid w:val="00A629F8"/>
    <w:rsid w:val="00A729B8"/>
    <w:rsid w:val="00A74317"/>
    <w:rsid w:val="00A86C90"/>
    <w:rsid w:val="00AB2212"/>
    <w:rsid w:val="00AB5BD4"/>
    <w:rsid w:val="00AD6744"/>
    <w:rsid w:val="00B16F3E"/>
    <w:rsid w:val="00B40EF1"/>
    <w:rsid w:val="00B43E0F"/>
    <w:rsid w:val="00B90C53"/>
    <w:rsid w:val="00BA7D16"/>
    <w:rsid w:val="00BB1D01"/>
    <w:rsid w:val="00BB2A3A"/>
    <w:rsid w:val="00BB652F"/>
    <w:rsid w:val="00BC2358"/>
    <w:rsid w:val="00BF346E"/>
    <w:rsid w:val="00BF6973"/>
    <w:rsid w:val="00C10845"/>
    <w:rsid w:val="00C30A6D"/>
    <w:rsid w:val="00C3108B"/>
    <w:rsid w:val="00C347AE"/>
    <w:rsid w:val="00C37271"/>
    <w:rsid w:val="00C40941"/>
    <w:rsid w:val="00C44CA0"/>
    <w:rsid w:val="00C516BC"/>
    <w:rsid w:val="00C61585"/>
    <w:rsid w:val="00C71726"/>
    <w:rsid w:val="00C838EB"/>
    <w:rsid w:val="00C8556E"/>
    <w:rsid w:val="00C859FD"/>
    <w:rsid w:val="00C97315"/>
    <w:rsid w:val="00C9771B"/>
    <w:rsid w:val="00CA18B8"/>
    <w:rsid w:val="00CA5449"/>
    <w:rsid w:val="00CA5689"/>
    <w:rsid w:val="00CC3610"/>
    <w:rsid w:val="00CD45E7"/>
    <w:rsid w:val="00CE08E0"/>
    <w:rsid w:val="00D0294B"/>
    <w:rsid w:val="00D145C4"/>
    <w:rsid w:val="00D26ED2"/>
    <w:rsid w:val="00D37836"/>
    <w:rsid w:val="00D407F7"/>
    <w:rsid w:val="00D43EF2"/>
    <w:rsid w:val="00D60861"/>
    <w:rsid w:val="00D77E36"/>
    <w:rsid w:val="00D83F58"/>
    <w:rsid w:val="00D94D24"/>
    <w:rsid w:val="00DA2BE7"/>
    <w:rsid w:val="00DB048B"/>
    <w:rsid w:val="00DB2614"/>
    <w:rsid w:val="00DB3C6C"/>
    <w:rsid w:val="00DC38DE"/>
    <w:rsid w:val="00DC6C0A"/>
    <w:rsid w:val="00DD121E"/>
    <w:rsid w:val="00DD519E"/>
    <w:rsid w:val="00E16B5B"/>
    <w:rsid w:val="00E2055B"/>
    <w:rsid w:val="00E23568"/>
    <w:rsid w:val="00E33388"/>
    <w:rsid w:val="00E34337"/>
    <w:rsid w:val="00E379BB"/>
    <w:rsid w:val="00E45F50"/>
    <w:rsid w:val="00E72B8D"/>
    <w:rsid w:val="00E82BBA"/>
    <w:rsid w:val="00E833FA"/>
    <w:rsid w:val="00E84532"/>
    <w:rsid w:val="00E92880"/>
    <w:rsid w:val="00EF5061"/>
    <w:rsid w:val="00F01BD2"/>
    <w:rsid w:val="00F03F5F"/>
    <w:rsid w:val="00F05072"/>
    <w:rsid w:val="00F16ADA"/>
    <w:rsid w:val="00F306C9"/>
    <w:rsid w:val="00F33938"/>
    <w:rsid w:val="00F33A8F"/>
    <w:rsid w:val="00F4743E"/>
    <w:rsid w:val="00F54AAE"/>
    <w:rsid w:val="00F7079E"/>
    <w:rsid w:val="00F72E82"/>
    <w:rsid w:val="00F81718"/>
    <w:rsid w:val="00F82A1D"/>
    <w:rsid w:val="00F83BF1"/>
    <w:rsid w:val="00F83D96"/>
    <w:rsid w:val="00FA3DAA"/>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han.benedict@srpmic-ns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3.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27C449-E24C-4216-A80F-7100E657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13304</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6</cp:revision>
  <cp:lastPrinted>2019-01-10T23:48:00Z</cp:lastPrinted>
  <dcterms:created xsi:type="dcterms:W3CDTF">2019-01-10T23:27:00Z</dcterms:created>
  <dcterms:modified xsi:type="dcterms:W3CDTF">2019-01-10T23:50:00Z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AdHocReviewCycleID">
    <vt:i4>976287340</vt:i4>
  </property>
  <property fmtid="{D5CDD505-2E9C-101B-9397-08002B2CF9AE}" pid="5" name="_NewReviewCycle">
    <vt:lpwstr/>
  </property>
  <property fmtid="{D5CDD505-2E9C-101B-9397-08002B2CF9AE}" pid="6" name="_EmailSubject">
    <vt:lpwstr>first draft on Rule 20(b) comment</vt:lpwstr>
  </property>
  <property fmtid="{D5CDD505-2E9C-101B-9397-08002B2CF9AE}" pid="7" name="_AuthorEmail">
    <vt:lpwstr>Nathan.Benedict@SRPMIC-nsn.gov</vt:lpwstr>
  </property>
  <property fmtid="{D5CDD505-2E9C-101B-9397-08002B2CF9AE}" pid="8" name="_AuthorEmailDisplayName">
    <vt:lpwstr>Benedict, Nathan</vt:lpwstr>
  </property>
  <property fmtid="{D5CDD505-2E9C-101B-9397-08002B2CF9AE}" pid="9" name="_ReviewingToolsShownOnce">
    <vt:lpwstr/>
  </property>
</Properties>
</file>