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AF9" w:rsidRPr="00996840" w:rsidRDefault="00460681">
      <w:pPr>
        <w:rPr>
          <w:b/>
          <w:sz w:val="28"/>
          <w:szCs w:val="28"/>
        </w:rPr>
      </w:pPr>
      <w:r w:rsidRPr="00996840">
        <w:rPr>
          <w:b/>
          <w:sz w:val="28"/>
          <w:szCs w:val="28"/>
        </w:rPr>
        <w:t>Office of the Legal Defender</w:t>
      </w:r>
    </w:p>
    <w:p w:rsidR="00460681" w:rsidRPr="00996840" w:rsidRDefault="00D5500B">
      <w:pPr>
        <w:rPr>
          <w:sz w:val="28"/>
          <w:szCs w:val="28"/>
        </w:rPr>
      </w:pPr>
      <w:r w:rsidRPr="00996840">
        <w:rPr>
          <w:sz w:val="28"/>
          <w:szCs w:val="28"/>
        </w:rPr>
        <w:fldChar w:fldCharType="begin"/>
      </w:r>
      <w:r w:rsidRPr="00996840">
        <w:rPr>
          <w:sz w:val="28"/>
          <w:szCs w:val="28"/>
        </w:rPr>
        <w:instrText xml:space="preserve"> DOCVARIABLE  Atty  \* MERGEFORMAT </w:instrText>
      </w:r>
      <w:r w:rsidRPr="00996840">
        <w:rPr>
          <w:sz w:val="28"/>
          <w:szCs w:val="28"/>
        </w:rPr>
        <w:fldChar w:fldCharType="separate"/>
      </w:r>
      <w:r w:rsidR="00C77B24" w:rsidRPr="00996840">
        <w:rPr>
          <w:sz w:val="28"/>
          <w:szCs w:val="28"/>
        </w:rPr>
        <w:t>Marty Lieberman</w:t>
      </w:r>
      <w:r w:rsidRPr="00996840">
        <w:rPr>
          <w:sz w:val="28"/>
          <w:szCs w:val="28"/>
        </w:rPr>
        <w:fldChar w:fldCharType="end"/>
      </w:r>
      <w:r w:rsidR="00134675">
        <w:rPr>
          <w:sz w:val="28"/>
          <w:szCs w:val="28"/>
        </w:rPr>
        <w:t>,</w:t>
      </w:r>
      <w:r w:rsidR="00472B42" w:rsidRPr="00996840">
        <w:rPr>
          <w:sz w:val="28"/>
          <w:szCs w:val="28"/>
        </w:rPr>
        <w:t xml:space="preserve"> Bar No. </w:t>
      </w:r>
      <w:r w:rsidRPr="00996840">
        <w:rPr>
          <w:sz w:val="28"/>
          <w:szCs w:val="28"/>
        </w:rPr>
        <w:fldChar w:fldCharType="begin"/>
      </w:r>
      <w:r w:rsidRPr="00996840">
        <w:rPr>
          <w:sz w:val="28"/>
          <w:szCs w:val="28"/>
        </w:rPr>
        <w:instrText xml:space="preserve"> DOCVARIABLE  Bar  \* MERGEFORMAT </w:instrText>
      </w:r>
      <w:r w:rsidRPr="00996840">
        <w:rPr>
          <w:sz w:val="28"/>
          <w:szCs w:val="28"/>
        </w:rPr>
        <w:fldChar w:fldCharType="separate"/>
      </w:r>
      <w:r w:rsidR="00C77B24" w:rsidRPr="00996840">
        <w:rPr>
          <w:sz w:val="28"/>
          <w:szCs w:val="28"/>
        </w:rPr>
        <w:t>007442</w:t>
      </w:r>
      <w:r w:rsidRPr="00996840">
        <w:rPr>
          <w:sz w:val="28"/>
          <w:szCs w:val="28"/>
        </w:rPr>
        <w:fldChar w:fldCharType="end"/>
      </w:r>
    </w:p>
    <w:p w:rsidR="00460681" w:rsidRPr="00996840" w:rsidRDefault="00460681">
      <w:pPr>
        <w:rPr>
          <w:sz w:val="28"/>
          <w:szCs w:val="28"/>
        </w:rPr>
      </w:pPr>
      <w:r w:rsidRPr="00996840">
        <w:rPr>
          <w:sz w:val="28"/>
          <w:szCs w:val="28"/>
        </w:rPr>
        <w:t>222</w:t>
      </w:r>
      <w:r w:rsidR="00F67046" w:rsidRPr="00996840">
        <w:rPr>
          <w:sz w:val="28"/>
          <w:szCs w:val="28"/>
        </w:rPr>
        <w:t xml:space="preserve"> North Central Avenue, Suite 81</w:t>
      </w:r>
      <w:r w:rsidR="002E4D27" w:rsidRPr="00996840">
        <w:rPr>
          <w:sz w:val="28"/>
          <w:szCs w:val="28"/>
        </w:rPr>
        <w:t>00</w:t>
      </w:r>
    </w:p>
    <w:p w:rsidR="00460681" w:rsidRPr="00996840" w:rsidRDefault="00460681">
      <w:pPr>
        <w:rPr>
          <w:sz w:val="28"/>
          <w:szCs w:val="28"/>
        </w:rPr>
      </w:pPr>
      <w:r w:rsidRPr="00996840">
        <w:rPr>
          <w:sz w:val="28"/>
          <w:szCs w:val="28"/>
        </w:rPr>
        <w:t>Phoenix, Arizona 85004</w:t>
      </w:r>
    </w:p>
    <w:p w:rsidR="00460681" w:rsidRPr="00996840" w:rsidRDefault="00E9426C">
      <w:pPr>
        <w:rPr>
          <w:sz w:val="28"/>
          <w:szCs w:val="28"/>
        </w:rPr>
      </w:pPr>
      <w:r w:rsidRPr="00996840">
        <w:rPr>
          <w:sz w:val="28"/>
          <w:szCs w:val="28"/>
        </w:rPr>
        <w:t>Telephone (602) 506-8</w:t>
      </w:r>
      <w:r w:rsidR="00460681" w:rsidRPr="00996840">
        <w:rPr>
          <w:sz w:val="28"/>
          <w:szCs w:val="28"/>
        </w:rPr>
        <w:t>800</w:t>
      </w:r>
    </w:p>
    <w:p w:rsidR="00460681" w:rsidRPr="00996840" w:rsidRDefault="00D01F3E">
      <w:pPr>
        <w:rPr>
          <w:sz w:val="28"/>
          <w:szCs w:val="28"/>
        </w:rPr>
      </w:pPr>
      <w:r w:rsidRPr="00996840">
        <w:rPr>
          <w:sz w:val="28"/>
          <w:szCs w:val="28"/>
        </w:rPr>
        <w:t xml:space="preserve">Facsimile </w:t>
      </w:r>
      <w:r w:rsidR="00E9426C" w:rsidRPr="00996840">
        <w:rPr>
          <w:sz w:val="28"/>
          <w:szCs w:val="28"/>
        </w:rPr>
        <w:t>(602) 506-8862</w:t>
      </w:r>
    </w:p>
    <w:p w:rsidR="005C5D5C" w:rsidRPr="00996840" w:rsidRDefault="006025E1" w:rsidP="005C5D5C">
      <w:pPr>
        <w:rPr>
          <w:sz w:val="28"/>
          <w:szCs w:val="28"/>
        </w:rPr>
      </w:pPr>
      <w:hyperlink r:id="rId8" w:history="1">
        <w:r w:rsidR="00C77B24" w:rsidRPr="00996840">
          <w:rPr>
            <w:rStyle w:val="Hyperlink"/>
            <w:sz w:val="28"/>
            <w:szCs w:val="28"/>
          </w:rPr>
          <w:t>marty.lieberman@old.maricopa.gov</w:t>
        </w:r>
      </w:hyperlink>
    </w:p>
    <w:p w:rsidR="005C5D5C" w:rsidRPr="00996840" w:rsidRDefault="005C5D5C">
      <w:pPr>
        <w:rPr>
          <w:sz w:val="28"/>
          <w:szCs w:val="28"/>
        </w:rPr>
      </w:pPr>
    </w:p>
    <w:p w:rsidR="00D97168" w:rsidRPr="00996840" w:rsidRDefault="00D97168">
      <w:pPr>
        <w:rPr>
          <w:sz w:val="28"/>
          <w:szCs w:val="28"/>
        </w:rPr>
      </w:pPr>
    </w:p>
    <w:p w:rsidR="00460681" w:rsidRPr="00996840" w:rsidRDefault="00C77B24" w:rsidP="00460681">
      <w:pPr>
        <w:jc w:val="center"/>
        <w:rPr>
          <w:sz w:val="28"/>
          <w:szCs w:val="28"/>
        </w:rPr>
      </w:pPr>
      <w:r w:rsidRPr="00996840">
        <w:rPr>
          <w:sz w:val="28"/>
          <w:szCs w:val="28"/>
        </w:rPr>
        <w:t>IN THE SUPREME COURT OF THE STATE OF ARIZONA</w:t>
      </w:r>
    </w:p>
    <w:p w:rsidR="00C77B24" w:rsidRPr="00996840" w:rsidRDefault="00C77B24" w:rsidP="00460681">
      <w:pPr>
        <w:jc w:val="center"/>
        <w:rPr>
          <w:sz w:val="28"/>
          <w:szCs w:val="28"/>
        </w:rPr>
      </w:pPr>
    </w:p>
    <w:p w:rsidR="00460681" w:rsidRPr="00996840" w:rsidRDefault="00460681">
      <w:pPr>
        <w:rPr>
          <w:sz w:val="28"/>
          <w:szCs w:val="28"/>
        </w:rPr>
      </w:pPr>
    </w:p>
    <w:tbl>
      <w:tblPr>
        <w:tblW w:w="0" w:type="auto"/>
        <w:tblLook w:val="01E0" w:firstRow="1" w:lastRow="1" w:firstColumn="1" w:lastColumn="1" w:noHBand="0" w:noVBand="0"/>
      </w:tblPr>
      <w:tblGrid>
        <w:gridCol w:w="4629"/>
        <w:gridCol w:w="4731"/>
      </w:tblGrid>
      <w:tr w:rsidR="00460681" w:rsidRPr="00996840" w:rsidTr="00846293">
        <w:tc>
          <w:tcPr>
            <w:tcW w:w="4788" w:type="dxa"/>
            <w:tcBorders>
              <w:right w:val="single" w:sz="4" w:space="0" w:color="auto"/>
            </w:tcBorders>
          </w:tcPr>
          <w:p w:rsidR="00460681" w:rsidRPr="00996840" w:rsidRDefault="00C77B24" w:rsidP="00C77B24">
            <w:pPr>
              <w:rPr>
                <w:sz w:val="28"/>
                <w:szCs w:val="28"/>
              </w:rPr>
            </w:pPr>
            <w:r w:rsidRPr="00996840">
              <w:rPr>
                <w:sz w:val="28"/>
                <w:szCs w:val="28"/>
              </w:rPr>
              <w:t>PETITION TO AMEND RULE 17.4, ARIZONA RULES OF CRIMINAL PROCEDURE</w:t>
            </w:r>
          </w:p>
          <w:p w:rsidR="00C77B24" w:rsidRPr="00996840" w:rsidRDefault="00C77B24" w:rsidP="00C77B24">
            <w:pPr>
              <w:rPr>
                <w:sz w:val="28"/>
                <w:szCs w:val="28"/>
              </w:rPr>
            </w:pPr>
          </w:p>
          <w:p w:rsidR="00C77B24" w:rsidRPr="00996840" w:rsidRDefault="00C77B24" w:rsidP="00C77B24">
            <w:pPr>
              <w:rPr>
                <w:sz w:val="28"/>
                <w:szCs w:val="28"/>
              </w:rPr>
            </w:pPr>
          </w:p>
        </w:tc>
        <w:tc>
          <w:tcPr>
            <w:tcW w:w="4788" w:type="dxa"/>
            <w:tcBorders>
              <w:left w:val="single" w:sz="4" w:space="0" w:color="auto"/>
            </w:tcBorders>
          </w:tcPr>
          <w:p w:rsidR="00D3127B" w:rsidRDefault="00D3127B" w:rsidP="00846293">
            <w:pPr>
              <w:ind w:left="446" w:hanging="446"/>
              <w:rPr>
                <w:sz w:val="28"/>
                <w:szCs w:val="28"/>
              </w:rPr>
            </w:pPr>
          </w:p>
          <w:p w:rsidR="00460681" w:rsidRPr="00996840" w:rsidRDefault="00C77B24" w:rsidP="00846293">
            <w:pPr>
              <w:ind w:left="446" w:hanging="446"/>
              <w:rPr>
                <w:sz w:val="28"/>
                <w:szCs w:val="28"/>
              </w:rPr>
            </w:pPr>
            <w:r w:rsidRPr="00996840">
              <w:rPr>
                <w:sz w:val="28"/>
                <w:szCs w:val="28"/>
              </w:rPr>
              <w:t>NO. ______________________</w:t>
            </w:r>
          </w:p>
          <w:p w:rsidR="002E4D27" w:rsidRPr="00996840" w:rsidRDefault="002E4D27" w:rsidP="00846293">
            <w:pPr>
              <w:ind w:left="446" w:hanging="446"/>
              <w:rPr>
                <w:sz w:val="28"/>
                <w:szCs w:val="28"/>
              </w:rPr>
            </w:pPr>
          </w:p>
        </w:tc>
      </w:tr>
    </w:tbl>
    <w:p w:rsidR="00F26509" w:rsidRPr="00996840" w:rsidRDefault="00833210" w:rsidP="00812E73">
      <w:pPr>
        <w:spacing w:line="480" w:lineRule="auto"/>
        <w:rPr>
          <w:sz w:val="28"/>
          <w:szCs w:val="28"/>
        </w:rPr>
      </w:pPr>
      <w:r w:rsidRPr="00996840">
        <w:rPr>
          <w:sz w:val="28"/>
          <w:szCs w:val="28"/>
        </w:rPr>
        <w:tab/>
      </w:r>
      <w:bookmarkStart w:id="0" w:name="Here"/>
      <w:bookmarkEnd w:id="0"/>
    </w:p>
    <w:p w:rsidR="00C77B24" w:rsidRPr="00996840" w:rsidRDefault="00C77B24" w:rsidP="00812E73">
      <w:pPr>
        <w:spacing w:line="480" w:lineRule="auto"/>
        <w:rPr>
          <w:sz w:val="28"/>
          <w:szCs w:val="28"/>
        </w:rPr>
      </w:pPr>
      <w:r w:rsidRPr="00996840">
        <w:rPr>
          <w:sz w:val="28"/>
          <w:szCs w:val="28"/>
        </w:rPr>
        <w:tab/>
        <w:t>Comes now the Petition</w:t>
      </w:r>
      <w:r w:rsidR="0036378D" w:rsidRPr="00996840">
        <w:rPr>
          <w:sz w:val="28"/>
          <w:szCs w:val="28"/>
        </w:rPr>
        <w:t>er</w:t>
      </w:r>
      <w:r w:rsidRPr="00996840">
        <w:rPr>
          <w:sz w:val="28"/>
          <w:szCs w:val="28"/>
        </w:rPr>
        <w:t xml:space="preserve"> and hereby moves to amend Rule 17.4, Arizona Rules of Criminal Procedure.  The amendment is sought to facilitate settlement discussions and settlement conferences in capital cases.</w:t>
      </w:r>
    </w:p>
    <w:p w:rsidR="00C77B24" w:rsidRPr="00996840" w:rsidRDefault="00C77B24" w:rsidP="00C77B24">
      <w:pPr>
        <w:numPr>
          <w:ilvl w:val="0"/>
          <w:numId w:val="2"/>
        </w:numPr>
        <w:spacing w:line="480" w:lineRule="auto"/>
        <w:rPr>
          <w:b/>
          <w:sz w:val="28"/>
          <w:szCs w:val="28"/>
        </w:rPr>
      </w:pPr>
      <w:r w:rsidRPr="00996840">
        <w:rPr>
          <w:b/>
          <w:sz w:val="28"/>
          <w:szCs w:val="28"/>
        </w:rPr>
        <w:t>Interest of Petitioner</w:t>
      </w:r>
    </w:p>
    <w:p w:rsidR="0063268D" w:rsidRDefault="00C77B24" w:rsidP="0063268D">
      <w:pPr>
        <w:spacing w:line="480" w:lineRule="auto"/>
        <w:ind w:firstLine="720"/>
        <w:rPr>
          <w:sz w:val="28"/>
          <w:szCs w:val="28"/>
        </w:rPr>
      </w:pPr>
      <w:r w:rsidRPr="00996840">
        <w:rPr>
          <w:sz w:val="28"/>
          <w:szCs w:val="28"/>
        </w:rPr>
        <w:t xml:space="preserve">The Maricopa County Office of the Legal Defender represents, among others, </w:t>
      </w:r>
      <w:r w:rsidR="00D3127B">
        <w:rPr>
          <w:sz w:val="28"/>
          <w:szCs w:val="28"/>
        </w:rPr>
        <w:t>clients</w:t>
      </w:r>
      <w:r w:rsidRPr="00996840">
        <w:rPr>
          <w:sz w:val="28"/>
          <w:szCs w:val="28"/>
        </w:rPr>
        <w:t xml:space="preserve"> the State is seeking to have executed.  At any given time, the Office represents between</w:t>
      </w:r>
      <w:r w:rsidR="00AF6373">
        <w:rPr>
          <w:sz w:val="28"/>
          <w:szCs w:val="28"/>
        </w:rPr>
        <w:t xml:space="preserve"> 12 and 15 individuals potentially</w:t>
      </w:r>
      <w:r w:rsidRPr="00996840">
        <w:rPr>
          <w:sz w:val="28"/>
          <w:szCs w:val="28"/>
        </w:rPr>
        <w:t xml:space="preserve"> subject to the death penalty.  </w:t>
      </w:r>
      <w:r w:rsidR="0063268D">
        <w:rPr>
          <w:sz w:val="28"/>
          <w:szCs w:val="28"/>
        </w:rPr>
        <w:t>The</w:t>
      </w:r>
      <w:r w:rsidRPr="00996840">
        <w:rPr>
          <w:sz w:val="28"/>
          <w:szCs w:val="28"/>
        </w:rPr>
        <w:t xml:space="preserve"> number of c</w:t>
      </w:r>
      <w:r w:rsidR="0063268D">
        <w:rPr>
          <w:sz w:val="28"/>
          <w:szCs w:val="28"/>
        </w:rPr>
        <w:t>apital c</w:t>
      </w:r>
      <w:r w:rsidRPr="00996840">
        <w:rPr>
          <w:sz w:val="28"/>
          <w:szCs w:val="28"/>
        </w:rPr>
        <w:t>ases</w:t>
      </w:r>
      <w:r w:rsidR="00F361AA">
        <w:rPr>
          <w:rStyle w:val="FootnoteReference"/>
          <w:sz w:val="28"/>
          <w:szCs w:val="28"/>
        </w:rPr>
        <w:footnoteReference w:id="1"/>
      </w:r>
      <w:r w:rsidRPr="00996840">
        <w:rPr>
          <w:sz w:val="28"/>
          <w:szCs w:val="28"/>
        </w:rPr>
        <w:t xml:space="preserve"> pale in comparison </w:t>
      </w:r>
      <w:r w:rsidR="005B70BE">
        <w:rPr>
          <w:sz w:val="28"/>
          <w:szCs w:val="28"/>
        </w:rPr>
        <w:t xml:space="preserve">to </w:t>
      </w:r>
      <w:r w:rsidRPr="00996840">
        <w:rPr>
          <w:sz w:val="28"/>
          <w:szCs w:val="28"/>
        </w:rPr>
        <w:t xml:space="preserve">the number of other cases </w:t>
      </w:r>
      <w:r w:rsidRPr="00996840">
        <w:rPr>
          <w:sz w:val="28"/>
          <w:szCs w:val="28"/>
        </w:rPr>
        <w:lastRenderedPageBreak/>
        <w:t>handled by the Office of the Legal Defender</w:t>
      </w:r>
      <w:r w:rsidR="0063268D">
        <w:rPr>
          <w:sz w:val="28"/>
          <w:szCs w:val="28"/>
        </w:rPr>
        <w:t xml:space="preserve">.  </w:t>
      </w:r>
      <w:r w:rsidR="00D3127B">
        <w:rPr>
          <w:sz w:val="28"/>
          <w:szCs w:val="28"/>
        </w:rPr>
        <w:t>In</w:t>
      </w:r>
      <w:r w:rsidR="0063268D">
        <w:rPr>
          <w:sz w:val="28"/>
          <w:szCs w:val="28"/>
        </w:rPr>
        <w:t xml:space="preserve"> FY18</w:t>
      </w:r>
      <w:r w:rsidR="00D3127B">
        <w:rPr>
          <w:sz w:val="28"/>
          <w:szCs w:val="28"/>
        </w:rPr>
        <w:t xml:space="preserve">, </w:t>
      </w:r>
      <w:r w:rsidR="005A5B93" w:rsidRPr="00996840">
        <w:rPr>
          <w:sz w:val="28"/>
          <w:szCs w:val="28"/>
        </w:rPr>
        <w:t>capital</w:t>
      </w:r>
      <w:r w:rsidR="003F417A" w:rsidRPr="00996840">
        <w:rPr>
          <w:sz w:val="28"/>
          <w:szCs w:val="28"/>
        </w:rPr>
        <w:t xml:space="preserve"> cases </w:t>
      </w:r>
      <w:r w:rsidR="00D3127B">
        <w:rPr>
          <w:sz w:val="28"/>
          <w:szCs w:val="28"/>
        </w:rPr>
        <w:t xml:space="preserve">handled by the Office of the Legal Defender </w:t>
      </w:r>
      <w:r w:rsidR="00FA76E1">
        <w:rPr>
          <w:sz w:val="28"/>
          <w:szCs w:val="28"/>
        </w:rPr>
        <w:t xml:space="preserve">comprised </w:t>
      </w:r>
      <w:r w:rsidR="004B14D1" w:rsidRPr="00996840">
        <w:rPr>
          <w:sz w:val="28"/>
          <w:szCs w:val="28"/>
        </w:rPr>
        <w:t>0.</w:t>
      </w:r>
      <w:r w:rsidR="0063268D">
        <w:rPr>
          <w:sz w:val="28"/>
          <w:szCs w:val="28"/>
        </w:rPr>
        <w:t>24</w:t>
      </w:r>
      <w:r w:rsidR="000E09D4">
        <w:rPr>
          <w:sz w:val="28"/>
          <w:szCs w:val="28"/>
        </w:rPr>
        <w:t xml:space="preserve"> % </w:t>
      </w:r>
      <w:r w:rsidR="004B14D1" w:rsidRPr="00996840">
        <w:rPr>
          <w:sz w:val="28"/>
          <w:szCs w:val="28"/>
        </w:rPr>
        <w:t xml:space="preserve">of </w:t>
      </w:r>
      <w:r w:rsidR="00D3127B">
        <w:rPr>
          <w:sz w:val="28"/>
          <w:szCs w:val="28"/>
        </w:rPr>
        <w:t>its</w:t>
      </w:r>
      <w:r w:rsidR="0063268D">
        <w:rPr>
          <w:sz w:val="28"/>
          <w:szCs w:val="28"/>
        </w:rPr>
        <w:t xml:space="preserve"> ann</w:t>
      </w:r>
      <w:r w:rsidR="00ED1F91">
        <w:rPr>
          <w:sz w:val="28"/>
          <w:szCs w:val="28"/>
        </w:rPr>
        <w:t>u</w:t>
      </w:r>
      <w:r w:rsidR="0063268D">
        <w:rPr>
          <w:sz w:val="28"/>
          <w:szCs w:val="28"/>
        </w:rPr>
        <w:t>al felony case filing demand</w:t>
      </w:r>
      <w:r w:rsidR="00ED1F91">
        <w:rPr>
          <w:rStyle w:val="FootnoteReference"/>
          <w:sz w:val="28"/>
          <w:szCs w:val="28"/>
        </w:rPr>
        <w:footnoteReference w:id="2"/>
      </w:r>
      <w:r w:rsidR="00FA76E1">
        <w:rPr>
          <w:sz w:val="28"/>
          <w:szCs w:val="28"/>
        </w:rPr>
        <w:t>, but</w:t>
      </w:r>
      <w:r w:rsidR="003F417A" w:rsidRPr="00996840">
        <w:rPr>
          <w:sz w:val="28"/>
          <w:szCs w:val="28"/>
        </w:rPr>
        <w:t xml:space="preserve"> </w:t>
      </w:r>
      <w:r w:rsidR="0063268D">
        <w:rPr>
          <w:sz w:val="28"/>
          <w:szCs w:val="28"/>
        </w:rPr>
        <w:t>comprised</w:t>
      </w:r>
      <w:r w:rsidR="003F417A" w:rsidRPr="00996840">
        <w:rPr>
          <w:sz w:val="28"/>
          <w:szCs w:val="28"/>
        </w:rPr>
        <w:t xml:space="preserve"> </w:t>
      </w:r>
      <w:r w:rsidR="0063268D">
        <w:rPr>
          <w:sz w:val="28"/>
          <w:szCs w:val="28"/>
        </w:rPr>
        <w:t>48.04% of the annual felony spending.  The comparable share for the entirety of indigent defense in Maricopa County for FY18 is 0.16</w:t>
      </w:r>
      <w:r w:rsidR="00D3127B">
        <w:rPr>
          <w:sz w:val="28"/>
          <w:szCs w:val="28"/>
        </w:rPr>
        <w:t>%</w:t>
      </w:r>
      <w:r w:rsidR="0063268D">
        <w:rPr>
          <w:sz w:val="28"/>
          <w:szCs w:val="28"/>
        </w:rPr>
        <w:t xml:space="preserve"> of felony filing demand, and 32.88% of felony expenses.</w:t>
      </w:r>
      <w:r w:rsidR="00ED1F91">
        <w:rPr>
          <w:rStyle w:val="FootnoteReference"/>
          <w:sz w:val="28"/>
          <w:szCs w:val="28"/>
        </w:rPr>
        <w:footnoteReference w:id="3"/>
      </w:r>
    </w:p>
    <w:p w:rsidR="00982E1A" w:rsidRDefault="004B14D1" w:rsidP="00982E1A">
      <w:pPr>
        <w:pStyle w:val="ListParagraph"/>
        <w:numPr>
          <w:ilvl w:val="0"/>
          <w:numId w:val="2"/>
        </w:numPr>
        <w:spacing w:line="480" w:lineRule="auto"/>
        <w:rPr>
          <w:b/>
          <w:sz w:val="28"/>
          <w:szCs w:val="28"/>
        </w:rPr>
      </w:pPr>
      <w:r w:rsidRPr="00D3127B">
        <w:rPr>
          <w:b/>
          <w:sz w:val="28"/>
          <w:szCs w:val="28"/>
        </w:rPr>
        <w:t>The P</w:t>
      </w:r>
      <w:r w:rsidR="00982E1A">
        <w:rPr>
          <w:b/>
          <w:sz w:val="28"/>
          <w:szCs w:val="28"/>
        </w:rPr>
        <w:t>urpose of the Proposed Amendment</w:t>
      </w:r>
    </w:p>
    <w:p w:rsidR="00982E1A" w:rsidRPr="00982E1A" w:rsidRDefault="00982E1A" w:rsidP="00982E1A">
      <w:pPr>
        <w:spacing w:line="480" w:lineRule="auto"/>
        <w:ind w:firstLine="720"/>
        <w:rPr>
          <w:b/>
          <w:sz w:val="28"/>
          <w:szCs w:val="28"/>
        </w:rPr>
      </w:pPr>
      <w:r w:rsidRPr="00982E1A">
        <w:rPr>
          <w:sz w:val="28"/>
          <w:szCs w:val="28"/>
        </w:rPr>
        <w:t>Prosecutors in Maricopa County</w:t>
      </w:r>
      <w:r w:rsidRPr="00996840">
        <w:rPr>
          <w:rStyle w:val="FootnoteReference"/>
          <w:sz w:val="28"/>
          <w:szCs w:val="28"/>
        </w:rPr>
        <w:footnoteReference w:id="4"/>
      </w:r>
      <w:r w:rsidRPr="00982E1A">
        <w:rPr>
          <w:sz w:val="28"/>
          <w:szCs w:val="28"/>
        </w:rPr>
        <w:t xml:space="preserve"> no longer engage in settlement negotiations in death penalty cases.  Concerned that plea offers will be used against them, a risk arising from a Ninth Circuit opinion, plea bargaining in Maricopa </w:t>
      </w:r>
      <w:r w:rsidRPr="00982E1A">
        <w:rPr>
          <w:sz w:val="28"/>
          <w:szCs w:val="28"/>
        </w:rPr>
        <w:lastRenderedPageBreak/>
        <w:t xml:space="preserve">County capital cases has become extraordinarily difficult and unnecessarily expensive.  A rule change will help ease the situation by removing the jeopardy that occurs when negotiations fail.  No party should be penalized for good-faith efforts to resolve death penalty cases, and this Court, by adding language to Rule 17.4, can address the prosecution’s apprehension and improve the climate in which litigators negotiate capital cases.  </w:t>
      </w:r>
    </w:p>
    <w:p w:rsidR="004B14D1" w:rsidRDefault="00982E1A" w:rsidP="005A5B93">
      <w:pPr>
        <w:spacing w:line="480" w:lineRule="auto"/>
        <w:ind w:firstLine="720"/>
        <w:rPr>
          <w:sz w:val="28"/>
          <w:szCs w:val="28"/>
        </w:rPr>
      </w:pPr>
      <w:r>
        <w:rPr>
          <w:sz w:val="28"/>
          <w:szCs w:val="28"/>
        </w:rPr>
        <w:t>Accordingly, t</w:t>
      </w:r>
      <w:r w:rsidR="004B14D1" w:rsidRPr="00996840">
        <w:rPr>
          <w:sz w:val="28"/>
          <w:szCs w:val="28"/>
        </w:rPr>
        <w:t xml:space="preserve">he proposed amendment is designed to facilitate settlement discussions and settlement conferences.  </w:t>
      </w:r>
      <w:r w:rsidR="00186041">
        <w:rPr>
          <w:sz w:val="28"/>
          <w:szCs w:val="28"/>
        </w:rPr>
        <w:t>T</w:t>
      </w:r>
      <w:r w:rsidR="004B14D1" w:rsidRPr="00996840">
        <w:rPr>
          <w:sz w:val="28"/>
          <w:szCs w:val="28"/>
        </w:rPr>
        <w:t>he</w:t>
      </w:r>
      <w:r w:rsidR="00186041">
        <w:rPr>
          <w:sz w:val="28"/>
          <w:szCs w:val="28"/>
        </w:rPr>
        <w:t xml:space="preserve"> </w:t>
      </w:r>
      <w:r w:rsidR="008302E5">
        <w:rPr>
          <w:sz w:val="28"/>
          <w:szCs w:val="28"/>
        </w:rPr>
        <w:t>prosecution</w:t>
      </w:r>
      <w:r w:rsidR="004B14D1" w:rsidRPr="00996840">
        <w:rPr>
          <w:sz w:val="28"/>
          <w:szCs w:val="28"/>
        </w:rPr>
        <w:t xml:space="preserve"> </w:t>
      </w:r>
      <w:r w:rsidR="00BD0947">
        <w:rPr>
          <w:sz w:val="28"/>
          <w:szCs w:val="28"/>
        </w:rPr>
        <w:t>will not</w:t>
      </w:r>
      <w:r w:rsidR="004B14D1" w:rsidRPr="00996840">
        <w:rPr>
          <w:sz w:val="28"/>
          <w:szCs w:val="28"/>
        </w:rPr>
        <w:t xml:space="preserve"> engage in any substantive dialog aimed at resolving a case based upon </w:t>
      </w:r>
      <w:r w:rsidR="00892C0E" w:rsidRPr="00996840">
        <w:rPr>
          <w:i/>
          <w:sz w:val="28"/>
          <w:szCs w:val="28"/>
        </w:rPr>
        <w:t xml:space="preserve">Scott v. </w:t>
      </w:r>
      <w:proofErr w:type="spellStart"/>
      <w:r w:rsidR="00892C0E" w:rsidRPr="00996840">
        <w:rPr>
          <w:i/>
          <w:sz w:val="28"/>
          <w:szCs w:val="28"/>
        </w:rPr>
        <w:t>Shriro</w:t>
      </w:r>
      <w:proofErr w:type="spellEnd"/>
      <w:r w:rsidR="00892C0E" w:rsidRPr="00996840">
        <w:rPr>
          <w:sz w:val="28"/>
          <w:szCs w:val="28"/>
        </w:rPr>
        <w:t>, 567 F.3d 573 (9</w:t>
      </w:r>
      <w:r w:rsidR="00892C0E" w:rsidRPr="00996840">
        <w:rPr>
          <w:sz w:val="28"/>
          <w:szCs w:val="28"/>
          <w:vertAlign w:val="superscript"/>
        </w:rPr>
        <w:t>th</w:t>
      </w:r>
      <w:r w:rsidR="00892C0E" w:rsidRPr="00996840">
        <w:rPr>
          <w:sz w:val="28"/>
          <w:szCs w:val="28"/>
        </w:rPr>
        <w:t xml:space="preserve"> Cir., 2009)</w:t>
      </w:r>
      <w:r w:rsidR="00186041">
        <w:rPr>
          <w:sz w:val="28"/>
          <w:szCs w:val="28"/>
        </w:rPr>
        <w:t>,</w:t>
      </w:r>
      <w:r w:rsidR="00892C0E" w:rsidRPr="00996840">
        <w:rPr>
          <w:sz w:val="28"/>
          <w:szCs w:val="28"/>
        </w:rPr>
        <w:t xml:space="preserve"> where the Court found </w:t>
      </w:r>
      <w:r w:rsidR="00BD0947">
        <w:rPr>
          <w:sz w:val="28"/>
          <w:szCs w:val="28"/>
        </w:rPr>
        <w:t xml:space="preserve">defense </w:t>
      </w:r>
      <w:r w:rsidR="00892C0E" w:rsidRPr="00996840">
        <w:rPr>
          <w:sz w:val="28"/>
          <w:szCs w:val="28"/>
        </w:rPr>
        <w:t xml:space="preserve">counsel ineffective for, </w:t>
      </w:r>
      <w:r w:rsidR="00892C0E" w:rsidRPr="00996840">
        <w:rPr>
          <w:i/>
          <w:sz w:val="28"/>
          <w:szCs w:val="28"/>
        </w:rPr>
        <w:t>inter alia</w:t>
      </w:r>
      <w:r w:rsidR="00892C0E" w:rsidRPr="00996840">
        <w:rPr>
          <w:sz w:val="28"/>
          <w:szCs w:val="28"/>
        </w:rPr>
        <w:t xml:space="preserve">, failing to introduce evidence of the State’s plea offer at the penalty phase of the trial.   </w:t>
      </w:r>
      <w:r w:rsidR="008302E5">
        <w:rPr>
          <w:sz w:val="28"/>
          <w:szCs w:val="28"/>
        </w:rPr>
        <w:t>It</w:t>
      </w:r>
      <w:r w:rsidR="00892C0E" w:rsidRPr="00996840">
        <w:rPr>
          <w:sz w:val="28"/>
          <w:szCs w:val="28"/>
        </w:rPr>
        <w:t xml:space="preserve"> believes, based on that case, that anything they may say in connection with settlement discussions could then be used against them </w:t>
      </w:r>
      <w:r w:rsidR="0036378D" w:rsidRPr="00996840">
        <w:rPr>
          <w:sz w:val="28"/>
          <w:szCs w:val="28"/>
        </w:rPr>
        <w:t>during the penalty phase of a capital trial</w:t>
      </w:r>
      <w:r w:rsidR="00892C0E" w:rsidRPr="00996840">
        <w:rPr>
          <w:sz w:val="28"/>
          <w:szCs w:val="28"/>
        </w:rPr>
        <w:t>.</w:t>
      </w:r>
    </w:p>
    <w:p w:rsidR="00892C0E" w:rsidRPr="00996840" w:rsidRDefault="008302E5" w:rsidP="008302E5">
      <w:pPr>
        <w:spacing w:line="480" w:lineRule="auto"/>
        <w:ind w:firstLine="720"/>
        <w:rPr>
          <w:sz w:val="28"/>
          <w:szCs w:val="28"/>
        </w:rPr>
      </w:pPr>
      <w:r>
        <w:rPr>
          <w:sz w:val="28"/>
          <w:szCs w:val="28"/>
        </w:rPr>
        <w:t xml:space="preserve">Petitioner suggested a local rule in case this was only a Maricopa County issue, but the State and court seemed unwilling to advance a local rule change.  Hence, </w:t>
      </w:r>
      <w:r w:rsidR="00892C0E" w:rsidRPr="00996840">
        <w:rPr>
          <w:sz w:val="28"/>
          <w:szCs w:val="28"/>
        </w:rPr>
        <w:t>we are asking this Court to amend</w:t>
      </w:r>
      <w:r w:rsidR="00D21410">
        <w:rPr>
          <w:sz w:val="28"/>
          <w:szCs w:val="28"/>
        </w:rPr>
        <w:t xml:space="preserve"> </w:t>
      </w:r>
      <w:r w:rsidR="00892C0E" w:rsidRPr="00996840">
        <w:rPr>
          <w:sz w:val="28"/>
          <w:szCs w:val="28"/>
        </w:rPr>
        <w:t xml:space="preserve">the </w:t>
      </w:r>
      <w:r w:rsidR="00D21410">
        <w:rPr>
          <w:sz w:val="28"/>
          <w:szCs w:val="28"/>
        </w:rPr>
        <w:t xml:space="preserve">Arizona </w:t>
      </w:r>
      <w:r w:rsidR="00892C0E" w:rsidRPr="00996840">
        <w:rPr>
          <w:sz w:val="28"/>
          <w:szCs w:val="28"/>
        </w:rPr>
        <w:t>Rules of Criminal Procedure</w:t>
      </w:r>
      <w:r w:rsidR="00D21410">
        <w:rPr>
          <w:sz w:val="28"/>
          <w:szCs w:val="28"/>
        </w:rPr>
        <w:t xml:space="preserve"> in an effort to resolve</w:t>
      </w:r>
      <w:r w:rsidR="00892C0E" w:rsidRPr="00996840">
        <w:rPr>
          <w:sz w:val="28"/>
          <w:szCs w:val="28"/>
        </w:rPr>
        <w:t xml:space="preserve"> more capital cases </w:t>
      </w:r>
      <w:r w:rsidR="00D21410">
        <w:rPr>
          <w:sz w:val="28"/>
          <w:szCs w:val="28"/>
        </w:rPr>
        <w:t>and resolve them</w:t>
      </w:r>
      <w:r w:rsidR="00892C0E" w:rsidRPr="00996840">
        <w:rPr>
          <w:sz w:val="28"/>
          <w:szCs w:val="28"/>
        </w:rPr>
        <w:t xml:space="preserve"> sooner</w:t>
      </w:r>
      <w:r w:rsidR="00D21410">
        <w:rPr>
          <w:sz w:val="28"/>
          <w:szCs w:val="28"/>
        </w:rPr>
        <w:t xml:space="preserve"> rather than later</w:t>
      </w:r>
      <w:r w:rsidR="00892C0E" w:rsidRPr="00996840">
        <w:rPr>
          <w:sz w:val="28"/>
          <w:szCs w:val="28"/>
        </w:rPr>
        <w:t>.</w:t>
      </w:r>
    </w:p>
    <w:p w:rsidR="00892C0E" w:rsidRDefault="00892C0E" w:rsidP="004B14D1">
      <w:pPr>
        <w:spacing w:line="480" w:lineRule="auto"/>
        <w:rPr>
          <w:sz w:val="28"/>
          <w:szCs w:val="28"/>
        </w:rPr>
      </w:pPr>
      <w:r w:rsidRPr="00996840">
        <w:rPr>
          <w:sz w:val="28"/>
          <w:szCs w:val="28"/>
        </w:rPr>
        <w:tab/>
        <w:t xml:space="preserve">Capital cases can take three to five years, or more, to resolve in the Superior Court.  </w:t>
      </w:r>
      <w:r w:rsidR="009405B7">
        <w:rPr>
          <w:sz w:val="28"/>
          <w:szCs w:val="28"/>
        </w:rPr>
        <w:t>Many</w:t>
      </w:r>
      <w:r w:rsidRPr="00996840">
        <w:rPr>
          <w:sz w:val="28"/>
          <w:szCs w:val="28"/>
        </w:rPr>
        <w:t xml:space="preserve"> cases </w:t>
      </w:r>
      <w:r w:rsidR="009405B7">
        <w:rPr>
          <w:sz w:val="28"/>
          <w:szCs w:val="28"/>
        </w:rPr>
        <w:t>settle wit</w:t>
      </w:r>
      <w:r w:rsidR="005A5B93" w:rsidRPr="00996840">
        <w:rPr>
          <w:sz w:val="28"/>
          <w:szCs w:val="28"/>
        </w:rPr>
        <w:t xml:space="preserve">hout trial </w:t>
      </w:r>
      <w:r w:rsidRPr="00996840">
        <w:rPr>
          <w:sz w:val="28"/>
          <w:szCs w:val="28"/>
        </w:rPr>
        <w:t>after years</w:t>
      </w:r>
      <w:r w:rsidR="005A5B93" w:rsidRPr="00996840">
        <w:rPr>
          <w:sz w:val="28"/>
          <w:szCs w:val="28"/>
        </w:rPr>
        <w:t xml:space="preserve"> of pre-trial preparation</w:t>
      </w:r>
      <w:r w:rsidRPr="00996840">
        <w:rPr>
          <w:sz w:val="28"/>
          <w:szCs w:val="28"/>
        </w:rPr>
        <w:t xml:space="preserve">.  </w:t>
      </w:r>
      <w:r w:rsidR="008302E5">
        <w:rPr>
          <w:sz w:val="28"/>
          <w:szCs w:val="28"/>
        </w:rPr>
        <w:t xml:space="preserve">Prior to </w:t>
      </w:r>
      <w:r w:rsidR="008302E5">
        <w:rPr>
          <w:sz w:val="28"/>
          <w:szCs w:val="28"/>
        </w:rPr>
        <w:lastRenderedPageBreak/>
        <w:t xml:space="preserve">the case resolving, </w:t>
      </w:r>
      <w:r w:rsidRPr="00996840">
        <w:rPr>
          <w:sz w:val="28"/>
          <w:szCs w:val="28"/>
        </w:rPr>
        <w:t>defense counsel expend</w:t>
      </w:r>
      <w:r w:rsidR="008302E5">
        <w:rPr>
          <w:sz w:val="28"/>
          <w:szCs w:val="28"/>
        </w:rPr>
        <w:t xml:space="preserve">s </w:t>
      </w:r>
      <w:r w:rsidRPr="00996840">
        <w:rPr>
          <w:sz w:val="28"/>
          <w:szCs w:val="28"/>
        </w:rPr>
        <w:t>vast resources to properly represent the accused</w:t>
      </w:r>
      <w:r w:rsidR="008302E5">
        <w:rPr>
          <w:sz w:val="28"/>
          <w:szCs w:val="28"/>
        </w:rPr>
        <w:t xml:space="preserve"> and prepare for a trial</w:t>
      </w:r>
      <w:r w:rsidRPr="00996840">
        <w:rPr>
          <w:sz w:val="28"/>
          <w:szCs w:val="28"/>
        </w:rPr>
        <w:t xml:space="preserve">, not knowing </w:t>
      </w:r>
      <w:r w:rsidR="001B5494">
        <w:rPr>
          <w:sz w:val="28"/>
          <w:szCs w:val="28"/>
        </w:rPr>
        <w:t>whether</w:t>
      </w:r>
      <w:r w:rsidRPr="00996840">
        <w:rPr>
          <w:sz w:val="28"/>
          <w:szCs w:val="28"/>
        </w:rPr>
        <w:t xml:space="preserve"> the case will resolve</w:t>
      </w:r>
      <w:r w:rsidR="005A5B93" w:rsidRPr="00996840">
        <w:rPr>
          <w:sz w:val="28"/>
          <w:szCs w:val="28"/>
        </w:rPr>
        <w:t xml:space="preserve"> or even has a chance of resolving</w:t>
      </w:r>
      <w:r w:rsidRPr="00996840">
        <w:rPr>
          <w:sz w:val="28"/>
          <w:szCs w:val="28"/>
        </w:rPr>
        <w:t xml:space="preserve">.  </w:t>
      </w:r>
      <w:r w:rsidR="00ED1F91">
        <w:rPr>
          <w:sz w:val="28"/>
          <w:szCs w:val="28"/>
        </w:rPr>
        <w:t>As of the end of FY18, capital cases</w:t>
      </w:r>
      <w:r w:rsidR="00BD0947">
        <w:rPr>
          <w:sz w:val="28"/>
          <w:szCs w:val="28"/>
        </w:rPr>
        <w:t xml:space="preserve"> in Maricopa County,</w:t>
      </w:r>
      <w:r w:rsidR="00ED1F91">
        <w:rPr>
          <w:sz w:val="28"/>
          <w:szCs w:val="28"/>
        </w:rPr>
        <w:t xml:space="preserve"> with complete expense data available</w:t>
      </w:r>
      <w:r w:rsidR="001B5494">
        <w:rPr>
          <w:sz w:val="28"/>
          <w:szCs w:val="28"/>
        </w:rPr>
        <w:t>,</w:t>
      </w:r>
      <w:r w:rsidR="00ED1F91">
        <w:rPr>
          <w:sz w:val="28"/>
          <w:szCs w:val="28"/>
        </w:rPr>
        <w:t xml:space="preserve"> averaged 4.2 years to resolve by trial and they cost an average of $669,391 in defense </w:t>
      </w:r>
      <w:r w:rsidR="008302E5">
        <w:rPr>
          <w:sz w:val="28"/>
          <w:szCs w:val="28"/>
        </w:rPr>
        <w:t>expense</w:t>
      </w:r>
      <w:r w:rsidR="00ED1F91">
        <w:rPr>
          <w:sz w:val="28"/>
          <w:szCs w:val="28"/>
        </w:rPr>
        <w:t xml:space="preserve">s.  By comparison, noticed capital cases resolved by plea averaged 3.35 years and cost an average of $288,463 in defense </w:t>
      </w:r>
      <w:r w:rsidR="008302E5">
        <w:rPr>
          <w:sz w:val="28"/>
          <w:szCs w:val="28"/>
        </w:rPr>
        <w:t>expenses</w:t>
      </w:r>
      <w:r w:rsidR="00ED1F91">
        <w:rPr>
          <w:sz w:val="28"/>
          <w:szCs w:val="28"/>
        </w:rPr>
        <w:t>.</w:t>
      </w:r>
    </w:p>
    <w:p w:rsidR="00892C0E" w:rsidRPr="00996840" w:rsidRDefault="00ED1F91" w:rsidP="00ED1F91">
      <w:pPr>
        <w:spacing w:line="480" w:lineRule="auto"/>
        <w:rPr>
          <w:sz w:val="28"/>
          <w:szCs w:val="28"/>
        </w:rPr>
      </w:pPr>
      <w:r>
        <w:rPr>
          <w:sz w:val="28"/>
          <w:szCs w:val="28"/>
        </w:rPr>
        <w:tab/>
        <w:t>In Maricopa County, plea offers are always entertained by the</w:t>
      </w:r>
      <w:r w:rsidR="00BD0947">
        <w:rPr>
          <w:sz w:val="28"/>
          <w:szCs w:val="28"/>
        </w:rPr>
        <w:t xml:space="preserve"> prosecution</w:t>
      </w:r>
      <w:r w:rsidR="00D3127B">
        <w:rPr>
          <w:sz w:val="28"/>
          <w:szCs w:val="28"/>
        </w:rPr>
        <w:t xml:space="preserve">, but the </w:t>
      </w:r>
      <w:r>
        <w:rPr>
          <w:sz w:val="28"/>
          <w:szCs w:val="28"/>
        </w:rPr>
        <w:t>office will not make a</w:t>
      </w:r>
      <w:r w:rsidR="00D3127B">
        <w:rPr>
          <w:sz w:val="28"/>
          <w:szCs w:val="28"/>
        </w:rPr>
        <w:t>n</w:t>
      </w:r>
      <w:r>
        <w:rPr>
          <w:sz w:val="28"/>
          <w:szCs w:val="28"/>
        </w:rPr>
        <w:t xml:space="preserve"> offer</w:t>
      </w:r>
      <w:r w:rsidR="00D3127B">
        <w:rPr>
          <w:sz w:val="28"/>
          <w:szCs w:val="28"/>
        </w:rPr>
        <w:t xml:space="preserve">, presumably based upon </w:t>
      </w:r>
      <w:r w:rsidR="00D3127B">
        <w:rPr>
          <w:i/>
          <w:sz w:val="28"/>
          <w:szCs w:val="28"/>
        </w:rPr>
        <w:t xml:space="preserve">Scott v. </w:t>
      </w:r>
      <w:proofErr w:type="spellStart"/>
      <w:r w:rsidR="00D3127B">
        <w:rPr>
          <w:i/>
          <w:sz w:val="28"/>
          <w:szCs w:val="28"/>
        </w:rPr>
        <w:t>Schriro</w:t>
      </w:r>
      <w:proofErr w:type="spellEnd"/>
      <w:r w:rsidR="00D3127B">
        <w:rPr>
          <w:i/>
          <w:sz w:val="28"/>
          <w:szCs w:val="28"/>
        </w:rPr>
        <w:t xml:space="preserve">, supra.  </w:t>
      </w:r>
      <w:r>
        <w:rPr>
          <w:sz w:val="28"/>
          <w:szCs w:val="28"/>
        </w:rPr>
        <w:t>G</w:t>
      </w:r>
      <w:r w:rsidR="00892C0E" w:rsidRPr="00996840">
        <w:rPr>
          <w:sz w:val="28"/>
          <w:szCs w:val="28"/>
        </w:rPr>
        <w:t xml:space="preserve">enerally </w:t>
      </w:r>
      <w:r w:rsidR="0036378D" w:rsidRPr="00996840">
        <w:rPr>
          <w:sz w:val="28"/>
          <w:szCs w:val="28"/>
        </w:rPr>
        <w:t>defense counsel</w:t>
      </w:r>
      <w:r w:rsidR="005A5B93" w:rsidRPr="00996840">
        <w:rPr>
          <w:sz w:val="28"/>
          <w:szCs w:val="28"/>
        </w:rPr>
        <w:t xml:space="preserve"> makes a plea offer</w:t>
      </w:r>
      <w:r w:rsidR="008302E5">
        <w:rPr>
          <w:sz w:val="28"/>
          <w:szCs w:val="28"/>
        </w:rPr>
        <w:t xml:space="preserve"> and </w:t>
      </w:r>
      <w:r w:rsidR="00892C0E" w:rsidRPr="00996840">
        <w:rPr>
          <w:sz w:val="28"/>
          <w:szCs w:val="28"/>
        </w:rPr>
        <w:t xml:space="preserve">a one word </w:t>
      </w:r>
      <w:r w:rsidR="008302E5">
        <w:rPr>
          <w:sz w:val="28"/>
          <w:szCs w:val="28"/>
        </w:rPr>
        <w:t>response is received</w:t>
      </w:r>
      <w:r w:rsidR="00892C0E" w:rsidRPr="00996840">
        <w:rPr>
          <w:sz w:val="28"/>
          <w:szCs w:val="28"/>
        </w:rPr>
        <w:t xml:space="preserve"> – yes or no. </w:t>
      </w:r>
      <w:r w:rsidR="00186041">
        <w:rPr>
          <w:sz w:val="28"/>
          <w:szCs w:val="28"/>
        </w:rPr>
        <w:t xml:space="preserve"> There is no counter-offer. There is no </w:t>
      </w:r>
      <w:r w:rsidR="00982E1A">
        <w:rPr>
          <w:sz w:val="28"/>
          <w:szCs w:val="28"/>
        </w:rPr>
        <w:t xml:space="preserve">continued discussion.  There is, generally, </w:t>
      </w:r>
      <w:r w:rsidR="00186041">
        <w:rPr>
          <w:sz w:val="28"/>
          <w:szCs w:val="28"/>
        </w:rPr>
        <w:t xml:space="preserve">no </w:t>
      </w:r>
      <w:r w:rsidR="005A5B93" w:rsidRPr="00996840">
        <w:rPr>
          <w:sz w:val="28"/>
          <w:szCs w:val="28"/>
        </w:rPr>
        <w:t>give and take.  The</w:t>
      </w:r>
      <w:r w:rsidR="00186041">
        <w:rPr>
          <w:sz w:val="28"/>
          <w:szCs w:val="28"/>
        </w:rPr>
        <w:t xml:space="preserve"> State </w:t>
      </w:r>
      <w:r w:rsidR="00982E1A">
        <w:rPr>
          <w:sz w:val="28"/>
          <w:szCs w:val="28"/>
        </w:rPr>
        <w:t>usually will</w:t>
      </w:r>
      <w:r w:rsidR="00186041">
        <w:rPr>
          <w:sz w:val="28"/>
          <w:szCs w:val="28"/>
        </w:rPr>
        <w:t xml:space="preserve"> not provide any insight into their view of the case, whether a</w:t>
      </w:r>
      <w:r w:rsidR="00EB6737" w:rsidRPr="00996840">
        <w:rPr>
          <w:sz w:val="28"/>
          <w:szCs w:val="28"/>
        </w:rPr>
        <w:t xml:space="preserve"> non-death disposition </w:t>
      </w:r>
      <w:r w:rsidR="00186041">
        <w:rPr>
          <w:sz w:val="28"/>
          <w:szCs w:val="28"/>
        </w:rPr>
        <w:t xml:space="preserve">could be likely, </w:t>
      </w:r>
      <w:r w:rsidR="00EB6737" w:rsidRPr="00996840">
        <w:rPr>
          <w:sz w:val="28"/>
          <w:szCs w:val="28"/>
        </w:rPr>
        <w:t xml:space="preserve">and if so, what kind of resolution might be </w:t>
      </w:r>
      <w:r w:rsidR="008302E5">
        <w:rPr>
          <w:sz w:val="28"/>
          <w:szCs w:val="28"/>
        </w:rPr>
        <w:t xml:space="preserve">acceptable </w:t>
      </w:r>
      <w:r w:rsidR="00EB6737" w:rsidRPr="00996840">
        <w:rPr>
          <w:sz w:val="28"/>
          <w:szCs w:val="28"/>
        </w:rPr>
        <w:t>and/or what additional information they would like to consider before making a decision.  This is, quite frankly, un</w:t>
      </w:r>
      <w:r w:rsidR="00F361AA">
        <w:rPr>
          <w:sz w:val="28"/>
          <w:szCs w:val="28"/>
        </w:rPr>
        <w:t>workable</w:t>
      </w:r>
      <w:r w:rsidR="00EB6737" w:rsidRPr="00996840">
        <w:rPr>
          <w:sz w:val="28"/>
          <w:szCs w:val="28"/>
        </w:rPr>
        <w:t>.</w:t>
      </w:r>
      <w:r w:rsidR="00186041">
        <w:rPr>
          <w:rStyle w:val="FootnoteReference"/>
          <w:sz w:val="28"/>
          <w:szCs w:val="28"/>
        </w:rPr>
        <w:footnoteReference w:id="5"/>
      </w:r>
    </w:p>
    <w:p w:rsidR="00D21410" w:rsidRPr="00996840" w:rsidRDefault="00EB6737" w:rsidP="004B14D1">
      <w:pPr>
        <w:spacing w:line="480" w:lineRule="auto"/>
        <w:rPr>
          <w:sz w:val="28"/>
          <w:szCs w:val="28"/>
        </w:rPr>
      </w:pPr>
      <w:r w:rsidRPr="00996840">
        <w:rPr>
          <w:sz w:val="28"/>
          <w:szCs w:val="28"/>
        </w:rPr>
        <w:lastRenderedPageBreak/>
        <w:tab/>
      </w:r>
      <w:r w:rsidR="00D21410">
        <w:rPr>
          <w:sz w:val="28"/>
          <w:szCs w:val="28"/>
        </w:rPr>
        <w:t xml:space="preserve">To exemplify the magnitude of the problem, </w:t>
      </w:r>
      <w:r w:rsidRPr="00996840">
        <w:rPr>
          <w:sz w:val="28"/>
          <w:szCs w:val="28"/>
        </w:rPr>
        <w:t>in one case, the prosecutor stated that if the defendant want</w:t>
      </w:r>
      <w:r w:rsidR="009405B7">
        <w:rPr>
          <w:sz w:val="28"/>
          <w:szCs w:val="28"/>
        </w:rPr>
        <w:t>ed</w:t>
      </w:r>
      <w:r w:rsidRPr="00996840">
        <w:rPr>
          <w:sz w:val="28"/>
          <w:szCs w:val="28"/>
        </w:rPr>
        <w:t xml:space="preserve"> to make an offer, </w:t>
      </w:r>
      <w:r w:rsidR="00D21410">
        <w:rPr>
          <w:sz w:val="28"/>
          <w:szCs w:val="28"/>
        </w:rPr>
        <w:t>the State</w:t>
      </w:r>
      <w:r w:rsidRPr="00996840">
        <w:rPr>
          <w:sz w:val="28"/>
          <w:szCs w:val="28"/>
        </w:rPr>
        <w:t xml:space="preserve"> w</w:t>
      </w:r>
      <w:r w:rsidR="009405B7">
        <w:rPr>
          <w:sz w:val="28"/>
          <w:szCs w:val="28"/>
        </w:rPr>
        <w:t>ould</w:t>
      </w:r>
      <w:r w:rsidRPr="00996840">
        <w:rPr>
          <w:sz w:val="28"/>
          <w:szCs w:val="28"/>
        </w:rPr>
        <w:t xml:space="preserve"> consider it.  It was</w:t>
      </w:r>
      <w:r w:rsidR="009405B7">
        <w:rPr>
          <w:sz w:val="28"/>
          <w:szCs w:val="28"/>
        </w:rPr>
        <w:t xml:space="preserve"> later</w:t>
      </w:r>
      <w:r w:rsidRPr="00996840">
        <w:rPr>
          <w:sz w:val="28"/>
          <w:szCs w:val="28"/>
        </w:rPr>
        <w:t xml:space="preserve"> learned</w:t>
      </w:r>
      <w:r w:rsidR="00D21410">
        <w:rPr>
          <w:sz w:val="28"/>
          <w:szCs w:val="28"/>
        </w:rPr>
        <w:t>,</w:t>
      </w:r>
      <w:r w:rsidRPr="00996840">
        <w:rPr>
          <w:sz w:val="28"/>
          <w:szCs w:val="28"/>
        </w:rPr>
        <w:t xml:space="preserve"> after all offers were rejected</w:t>
      </w:r>
      <w:r w:rsidR="00D21410">
        <w:rPr>
          <w:sz w:val="28"/>
          <w:szCs w:val="28"/>
        </w:rPr>
        <w:t>,</w:t>
      </w:r>
      <w:r w:rsidRPr="00996840">
        <w:rPr>
          <w:sz w:val="28"/>
          <w:szCs w:val="28"/>
        </w:rPr>
        <w:t xml:space="preserve"> that the State was </w:t>
      </w:r>
      <w:r w:rsidR="00D21410">
        <w:rPr>
          <w:sz w:val="28"/>
          <w:szCs w:val="28"/>
        </w:rPr>
        <w:t xml:space="preserve">never </w:t>
      </w:r>
      <w:r w:rsidRPr="00996840">
        <w:rPr>
          <w:sz w:val="28"/>
          <w:szCs w:val="28"/>
        </w:rPr>
        <w:t xml:space="preserve">willing to </w:t>
      </w:r>
      <w:r w:rsidR="009405B7">
        <w:rPr>
          <w:sz w:val="28"/>
          <w:szCs w:val="28"/>
        </w:rPr>
        <w:t>settle</w:t>
      </w:r>
      <w:r w:rsidRPr="00996840">
        <w:rPr>
          <w:sz w:val="28"/>
          <w:szCs w:val="28"/>
        </w:rPr>
        <w:t xml:space="preserve"> that</w:t>
      </w:r>
      <w:r w:rsidR="00D21410">
        <w:rPr>
          <w:sz w:val="28"/>
          <w:szCs w:val="28"/>
        </w:rPr>
        <w:t xml:space="preserve"> particular</w:t>
      </w:r>
      <w:r w:rsidRPr="00996840">
        <w:rPr>
          <w:sz w:val="28"/>
          <w:szCs w:val="28"/>
        </w:rPr>
        <w:t xml:space="preserve"> case. </w:t>
      </w:r>
      <w:r w:rsidR="00D21410">
        <w:rPr>
          <w:sz w:val="28"/>
          <w:szCs w:val="28"/>
        </w:rPr>
        <w:t xml:space="preserve"> Resources were expended working on a plea proposal along with the justification </w:t>
      </w:r>
      <w:r w:rsidR="00BD0947">
        <w:rPr>
          <w:sz w:val="28"/>
          <w:szCs w:val="28"/>
        </w:rPr>
        <w:t>for a</w:t>
      </w:r>
      <w:r w:rsidR="00D21410">
        <w:rPr>
          <w:sz w:val="28"/>
          <w:szCs w:val="28"/>
        </w:rPr>
        <w:t xml:space="preserve"> plea which could have been better spent preparing the case for trial. </w:t>
      </w:r>
      <w:r w:rsidRPr="00996840">
        <w:rPr>
          <w:sz w:val="28"/>
          <w:szCs w:val="28"/>
        </w:rPr>
        <w:t xml:space="preserve"> In another case, the defense offered to stipulate to a natural life sentence in exchange </w:t>
      </w:r>
      <w:r w:rsidR="001B5494">
        <w:rPr>
          <w:sz w:val="28"/>
          <w:szCs w:val="28"/>
        </w:rPr>
        <w:t>for</w:t>
      </w:r>
      <w:r w:rsidRPr="00996840">
        <w:rPr>
          <w:sz w:val="28"/>
          <w:szCs w:val="28"/>
        </w:rPr>
        <w:t xml:space="preserve"> withdrawing the Notice of Intent to Seek the Death Penalty.  </w:t>
      </w:r>
      <w:r w:rsidR="009405B7">
        <w:rPr>
          <w:sz w:val="28"/>
          <w:szCs w:val="28"/>
        </w:rPr>
        <w:t>After rejecting the offer, the State expressed a willingness to consider another offer.</w:t>
      </w:r>
      <w:r w:rsidRPr="00996840">
        <w:rPr>
          <w:sz w:val="28"/>
          <w:szCs w:val="28"/>
        </w:rPr>
        <w:t xml:space="preserve">  </w:t>
      </w:r>
      <w:r w:rsidR="00F361AA">
        <w:rPr>
          <w:sz w:val="28"/>
          <w:szCs w:val="28"/>
        </w:rPr>
        <w:t>T</w:t>
      </w:r>
      <w:r w:rsidRPr="00996840">
        <w:rPr>
          <w:sz w:val="28"/>
          <w:szCs w:val="28"/>
        </w:rPr>
        <w:t>his syste</w:t>
      </w:r>
      <w:r w:rsidR="00F361AA">
        <w:rPr>
          <w:sz w:val="28"/>
          <w:szCs w:val="28"/>
        </w:rPr>
        <w:t>m of non-negotiation is untenable</w:t>
      </w:r>
      <w:r w:rsidRPr="00996840">
        <w:rPr>
          <w:sz w:val="28"/>
          <w:szCs w:val="28"/>
        </w:rPr>
        <w:t>.</w:t>
      </w:r>
    </w:p>
    <w:p w:rsidR="00EB6737" w:rsidRPr="00D3127B" w:rsidRDefault="00EB6737" w:rsidP="00D3127B">
      <w:pPr>
        <w:pStyle w:val="ListParagraph"/>
        <w:numPr>
          <w:ilvl w:val="0"/>
          <w:numId w:val="2"/>
        </w:numPr>
        <w:spacing w:line="480" w:lineRule="auto"/>
        <w:rPr>
          <w:b/>
          <w:sz w:val="28"/>
          <w:szCs w:val="28"/>
        </w:rPr>
      </w:pPr>
      <w:r w:rsidRPr="00D3127B">
        <w:rPr>
          <w:b/>
          <w:sz w:val="28"/>
          <w:szCs w:val="28"/>
        </w:rPr>
        <w:t>The Proposed Amendment</w:t>
      </w:r>
    </w:p>
    <w:p w:rsidR="00EB6737" w:rsidRDefault="00EB6737" w:rsidP="00EB6737">
      <w:pPr>
        <w:spacing w:line="480" w:lineRule="auto"/>
        <w:ind w:firstLine="720"/>
        <w:rPr>
          <w:sz w:val="28"/>
          <w:szCs w:val="28"/>
        </w:rPr>
      </w:pPr>
      <w:r w:rsidRPr="00996840">
        <w:rPr>
          <w:sz w:val="28"/>
          <w:szCs w:val="28"/>
        </w:rPr>
        <w:t xml:space="preserve">The proposed amendment seeks to facilitate settlement discussions as well as settlement conferences.  The proposal would vest the Superior Court with discretion to issue its Order providing the protections the State needs from </w:t>
      </w:r>
      <w:r w:rsidRPr="00996840">
        <w:rPr>
          <w:i/>
          <w:sz w:val="28"/>
          <w:szCs w:val="28"/>
        </w:rPr>
        <w:t>Scott</w:t>
      </w:r>
      <w:r w:rsidRPr="00996840">
        <w:rPr>
          <w:sz w:val="28"/>
          <w:szCs w:val="28"/>
        </w:rPr>
        <w:t xml:space="preserve">, </w:t>
      </w:r>
      <w:proofErr w:type="gramStart"/>
      <w:r w:rsidRPr="00996840">
        <w:rPr>
          <w:i/>
          <w:sz w:val="28"/>
          <w:szCs w:val="28"/>
        </w:rPr>
        <w:t>supra</w:t>
      </w:r>
      <w:r w:rsidRPr="00996840">
        <w:rPr>
          <w:sz w:val="28"/>
          <w:szCs w:val="28"/>
        </w:rPr>
        <w:t>.</w:t>
      </w:r>
      <w:r w:rsidR="005A5B93" w:rsidRPr="00996840">
        <w:rPr>
          <w:sz w:val="28"/>
          <w:szCs w:val="28"/>
        </w:rPr>
        <w:t>,</w:t>
      </w:r>
      <w:proofErr w:type="gramEnd"/>
      <w:r w:rsidRPr="00996840">
        <w:rPr>
          <w:sz w:val="28"/>
          <w:szCs w:val="28"/>
        </w:rPr>
        <w:t xml:space="preserve"> </w:t>
      </w:r>
      <w:r w:rsidR="008302E5">
        <w:rPr>
          <w:sz w:val="28"/>
          <w:szCs w:val="28"/>
        </w:rPr>
        <w:t>by</w:t>
      </w:r>
      <w:r w:rsidRPr="00996840">
        <w:rPr>
          <w:sz w:val="28"/>
          <w:szCs w:val="28"/>
        </w:rPr>
        <w:t xml:space="preserve"> specifically provid</w:t>
      </w:r>
      <w:r w:rsidR="008302E5">
        <w:rPr>
          <w:sz w:val="28"/>
          <w:szCs w:val="28"/>
        </w:rPr>
        <w:t>ing</w:t>
      </w:r>
      <w:r w:rsidRPr="00996840">
        <w:rPr>
          <w:sz w:val="28"/>
          <w:szCs w:val="28"/>
        </w:rPr>
        <w:t xml:space="preserve"> that no statements made in connection with settlement discussions and settlement conferences are admissible at any phase of the trial.  Further the Order makes clear that any information disclosed during the discussions or conference are confidential.</w:t>
      </w:r>
    </w:p>
    <w:p w:rsidR="008302E5" w:rsidRDefault="008302E5" w:rsidP="00EB6737">
      <w:pPr>
        <w:spacing w:line="480" w:lineRule="auto"/>
        <w:ind w:firstLine="720"/>
        <w:rPr>
          <w:sz w:val="28"/>
          <w:szCs w:val="28"/>
        </w:rPr>
      </w:pPr>
    </w:p>
    <w:p w:rsidR="008302E5" w:rsidRDefault="008302E5" w:rsidP="00EB6737">
      <w:pPr>
        <w:spacing w:line="480" w:lineRule="auto"/>
        <w:ind w:firstLine="720"/>
        <w:rPr>
          <w:sz w:val="28"/>
          <w:szCs w:val="28"/>
        </w:rPr>
      </w:pPr>
    </w:p>
    <w:p w:rsidR="008302E5" w:rsidRPr="00996840" w:rsidRDefault="008302E5" w:rsidP="00EB6737">
      <w:pPr>
        <w:spacing w:line="480" w:lineRule="auto"/>
        <w:ind w:firstLine="720"/>
        <w:rPr>
          <w:sz w:val="28"/>
          <w:szCs w:val="28"/>
        </w:rPr>
      </w:pPr>
    </w:p>
    <w:p w:rsidR="00EB6737" w:rsidRPr="00996840" w:rsidRDefault="00EB6737" w:rsidP="00EB6737">
      <w:pPr>
        <w:numPr>
          <w:ilvl w:val="0"/>
          <w:numId w:val="2"/>
        </w:numPr>
        <w:spacing w:line="480" w:lineRule="auto"/>
        <w:rPr>
          <w:b/>
          <w:sz w:val="28"/>
          <w:szCs w:val="28"/>
        </w:rPr>
      </w:pPr>
      <w:r w:rsidRPr="00996840">
        <w:rPr>
          <w:b/>
          <w:sz w:val="28"/>
          <w:szCs w:val="28"/>
        </w:rPr>
        <w:lastRenderedPageBreak/>
        <w:t>Conclusion</w:t>
      </w:r>
    </w:p>
    <w:p w:rsidR="00D21410" w:rsidRDefault="00EB6737" w:rsidP="00D21410">
      <w:pPr>
        <w:spacing w:line="480" w:lineRule="auto"/>
        <w:ind w:firstLine="720"/>
        <w:rPr>
          <w:sz w:val="28"/>
          <w:szCs w:val="28"/>
        </w:rPr>
      </w:pPr>
      <w:r w:rsidRPr="00996840">
        <w:rPr>
          <w:sz w:val="28"/>
          <w:szCs w:val="28"/>
        </w:rPr>
        <w:t>This proposal should lead to more cases being resolved and sooner.  Business is better conducted when parties communicate.</w:t>
      </w:r>
      <w:r w:rsidR="0036378D" w:rsidRPr="00996840">
        <w:rPr>
          <w:rStyle w:val="FootnoteReference"/>
          <w:sz w:val="28"/>
          <w:szCs w:val="28"/>
        </w:rPr>
        <w:footnoteReference w:id="6"/>
      </w:r>
      <w:r w:rsidR="00D21410">
        <w:rPr>
          <w:sz w:val="28"/>
          <w:szCs w:val="28"/>
        </w:rPr>
        <w:t xml:space="preserve">  That is</w:t>
      </w:r>
      <w:r w:rsidRPr="00996840">
        <w:rPr>
          <w:sz w:val="28"/>
          <w:szCs w:val="28"/>
        </w:rPr>
        <w:t xml:space="preserve"> generally not happening in the context of capital cases in Maricopa County.  There may be ways to resolve a case but because the parties do</w:t>
      </w:r>
      <w:r w:rsidR="008302E5">
        <w:rPr>
          <w:sz w:val="28"/>
          <w:szCs w:val="28"/>
        </w:rPr>
        <w:t xml:space="preserve"> </w:t>
      </w:r>
      <w:r w:rsidRPr="00996840">
        <w:rPr>
          <w:sz w:val="28"/>
          <w:szCs w:val="28"/>
        </w:rPr>
        <w:t>n</w:t>
      </w:r>
      <w:r w:rsidR="008302E5">
        <w:rPr>
          <w:sz w:val="28"/>
          <w:szCs w:val="28"/>
        </w:rPr>
        <w:t>o</w:t>
      </w:r>
      <w:r w:rsidRPr="00996840">
        <w:rPr>
          <w:sz w:val="28"/>
          <w:szCs w:val="28"/>
        </w:rPr>
        <w:t>t communicate, one side or the other is unaware that the case could be resolved.  The proposed amendment should facilitate that communication.</w:t>
      </w:r>
    </w:p>
    <w:p w:rsidR="00F26509" w:rsidRPr="00996840" w:rsidRDefault="00F26509" w:rsidP="00F32FC9">
      <w:pPr>
        <w:rPr>
          <w:sz w:val="28"/>
          <w:szCs w:val="28"/>
        </w:rPr>
      </w:pPr>
      <w:r w:rsidRPr="00996840">
        <w:rPr>
          <w:sz w:val="28"/>
          <w:szCs w:val="28"/>
        </w:rPr>
        <w:tab/>
        <w:t>Dated this</w:t>
      </w:r>
      <w:r w:rsidR="000D679D">
        <w:rPr>
          <w:sz w:val="28"/>
          <w:szCs w:val="28"/>
        </w:rPr>
        <w:t xml:space="preserve"> </w:t>
      </w:r>
      <w:r w:rsidR="000D679D">
        <w:rPr>
          <w:sz w:val="28"/>
          <w:szCs w:val="28"/>
          <w:u w:val="single"/>
        </w:rPr>
        <w:t>28</w:t>
      </w:r>
      <w:r w:rsidR="000D679D" w:rsidRPr="000D679D">
        <w:rPr>
          <w:sz w:val="28"/>
          <w:szCs w:val="28"/>
          <w:u w:val="single"/>
          <w:vertAlign w:val="superscript"/>
        </w:rPr>
        <w:t>th</w:t>
      </w:r>
      <w:r w:rsidR="000D679D">
        <w:rPr>
          <w:sz w:val="28"/>
          <w:szCs w:val="28"/>
          <w:u w:val="single"/>
        </w:rPr>
        <w:t xml:space="preserve"> </w:t>
      </w:r>
      <w:r w:rsidRPr="00996840">
        <w:rPr>
          <w:sz w:val="28"/>
          <w:szCs w:val="28"/>
        </w:rPr>
        <w:t xml:space="preserve"> </w:t>
      </w:r>
      <w:r w:rsidR="00D5500B" w:rsidRPr="00996840">
        <w:rPr>
          <w:sz w:val="28"/>
          <w:szCs w:val="28"/>
        </w:rPr>
        <w:fldChar w:fldCharType="begin"/>
      </w:r>
      <w:r w:rsidR="00D5500B" w:rsidRPr="00996840">
        <w:rPr>
          <w:sz w:val="28"/>
          <w:szCs w:val="28"/>
        </w:rPr>
        <w:instrText xml:space="preserve"> DOCVARIABLE  FileDay  \* MERGEFORMAT </w:instrText>
      </w:r>
      <w:r w:rsidR="00D5500B" w:rsidRPr="00996840">
        <w:rPr>
          <w:sz w:val="28"/>
          <w:szCs w:val="28"/>
        </w:rPr>
        <w:fldChar w:fldCharType="separate"/>
      </w:r>
      <w:r w:rsidR="00C77B24" w:rsidRPr="00996840">
        <w:rPr>
          <w:sz w:val="28"/>
          <w:szCs w:val="28"/>
        </w:rPr>
        <w:t xml:space="preserve"> </w:t>
      </w:r>
      <w:r w:rsidR="00D5500B" w:rsidRPr="00996840">
        <w:rPr>
          <w:sz w:val="28"/>
          <w:szCs w:val="28"/>
        </w:rPr>
        <w:fldChar w:fldCharType="end"/>
      </w:r>
      <w:r w:rsidRPr="00996840">
        <w:rPr>
          <w:sz w:val="28"/>
          <w:szCs w:val="28"/>
        </w:rPr>
        <w:t xml:space="preserve">day of </w:t>
      </w:r>
      <w:r w:rsidR="000D679D">
        <w:rPr>
          <w:sz w:val="28"/>
          <w:szCs w:val="28"/>
          <w:u w:val="single"/>
        </w:rPr>
        <w:t>November</w:t>
      </w:r>
      <w:r w:rsidR="00D21410">
        <w:rPr>
          <w:sz w:val="28"/>
          <w:szCs w:val="28"/>
        </w:rPr>
        <w:t>, 2018</w:t>
      </w:r>
      <w:r w:rsidR="00D5500B" w:rsidRPr="00996840">
        <w:rPr>
          <w:sz w:val="28"/>
          <w:szCs w:val="28"/>
        </w:rPr>
        <w:fldChar w:fldCharType="begin"/>
      </w:r>
      <w:r w:rsidR="00D5500B" w:rsidRPr="00996840">
        <w:rPr>
          <w:sz w:val="28"/>
          <w:szCs w:val="28"/>
        </w:rPr>
        <w:instrText xml:space="preserve"> DOCVARIABLE  FileDate  \* MERGEFORMAT </w:instrText>
      </w:r>
      <w:r w:rsidR="00D5500B" w:rsidRPr="00996840">
        <w:rPr>
          <w:sz w:val="28"/>
          <w:szCs w:val="28"/>
        </w:rPr>
        <w:fldChar w:fldCharType="separate"/>
      </w:r>
      <w:r w:rsidR="00C77B24" w:rsidRPr="00996840">
        <w:rPr>
          <w:sz w:val="28"/>
          <w:szCs w:val="28"/>
        </w:rPr>
        <w:t xml:space="preserve"> </w:t>
      </w:r>
      <w:r w:rsidR="00D5500B" w:rsidRPr="00996840">
        <w:rPr>
          <w:sz w:val="28"/>
          <w:szCs w:val="28"/>
        </w:rPr>
        <w:fldChar w:fldCharType="end"/>
      </w:r>
      <w:r w:rsidR="00AC2577" w:rsidRPr="00996840">
        <w:rPr>
          <w:sz w:val="28"/>
          <w:szCs w:val="28"/>
        </w:rPr>
        <w:t>.</w:t>
      </w:r>
    </w:p>
    <w:p w:rsidR="00F26509" w:rsidRPr="00996840" w:rsidRDefault="00F26509" w:rsidP="00195DD7">
      <w:pPr>
        <w:tabs>
          <w:tab w:val="left" w:pos="3553"/>
        </w:tabs>
        <w:rPr>
          <w:sz w:val="28"/>
          <w:szCs w:val="28"/>
        </w:rPr>
      </w:pPr>
    </w:p>
    <w:p w:rsidR="00F26509" w:rsidRPr="00996840" w:rsidRDefault="00F26509" w:rsidP="00195DD7">
      <w:pPr>
        <w:tabs>
          <w:tab w:val="left" w:pos="3553"/>
        </w:tabs>
        <w:rPr>
          <w:sz w:val="28"/>
          <w:szCs w:val="28"/>
        </w:rPr>
      </w:pPr>
      <w:r w:rsidRPr="00996840">
        <w:rPr>
          <w:sz w:val="28"/>
          <w:szCs w:val="28"/>
        </w:rPr>
        <w:tab/>
      </w:r>
      <w:r w:rsidR="006300DA" w:rsidRPr="00996840">
        <w:rPr>
          <w:sz w:val="28"/>
          <w:szCs w:val="28"/>
        </w:rPr>
        <w:t>MARTY LIEBERMAN</w:t>
      </w:r>
    </w:p>
    <w:p w:rsidR="00F26509" w:rsidRDefault="009E0DE6" w:rsidP="00195DD7">
      <w:pPr>
        <w:tabs>
          <w:tab w:val="left" w:pos="3553"/>
        </w:tabs>
        <w:rPr>
          <w:sz w:val="28"/>
          <w:szCs w:val="28"/>
        </w:rPr>
      </w:pPr>
      <w:r w:rsidRPr="00996840">
        <w:rPr>
          <w:sz w:val="28"/>
          <w:szCs w:val="28"/>
        </w:rPr>
        <w:tab/>
        <w:t>Office of t</w:t>
      </w:r>
      <w:r w:rsidR="00F26509" w:rsidRPr="00996840">
        <w:rPr>
          <w:sz w:val="28"/>
          <w:szCs w:val="28"/>
        </w:rPr>
        <w:t>he Legal Defender</w:t>
      </w:r>
    </w:p>
    <w:p w:rsidR="00982E1A" w:rsidRDefault="00982E1A" w:rsidP="00195DD7">
      <w:pPr>
        <w:tabs>
          <w:tab w:val="left" w:pos="3553"/>
        </w:tabs>
        <w:rPr>
          <w:sz w:val="28"/>
          <w:szCs w:val="28"/>
        </w:rPr>
      </w:pPr>
    </w:p>
    <w:p w:rsidR="00982E1A" w:rsidRPr="00996840" w:rsidRDefault="00982E1A" w:rsidP="00195DD7">
      <w:pPr>
        <w:tabs>
          <w:tab w:val="left" w:pos="3553"/>
        </w:tabs>
        <w:rPr>
          <w:sz w:val="28"/>
          <w:szCs w:val="28"/>
        </w:rPr>
      </w:pPr>
    </w:p>
    <w:p w:rsidR="00F26509" w:rsidRPr="00996840" w:rsidRDefault="00F26509" w:rsidP="00195DD7">
      <w:pPr>
        <w:tabs>
          <w:tab w:val="left" w:pos="3553"/>
        </w:tabs>
        <w:rPr>
          <w:sz w:val="28"/>
          <w:szCs w:val="28"/>
        </w:rPr>
      </w:pPr>
    </w:p>
    <w:p w:rsidR="00F26509" w:rsidRPr="00996840" w:rsidRDefault="00F26509" w:rsidP="00195DD7">
      <w:pPr>
        <w:tabs>
          <w:tab w:val="left" w:pos="3553"/>
          <w:tab w:val="left" w:pos="3927"/>
        </w:tabs>
        <w:rPr>
          <w:sz w:val="28"/>
          <w:szCs w:val="28"/>
        </w:rPr>
      </w:pPr>
      <w:r w:rsidRPr="00996840">
        <w:rPr>
          <w:sz w:val="28"/>
          <w:szCs w:val="28"/>
        </w:rPr>
        <w:tab/>
        <w:t xml:space="preserve">By </w:t>
      </w:r>
      <w:r w:rsidR="000D679D">
        <w:rPr>
          <w:sz w:val="28"/>
          <w:szCs w:val="28"/>
        </w:rPr>
        <w:t xml:space="preserve">    /s/</w:t>
      </w:r>
    </w:p>
    <w:p w:rsidR="00F26509" w:rsidRPr="00996840" w:rsidRDefault="00DE0AE4" w:rsidP="00294152">
      <w:pPr>
        <w:tabs>
          <w:tab w:val="left" w:pos="3927"/>
        </w:tabs>
        <w:rPr>
          <w:sz w:val="28"/>
          <w:szCs w:val="28"/>
        </w:rPr>
      </w:pPr>
      <w:r w:rsidRPr="00996840">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2493645</wp:posOffset>
                </wp:positionH>
                <wp:positionV relativeFrom="paragraph">
                  <wp:posOffset>24130</wp:posOffset>
                </wp:positionV>
                <wp:extent cx="308737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A702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1.9pt" to="43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IzEw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j0JnOuBwCSrWzoTZ6Vq9mq+l3h5QuG6IOPDJ8uxhIy0JG8i4lbJwB/H33RTOIIUevY5vO&#10;tW0DJDQAnaMal7sa/OwRhcNxOn8aP4FotPclJO8TjXX+M9ctCkaBJXCOwOS0dT4QIXkfEu5ReiOk&#10;jGJLhboCL6ajaUxwWgoWnCHM2cO+lBadSBiX+MWqwPMYZvVRsQjWcMLWN9sTIa82XC5VwINSgM7N&#10;us7Dj0W6WM/X88lgMpqtB5O0qgafNuVkMNtkT9NqXJVllf0M1LJJ3gjGuArs+tnMJn+n/e2VXKfq&#10;Pp33NiTv0WO/gGz/j6SjlkG+6yDsNbvsbK8xjGMMvj2dMO+Pe7AfH/jqFwAAAP//AwBQSwMEFAAG&#10;AAgAAAAhAAlZA9zbAAAABwEAAA8AAABkcnMvZG93bnJldi54bWxMj8FOwzAQRO9I/IO1SFwq6pBK&#10;NA1xKgTkxoUC4rqNlyQiXqex2wa+nqUXuO1oRrNvivXkenWgMXSeDVzPE1DEtbcdNwZeX6qrDFSI&#10;yBZ7z2TgiwKsy/OzAnPrj/xMh01slJRwyNFAG+OQax3qlhyGuR+Ixfvwo8Mocmy0HfEo5a7XaZLc&#10;aIcdy4cWB7pvqf7c7J2BUL3Rrvqe1bPkfdF4SncPT49ozOXFdHcLKtIU/8Lwiy/oUArT1u/ZBtUb&#10;WKzSpUTlkAXiZ8tsBWp70ros9H/+8gcAAP//AwBQSwECLQAUAAYACAAAACEAtoM4kv4AAADhAQAA&#10;EwAAAAAAAAAAAAAAAAAAAAAAW0NvbnRlbnRfVHlwZXNdLnhtbFBLAQItABQABgAIAAAAIQA4/SH/&#10;1gAAAJQBAAALAAAAAAAAAAAAAAAAAC8BAABfcmVscy8ucmVsc1BLAQItABQABgAIAAAAIQBrKcIz&#10;EwIAACgEAAAOAAAAAAAAAAAAAAAAAC4CAABkcnMvZTJvRG9jLnhtbFBLAQItABQABgAIAAAAIQAJ&#10;WQPc2wAAAAcBAAAPAAAAAAAAAAAAAAAAAG0EAABkcnMvZG93bnJldi54bWxQSwUGAAAAAAQABADz&#10;AAAAdQUAAAAA&#10;"/>
            </w:pict>
          </mc:Fallback>
        </mc:AlternateContent>
      </w:r>
      <w:r w:rsidR="00C3561D" w:rsidRPr="00996840">
        <w:rPr>
          <w:sz w:val="28"/>
          <w:szCs w:val="28"/>
        </w:rPr>
        <w:tab/>
      </w:r>
      <w:r w:rsidR="00D5500B" w:rsidRPr="00996840">
        <w:rPr>
          <w:sz w:val="28"/>
          <w:szCs w:val="28"/>
        </w:rPr>
        <w:fldChar w:fldCharType="begin"/>
      </w:r>
      <w:r w:rsidR="00D5500B" w:rsidRPr="00996840">
        <w:rPr>
          <w:sz w:val="28"/>
          <w:szCs w:val="28"/>
        </w:rPr>
        <w:instrText xml:space="preserve"> DOCVARIABLE  Atty  \* MERGEFORMAT </w:instrText>
      </w:r>
      <w:r w:rsidR="00D5500B" w:rsidRPr="00996840">
        <w:rPr>
          <w:sz w:val="28"/>
          <w:szCs w:val="28"/>
        </w:rPr>
        <w:fldChar w:fldCharType="separate"/>
      </w:r>
      <w:r w:rsidR="00C77B24" w:rsidRPr="00996840">
        <w:rPr>
          <w:sz w:val="28"/>
          <w:szCs w:val="28"/>
        </w:rPr>
        <w:t>Marty Lieberman</w:t>
      </w:r>
      <w:r w:rsidR="00D5500B" w:rsidRPr="00996840">
        <w:rPr>
          <w:sz w:val="28"/>
          <w:szCs w:val="28"/>
        </w:rPr>
        <w:fldChar w:fldCharType="end"/>
      </w:r>
    </w:p>
    <w:p w:rsidR="00C3561D" w:rsidRPr="00996840" w:rsidRDefault="00294152" w:rsidP="00294152">
      <w:pPr>
        <w:tabs>
          <w:tab w:val="left" w:pos="3927"/>
        </w:tabs>
        <w:rPr>
          <w:sz w:val="28"/>
          <w:szCs w:val="28"/>
        </w:rPr>
      </w:pPr>
      <w:r w:rsidRPr="00996840">
        <w:rPr>
          <w:sz w:val="28"/>
          <w:szCs w:val="28"/>
        </w:rPr>
        <w:tab/>
      </w:r>
      <w:r w:rsidR="00F508D9" w:rsidRPr="00996840">
        <w:rPr>
          <w:sz w:val="28"/>
          <w:szCs w:val="28"/>
        </w:rPr>
        <w:t>Legal Defender</w:t>
      </w:r>
    </w:p>
    <w:p w:rsidR="00D21410" w:rsidRDefault="00D21410" w:rsidP="00C3561D">
      <w:pPr>
        <w:tabs>
          <w:tab w:val="left" w:pos="4301"/>
        </w:tabs>
        <w:rPr>
          <w:sz w:val="28"/>
          <w:szCs w:val="28"/>
        </w:rPr>
      </w:pPr>
    </w:p>
    <w:p w:rsidR="00C3561D" w:rsidRPr="00996840" w:rsidRDefault="00C3561D" w:rsidP="00C3561D">
      <w:pPr>
        <w:tabs>
          <w:tab w:val="left" w:pos="4301"/>
        </w:tabs>
        <w:rPr>
          <w:sz w:val="28"/>
          <w:szCs w:val="28"/>
        </w:rPr>
      </w:pPr>
      <w:r w:rsidRPr="00996840">
        <w:rPr>
          <w:sz w:val="28"/>
          <w:szCs w:val="28"/>
        </w:rPr>
        <w:t xml:space="preserve">Original of the foregoing </w:t>
      </w:r>
    </w:p>
    <w:proofErr w:type="gramStart"/>
    <w:p w:rsidR="00C3561D" w:rsidRDefault="00D5500B" w:rsidP="00C3561D">
      <w:pPr>
        <w:tabs>
          <w:tab w:val="left" w:pos="4301"/>
        </w:tabs>
        <w:rPr>
          <w:sz w:val="28"/>
          <w:szCs w:val="28"/>
        </w:rPr>
      </w:pPr>
      <w:r w:rsidRPr="00996840">
        <w:rPr>
          <w:sz w:val="28"/>
          <w:szCs w:val="28"/>
        </w:rPr>
        <w:fldChar w:fldCharType="begin"/>
      </w:r>
      <w:r w:rsidRPr="00996840">
        <w:rPr>
          <w:sz w:val="28"/>
          <w:szCs w:val="28"/>
        </w:rPr>
        <w:instrText xml:space="preserve"> DOCVARIABLE  Mailing  \* MERGEFORMAT </w:instrText>
      </w:r>
      <w:r w:rsidRPr="00996840">
        <w:rPr>
          <w:sz w:val="28"/>
          <w:szCs w:val="28"/>
        </w:rPr>
        <w:fldChar w:fldCharType="separate"/>
      </w:r>
      <w:proofErr w:type="spellStart"/>
      <w:r w:rsidR="00C77B24" w:rsidRPr="00996840">
        <w:rPr>
          <w:sz w:val="28"/>
          <w:szCs w:val="28"/>
        </w:rPr>
        <w:t>efiled</w:t>
      </w:r>
      <w:proofErr w:type="spellEnd"/>
      <w:r w:rsidRPr="00996840">
        <w:rPr>
          <w:sz w:val="28"/>
          <w:szCs w:val="28"/>
        </w:rPr>
        <w:fldChar w:fldCharType="end"/>
      </w:r>
      <w:proofErr w:type="gramEnd"/>
      <w:r w:rsidR="004E51AA" w:rsidRPr="00996840">
        <w:rPr>
          <w:sz w:val="28"/>
          <w:szCs w:val="28"/>
        </w:rPr>
        <w:t xml:space="preserve"> </w:t>
      </w:r>
      <w:r w:rsidR="00C3561D" w:rsidRPr="00996840">
        <w:rPr>
          <w:sz w:val="28"/>
          <w:szCs w:val="28"/>
        </w:rPr>
        <w:t>this</w:t>
      </w:r>
      <w:r w:rsidR="00D21410">
        <w:rPr>
          <w:sz w:val="28"/>
          <w:szCs w:val="28"/>
        </w:rPr>
        <w:t xml:space="preserve"> </w:t>
      </w:r>
      <w:r w:rsidR="000D679D">
        <w:rPr>
          <w:sz w:val="28"/>
          <w:szCs w:val="28"/>
          <w:u w:val="single"/>
        </w:rPr>
        <w:t>28</w:t>
      </w:r>
      <w:r w:rsidR="000D679D" w:rsidRPr="000D679D">
        <w:rPr>
          <w:sz w:val="28"/>
          <w:szCs w:val="28"/>
          <w:u w:val="single"/>
          <w:vertAlign w:val="superscript"/>
        </w:rPr>
        <w:t>th</w:t>
      </w:r>
      <w:r w:rsidR="000D679D">
        <w:rPr>
          <w:sz w:val="28"/>
          <w:szCs w:val="28"/>
          <w:u w:val="single"/>
        </w:rPr>
        <w:t xml:space="preserve"> </w:t>
      </w:r>
      <w:r w:rsidRPr="00996840">
        <w:rPr>
          <w:sz w:val="28"/>
          <w:szCs w:val="28"/>
        </w:rPr>
        <w:fldChar w:fldCharType="begin"/>
      </w:r>
      <w:r w:rsidRPr="00996840">
        <w:rPr>
          <w:sz w:val="28"/>
          <w:szCs w:val="28"/>
        </w:rPr>
        <w:instrText xml:space="preserve"> DOCVARIABLE  FileDay  \* MERGEFORMAT </w:instrText>
      </w:r>
      <w:r w:rsidRPr="00996840">
        <w:rPr>
          <w:sz w:val="28"/>
          <w:szCs w:val="28"/>
        </w:rPr>
        <w:fldChar w:fldCharType="separate"/>
      </w:r>
      <w:r w:rsidR="00C77B24" w:rsidRPr="00996840">
        <w:rPr>
          <w:sz w:val="28"/>
          <w:szCs w:val="28"/>
        </w:rPr>
        <w:t xml:space="preserve"> </w:t>
      </w:r>
      <w:r w:rsidRPr="00996840">
        <w:rPr>
          <w:sz w:val="28"/>
          <w:szCs w:val="28"/>
        </w:rPr>
        <w:fldChar w:fldCharType="end"/>
      </w:r>
      <w:r w:rsidR="00D01F3E" w:rsidRPr="00996840">
        <w:rPr>
          <w:sz w:val="28"/>
          <w:szCs w:val="28"/>
        </w:rPr>
        <w:t xml:space="preserve"> </w:t>
      </w:r>
      <w:r w:rsidR="00B91423" w:rsidRPr="00996840">
        <w:rPr>
          <w:sz w:val="28"/>
          <w:szCs w:val="28"/>
        </w:rPr>
        <w:t xml:space="preserve">day </w:t>
      </w:r>
      <w:r w:rsidR="00D01F3E" w:rsidRPr="00996840">
        <w:rPr>
          <w:sz w:val="28"/>
          <w:szCs w:val="28"/>
        </w:rPr>
        <w:t>o</w:t>
      </w:r>
      <w:r w:rsidR="00C3561D" w:rsidRPr="00996840">
        <w:rPr>
          <w:sz w:val="28"/>
          <w:szCs w:val="28"/>
        </w:rPr>
        <w:t xml:space="preserve">f </w:t>
      </w:r>
    </w:p>
    <w:p w:rsidR="00D21410" w:rsidRPr="00996840" w:rsidRDefault="000D679D" w:rsidP="00C3561D">
      <w:pPr>
        <w:tabs>
          <w:tab w:val="left" w:pos="4301"/>
        </w:tabs>
        <w:rPr>
          <w:sz w:val="28"/>
          <w:szCs w:val="28"/>
        </w:rPr>
      </w:pPr>
      <w:r>
        <w:rPr>
          <w:sz w:val="28"/>
          <w:szCs w:val="28"/>
          <w:u w:val="single"/>
        </w:rPr>
        <w:t>November</w:t>
      </w:r>
      <w:r w:rsidR="00D21410">
        <w:rPr>
          <w:sz w:val="28"/>
          <w:szCs w:val="28"/>
        </w:rPr>
        <w:t>, 2018.</w:t>
      </w:r>
    </w:p>
    <w:p w:rsidR="00C3561D" w:rsidRPr="00996840" w:rsidRDefault="00C3561D" w:rsidP="00C3561D">
      <w:pPr>
        <w:tabs>
          <w:tab w:val="left" w:pos="4301"/>
        </w:tabs>
        <w:rPr>
          <w:sz w:val="28"/>
          <w:szCs w:val="28"/>
        </w:rPr>
      </w:pPr>
    </w:p>
    <w:p w:rsidR="00B91423" w:rsidRPr="00996840" w:rsidRDefault="00B91423" w:rsidP="00F26509">
      <w:pPr>
        <w:tabs>
          <w:tab w:val="left" w:pos="1476"/>
        </w:tabs>
        <w:rPr>
          <w:sz w:val="28"/>
          <w:szCs w:val="28"/>
        </w:rPr>
      </w:pPr>
    </w:p>
    <w:p w:rsidR="00CA0CA8" w:rsidRPr="00996840" w:rsidRDefault="00DE0AE4" w:rsidP="00F26509">
      <w:pPr>
        <w:tabs>
          <w:tab w:val="left" w:pos="1476"/>
        </w:tabs>
        <w:rPr>
          <w:sz w:val="28"/>
          <w:szCs w:val="28"/>
        </w:rPr>
      </w:pPr>
      <w:r w:rsidRPr="00996840">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237490</wp:posOffset>
                </wp:positionH>
                <wp:positionV relativeFrom="paragraph">
                  <wp:posOffset>178435</wp:posOffset>
                </wp:positionV>
                <wp:extent cx="296862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D23A1"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4.05pt" to="252.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9xM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5Ror0&#10;MKJHoTjKQ2cG40oIqNXOhtroWT2ZR01/OKR03RF14JHh88VAWhYyklcpYeMM4O+HL5pBDDl6Hdt0&#10;bm0fIKEB6ByncblPg589onCYL+eLeT7DiI6+hJRjorHOf+a6R8GosATOEZicHp0PREg5hoR7lN4K&#10;KeOwpUJDhZczQA4ep6VgwRk39rCvpUUnEuQSv1jVmzCrj4pFsI4TtrnZngh5teFyqQIelAJ0btZV&#10;Dz+X6XKz2CyKSZHPN5MibZrJp21dTObb7OOs+dDUdZP9CtSyouwEY1wFdqM2s+LvZn97JVdV3dV5&#10;b0PyGj32C8iO/0g6zjKM7yqEvWaXnR1nDHKMwbenE/T+cg/2ywe+/g0AAP//AwBQSwMEFAAGAAgA&#10;AAAhADsF7YveAAAACAEAAA8AAABkcnMvZG93bnJldi54bWxMj8FOwzAQRO9I/IO1SFwqajct0IY4&#10;FQJy64XSius23iYR8TqN3Tbw9RhxgOPsjGbeZsvBtuJEvW8ca5iMFQji0pmGKw2bt+JmDsIHZIOt&#10;Y9LwSR6W+eVFhqlxZ36l0zpUIpawT1FDHUKXSunLmiz6seuIo7d3vcUQZV9J0+M5lttWJkrdSYsN&#10;x4UaO3qqqfxYH60GX2zpUHyNypF6n1aOksPz6gW1vr4aHh9ABBrCXxh+8CM65JFp545svGg1TO9n&#10;MakhmU9ARP9WzRYgdr8HmWfy/wP5NwAAAP//AwBQSwECLQAUAAYACAAAACEAtoM4kv4AAADhAQAA&#10;EwAAAAAAAAAAAAAAAAAAAAAAW0NvbnRlbnRfVHlwZXNdLnhtbFBLAQItABQABgAIAAAAIQA4/SH/&#10;1gAAAJQBAAALAAAAAAAAAAAAAAAAAC8BAABfcmVscy8ucmVsc1BLAQItABQABgAIAAAAIQBEB9xM&#10;EAIAACgEAAAOAAAAAAAAAAAAAAAAAC4CAABkcnMvZTJvRG9jLnhtbFBLAQItABQABgAIAAAAIQA7&#10;Be2L3gAAAAgBAAAPAAAAAAAAAAAAAAAAAGoEAABkcnMvZG93bnJldi54bWxQSwUGAAAAAAQABADz&#10;AAAAdQUAAAAA&#10;"/>
            </w:pict>
          </mc:Fallback>
        </mc:AlternateContent>
      </w:r>
      <w:r w:rsidR="00CA0CA8" w:rsidRPr="00996840">
        <w:rPr>
          <w:sz w:val="28"/>
          <w:szCs w:val="28"/>
        </w:rPr>
        <w:t xml:space="preserve">By </w:t>
      </w:r>
      <w:r w:rsidR="000D679D">
        <w:rPr>
          <w:sz w:val="28"/>
          <w:szCs w:val="28"/>
        </w:rPr>
        <w:t xml:space="preserve">   /s/</w:t>
      </w:r>
      <w:bookmarkStart w:id="1" w:name="_GoBack"/>
      <w:bookmarkEnd w:id="1"/>
    </w:p>
    <w:p w:rsidR="00CA0CA8" w:rsidRPr="00996840" w:rsidRDefault="00CA0CA8" w:rsidP="00F26509">
      <w:pPr>
        <w:tabs>
          <w:tab w:val="left" w:pos="1476"/>
        </w:tabs>
        <w:rPr>
          <w:sz w:val="28"/>
          <w:szCs w:val="28"/>
        </w:rPr>
      </w:pPr>
    </w:p>
    <w:p w:rsidR="008302E5" w:rsidRDefault="008302E5">
      <w:pPr>
        <w:rPr>
          <w:b/>
          <w:sz w:val="28"/>
          <w:szCs w:val="28"/>
        </w:rPr>
      </w:pPr>
      <w:r>
        <w:rPr>
          <w:b/>
          <w:sz w:val="28"/>
          <w:szCs w:val="28"/>
        </w:rPr>
        <w:br w:type="page"/>
      </w:r>
    </w:p>
    <w:p w:rsidR="00260669" w:rsidRPr="00996840" w:rsidRDefault="00A20ECA" w:rsidP="00A20ECA">
      <w:pPr>
        <w:jc w:val="center"/>
        <w:rPr>
          <w:b/>
          <w:sz w:val="28"/>
          <w:szCs w:val="28"/>
        </w:rPr>
      </w:pPr>
      <w:r w:rsidRPr="00996840">
        <w:rPr>
          <w:b/>
          <w:sz w:val="28"/>
          <w:szCs w:val="28"/>
        </w:rPr>
        <w:lastRenderedPageBreak/>
        <w:t>PROPOSED AMENDMENT TO RULE 17.4, ARIZONA RULES OF CRIMINAL PROCEDURE</w:t>
      </w:r>
    </w:p>
    <w:p w:rsidR="00A20ECA" w:rsidRPr="00996840" w:rsidRDefault="00A20ECA" w:rsidP="00A20ECA">
      <w:pPr>
        <w:jc w:val="center"/>
        <w:rPr>
          <w:b/>
          <w:sz w:val="28"/>
          <w:szCs w:val="28"/>
        </w:rPr>
      </w:pPr>
    </w:p>
    <w:p w:rsidR="00A20ECA" w:rsidRPr="00996840" w:rsidRDefault="00A20ECA" w:rsidP="00A20ECA">
      <w:pPr>
        <w:rPr>
          <w:sz w:val="28"/>
          <w:szCs w:val="28"/>
        </w:rPr>
      </w:pPr>
      <w:r w:rsidRPr="00996840">
        <w:rPr>
          <w:sz w:val="28"/>
          <w:szCs w:val="28"/>
        </w:rPr>
        <w:t>Add:  Rule 17.4(a</w:t>
      </w:r>
      <w:proofErr w:type="gramStart"/>
      <w:r w:rsidRPr="00996840">
        <w:rPr>
          <w:sz w:val="28"/>
          <w:szCs w:val="28"/>
        </w:rPr>
        <w:t>)(</w:t>
      </w:r>
      <w:proofErr w:type="gramEnd"/>
      <w:r w:rsidRPr="00996840">
        <w:rPr>
          <w:sz w:val="28"/>
          <w:szCs w:val="28"/>
        </w:rPr>
        <w:t>4):</w:t>
      </w:r>
    </w:p>
    <w:p w:rsidR="00A20ECA" w:rsidRPr="00996840" w:rsidRDefault="00A20ECA" w:rsidP="00A20ECA">
      <w:pPr>
        <w:rPr>
          <w:sz w:val="28"/>
          <w:szCs w:val="28"/>
        </w:rPr>
      </w:pPr>
    </w:p>
    <w:p w:rsidR="00A20ECA" w:rsidRPr="00996840" w:rsidRDefault="00A20ECA" w:rsidP="00A20ECA">
      <w:pPr>
        <w:rPr>
          <w:sz w:val="28"/>
          <w:szCs w:val="28"/>
          <w:u w:val="single"/>
        </w:rPr>
      </w:pPr>
      <w:r w:rsidRPr="00996840">
        <w:rPr>
          <w:sz w:val="28"/>
          <w:szCs w:val="28"/>
          <w:u w:val="single"/>
        </w:rPr>
        <w:t>(4) Settlement Discussions in Capital Cases</w:t>
      </w:r>
    </w:p>
    <w:p w:rsidR="00A20ECA" w:rsidRPr="00996840" w:rsidRDefault="00A20ECA" w:rsidP="00A20ECA">
      <w:pPr>
        <w:rPr>
          <w:sz w:val="28"/>
          <w:szCs w:val="28"/>
          <w:u w:val="single"/>
        </w:rPr>
      </w:pPr>
    </w:p>
    <w:p w:rsidR="00982E1A" w:rsidRDefault="00A20ECA" w:rsidP="00982E1A">
      <w:pPr>
        <w:pStyle w:val="ListParagraph"/>
        <w:numPr>
          <w:ilvl w:val="0"/>
          <w:numId w:val="6"/>
        </w:numPr>
        <w:rPr>
          <w:u w:val="single"/>
        </w:rPr>
      </w:pPr>
      <w:r w:rsidRPr="00996840">
        <w:rPr>
          <w:i/>
          <w:sz w:val="28"/>
          <w:szCs w:val="28"/>
          <w:u w:val="single"/>
        </w:rPr>
        <w:t xml:space="preserve">Settlement Discussions.  </w:t>
      </w:r>
      <w:r w:rsidR="00982E1A" w:rsidRPr="00AE6922">
        <w:rPr>
          <w:u w:val="single"/>
        </w:rPr>
        <w:t xml:space="preserve">To facilitate plea negotiations in cases where the State is seeking the imposition of the death penalty, on motion of any party or by stipulation, the Court may impose an order that broadens the protections afforded by Rule 410, </w:t>
      </w:r>
      <w:proofErr w:type="spellStart"/>
      <w:r w:rsidR="00982E1A" w:rsidRPr="00AE6922">
        <w:rPr>
          <w:u w:val="single"/>
        </w:rPr>
        <w:t>Ariz.R.Evid</w:t>
      </w:r>
      <w:proofErr w:type="spellEnd"/>
      <w:r w:rsidR="00982E1A" w:rsidRPr="00AE6922">
        <w:rPr>
          <w:u w:val="single"/>
        </w:rPr>
        <w:t xml:space="preserve">. </w:t>
      </w:r>
      <w:proofErr w:type="gramStart"/>
      <w:r w:rsidR="00982E1A" w:rsidRPr="00AE6922">
        <w:rPr>
          <w:u w:val="single"/>
        </w:rPr>
        <w:t>by</w:t>
      </w:r>
      <w:proofErr w:type="gramEnd"/>
      <w:r w:rsidR="00982E1A" w:rsidRPr="00AE6922">
        <w:rPr>
          <w:u w:val="single"/>
        </w:rPr>
        <w:t xml:space="preserve"> prohibiting the admission of statements made during plea discussions against not only the defendant but also the State. The order shall provide for the following:</w:t>
      </w:r>
    </w:p>
    <w:p w:rsidR="00982E1A" w:rsidRDefault="00982E1A" w:rsidP="00982E1A">
      <w:pPr>
        <w:pStyle w:val="ListParagraph"/>
        <w:ind w:left="1080"/>
        <w:rPr>
          <w:u w:val="single"/>
        </w:rPr>
      </w:pPr>
    </w:p>
    <w:p w:rsidR="00A20ECA" w:rsidRPr="00996840" w:rsidRDefault="00A20ECA" w:rsidP="00A20ECA">
      <w:pPr>
        <w:pStyle w:val="ListParagraph"/>
        <w:numPr>
          <w:ilvl w:val="0"/>
          <w:numId w:val="5"/>
        </w:numPr>
        <w:rPr>
          <w:sz w:val="28"/>
          <w:szCs w:val="28"/>
          <w:u w:val="single"/>
        </w:rPr>
      </w:pPr>
      <w:r w:rsidRPr="00996840">
        <w:rPr>
          <w:sz w:val="28"/>
          <w:szCs w:val="28"/>
          <w:u w:val="single"/>
        </w:rPr>
        <w:t>No statements made by the State, the defendant, defense counsel, any judicial officer, or anyone else who properly participates in connection with the settlement discussions is admissible in any phase of the trial;</w:t>
      </w:r>
    </w:p>
    <w:p w:rsidR="00A20ECA" w:rsidRPr="00996840" w:rsidRDefault="00A20ECA" w:rsidP="00A20ECA">
      <w:pPr>
        <w:pStyle w:val="ListParagraph"/>
        <w:ind w:left="1440"/>
        <w:rPr>
          <w:sz w:val="28"/>
          <w:szCs w:val="28"/>
          <w:u w:val="single"/>
        </w:rPr>
      </w:pPr>
    </w:p>
    <w:p w:rsidR="00A20ECA" w:rsidRPr="00996840" w:rsidRDefault="00A20ECA" w:rsidP="00A20ECA">
      <w:pPr>
        <w:pStyle w:val="ListParagraph"/>
        <w:numPr>
          <w:ilvl w:val="0"/>
          <w:numId w:val="5"/>
        </w:numPr>
        <w:rPr>
          <w:sz w:val="28"/>
          <w:szCs w:val="28"/>
          <w:u w:val="single"/>
        </w:rPr>
      </w:pPr>
      <w:r w:rsidRPr="00996840">
        <w:rPr>
          <w:sz w:val="28"/>
          <w:szCs w:val="28"/>
          <w:u w:val="single"/>
        </w:rPr>
        <w:t>The provisions of Rule 410, Arizona Rules of Evidence, shall apply equally to statements made by the defendant, the defendant’s attorney(s), the State, any judicial officer and anyone else who properly participates in the settlement discussions.</w:t>
      </w:r>
    </w:p>
    <w:p w:rsidR="00A20ECA" w:rsidRPr="00996840" w:rsidRDefault="00A20ECA" w:rsidP="00A20ECA">
      <w:pPr>
        <w:rPr>
          <w:sz w:val="28"/>
          <w:szCs w:val="28"/>
          <w:u w:val="single"/>
        </w:rPr>
      </w:pPr>
    </w:p>
    <w:p w:rsidR="00A20ECA" w:rsidRPr="00996840" w:rsidRDefault="00A20ECA" w:rsidP="00A20ECA">
      <w:pPr>
        <w:pStyle w:val="ListParagraph"/>
        <w:numPr>
          <w:ilvl w:val="0"/>
          <w:numId w:val="5"/>
        </w:numPr>
        <w:rPr>
          <w:sz w:val="28"/>
          <w:szCs w:val="28"/>
          <w:u w:val="single"/>
        </w:rPr>
      </w:pPr>
      <w:r w:rsidRPr="00996840">
        <w:rPr>
          <w:sz w:val="28"/>
          <w:szCs w:val="28"/>
          <w:u w:val="single"/>
        </w:rPr>
        <w:t>Absent agreement of the parties, any information disclosed as part of the settlement discussions shall not be disclosed to any other person or entity, or used for further investigation.</w:t>
      </w:r>
    </w:p>
    <w:p w:rsidR="00A20ECA" w:rsidRPr="00996840" w:rsidRDefault="00A20ECA" w:rsidP="00A20ECA">
      <w:pPr>
        <w:rPr>
          <w:sz w:val="28"/>
          <w:szCs w:val="28"/>
          <w:u w:val="single"/>
        </w:rPr>
      </w:pPr>
    </w:p>
    <w:p w:rsidR="00A20ECA" w:rsidRPr="00996840" w:rsidRDefault="00A20ECA" w:rsidP="00982E1A">
      <w:pPr>
        <w:pStyle w:val="ListParagraph"/>
        <w:numPr>
          <w:ilvl w:val="0"/>
          <w:numId w:val="6"/>
        </w:numPr>
        <w:rPr>
          <w:sz w:val="28"/>
          <w:szCs w:val="28"/>
          <w:u w:val="single"/>
        </w:rPr>
      </w:pPr>
      <w:r w:rsidRPr="00996840">
        <w:rPr>
          <w:sz w:val="28"/>
          <w:szCs w:val="28"/>
          <w:u w:val="single"/>
        </w:rPr>
        <w:t>“Settlement discussions,” for purposes of this Rule, includes statements made as part of a settlement conference with the Court, or settlement discussions independent of a settlement conference.</w:t>
      </w:r>
      <w:r w:rsidR="00982E1A">
        <w:rPr>
          <w:sz w:val="28"/>
          <w:szCs w:val="28"/>
          <w:u w:val="single"/>
        </w:rPr>
        <w:t xml:space="preserve">   Any plea proposal extended by the State shall be considered to be part of settlement discussions.</w:t>
      </w:r>
    </w:p>
    <w:p w:rsidR="00A20ECA" w:rsidRPr="00996840" w:rsidRDefault="00A20ECA" w:rsidP="00A20ECA">
      <w:pPr>
        <w:pStyle w:val="ListParagraph"/>
        <w:ind w:left="1080"/>
        <w:rPr>
          <w:sz w:val="28"/>
          <w:szCs w:val="28"/>
          <w:u w:val="single"/>
        </w:rPr>
      </w:pPr>
    </w:p>
    <w:p w:rsidR="00A20ECA" w:rsidRPr="00996840" w:rsidRDefault="00A20ECA" w:rsidP="00982E1A">
      <w:pPr>
        <w:pStyle w:val="ListParagraph"/>
        <w:numPr>
          <w:ilvl w:val="0"/>
          <w:numId w:val="6"/>
        </w:numPr>
        <w:rPr>
          <w:sz w:val="28"/>
          <w:szCs w:val="28"/>
          <w:u w:val="single"/>
        </w:rPr>
      </w:pPr>
      <w:r w:rsidRPr="00996840">
        <w:rPr>
          <w:sz w:val="28"/>
          <w:szCs w:val="28"/>
          <w:u w:val="single"/>
        </w:rPr>
        <w:t>The Court shall not issue an order unless defense counsel specifically avers that the decision to participate in settlement discussions is a strategic decision.</w:t>
      </w:r>
    </w:p>
    <w:p w:rsidR="00A20ECA" w:rsidRPr="00996840" w:rsidRDefault="00A20ECA" w:rsidP="00A20ECA">
      <w:pPr>
        <w:rPr>
          <w:sz w:val="28"/>
          <w:szCs w:val="28"/>
          <w:u w:val="single"/>
        </w:rPr>
      </w:pPr>
    </w:p>
    <w:p w:rsidR="00A20ECA" w:rsidRPr="00996840" w:rsidRDefault="00A20ECA" w:rsidP="00982E1A">
      <w:pPr>
        <w:pStyle w:val="ListParagraph"/>
        <w:numPr>
          <w:ilvl w:val="0"/>
          <w:numId w:val="6"/>
        </w:numPr>
        <w:rPr>
          <w:sz w:val="28"/>
          <w:szCs w:val="28"/>
          <w:u w:val="single"/>
        </w:rPr>
      </w:pPr>
      <w:r w:rsidRPr="00996840">
        <w:rPr>
          <w:sz w:val="28"/>
          <w:szCs w:val="28"/>
          <w:u w:val="single"/>
        </w:rPr>
        <w:lastRenderedPageBreak/>
        <w:t>Upon issuance of the Order, the Court may order the parties to participate in a settlement conference pursuant to the other provisions of Rule 17.4(a).</w:t>
      </w:r>
    </w:p>
    <w:sectPr w:rsidR="00A20ECA" w:rsidRPr="00996840" w:rsidSect="00C35DC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5E1" w:rsidRDefault="006025E1">
      <w:r>
        <w:separator/>
      </w:r>
    </w:p>
  </w:endnote>
  <w:endnote w:type="continuationSeparator" w:id="0">
    <w:p w:rsidR="006025E1" w:rsidRDefault="0060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12D" w:rsidRDefault="004D512D" w:rsidP="004C1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7B24">
      <w:rPr>
        <w:rStyle w:val="PageNumber"/>
        <w:noProof/>
      </w:rPr>
      <w:t>1</w:t>
    </w:r>
    <w:r>
      <w:rPr>
        <w:rStyle w:val="PageNumber"/>
      </w:rPr>
      <w:fldChar w:fldCharType="end"/>
    </w:r>
  </w:p>
  <w:p w:rsidR="004D512D" w:rsidRDefault="004D5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12D" w:rsidRDefault="004D512D" w:rsidP="004C1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2509">
      <w:rPr>
        <w:rStyle w:val="PageNumber"/>
        <w:noProof/>
      </w:rPr>
      <w:t>8</w:t>
    </w:r>
    <w:r>
      <w:rPr>
        <w:rStyle w:val="PageNumber"/>
      </w:rPr>
      <w:fldChar w:fldCharType="end"/>
    </w:r>
  </w:p>
  <w:p w:rsidR="004D512D" w:rsidRDefault="004D51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25" w:rsidRDefault="006C5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5E1" w:rsidRDefault="006025E1">
      <w:r>
        <w:separator/>
      </w:r>
    </w:p>
  </w:footnote>
  <w:footnote w:type="continuationSeparator" w:id="0">
    <w:p w:rsidR="006025E1" w:rsidRDefault="006025E1">
      <w:r>
        <w:continuationSeparator/>
      </w:r>
    </w:p>
  </w:footnote>
  <w:footnote w:id="1">
    <w:p w:rsidR="00F361AA" w:rsidRDefault="00F361AA" w:rsidP="00F361AA">
      <w:pPr>
        <w:pStyle w:val="FootnoteText"/>
        <w:rPr>
          <w:sz w:val="28"/>
          <w:szCs w:val="28"/>
        </w:rPr>
      </w:pPr>
      <w:r w:rsidRPr="00D3127B">
        <w:rPr>
          <w:rStyle w:val="FootnoteReference"/>
          <w:sz w:val="28"/>
          <w:szCs w:val="28"/>
        </w:rPr>
        <w:footnoteRef/>
      </w:r>
      <w:r w:rsidRPr="00D3127B">
        <w:rPr>
          <w:sz w:val="28"/>
          <w:szCs w:val="28"/>
        </w:rPr>
        <w:t xml:space="preserve"> Capital cases, as used here, include: 1) those in which the State has filed a Notice of Intent to Seek the Death Penalty, 2) those in which an Extension of Time to File Notice of Intent to Seek the Death Penalty has been filed, and 3) those cases in which the time to file a Notice of Intent to Seek the Death Penalty has not expired and in which informed information indicates that the case is likely to be considered a capital case by the State.</w:t>
      </w:r>
    </w:p>
    <w:p w:rsidR="00F361AA" w:rsidRPr="00D3127B" w:rsidRDefault="00F361AA" w:rsidP="00F361AA">
      <w:pPr>
        <w:pStyle w:val="FootnoteText"/>
        <w:rPr>
          <w:sz w:val="28"/>
          <w:szCs w:val="28"/>
        </w:rPr>
      </w:pPr>
    </w:p>
  </w:footnote>
  <w:footnote w:id="2">
    <w:p w:rsidR="00ED1F91" w:rsidRPr="00D3127B" w:rsidRDefault="00ED1F91">
      <w:pPr>
        <w:pStyle w:val="FootnoteText"/>
        <w:rPr>
          <w:sz w:val="28"/>
          <w:szCs w:val="28"/>
        </w:rPr>
      </w:pPr>
      <w:r w:rsidRPr="00D3127B">
        <w:rPr>
          <w:rStyle w:val="FootnoteReference"/>
          <w:sz w:val="28"/>
          <w:szCs w:val="28"/>
        </w:rPr>
        <w:footnoteRef/>
      </w:r>
      <w:r w:rsidRPr="00D3127B">
        <w:rPr>
          <w:sz w:val="28"/>
          <w:szCs w:val="28"/>
        </w:rPr>
        <w:t xml:space="preserve"> Case filing demand represents the count of all cases of the indicated type that were assigned during the time period, minus cases of that type that were closed during the time period for the following reasons: no complaint filed, withdrawal due to workload or conflict, transfer to another indigent defense office, or private counsel retained.</w:t>
      </w:r>
    </w:p>
    <w:p w:rsidR="00ED1F91" w:rsidRPr="00D3127B" w:rsidRDefault="00ED1F91">
      <w:pPr>
        <w:pStyle w:val="FootnoteText"/>
        <w:rPr>
          <w:sz w:val="28"/>
          <w:szCs w:val="28"/>
        </w:rPr>
      </w:pPr>
    </w:p>
  </w:footnote>
  <w:footnote w:id="3">
    <w:p w:rsidR="00ED1F91" w:rsidRPr="00D3127B" w:rsidRDefault="00ED1F91">
      <w:pPr>
        <w:pStyle w:val="FootnoteText"/>
        <w:rPr>
          <w:sz w:val="28"/>
          <w:szCs w:val="28"/>
        </w:rPr>
      </w:pPr>
      <w:r w:rsidRPr="00D3127B">
        <w:rPr>
          <w:rStyle w:val="FootnoteReference"/>
          <w:sz w:val="28"/>
          <w:szCs w:val="28"/>
        </w:rPr>
        <w:footnoteRef/>
      </w:r>
      <w:r w:rsidRPr="00D3127B">
        <w:rPr>
          <w:sz w:val="28"/>
          <w:szCs w:val="28"/>
        </w:rPr>
        <w:t xml:space="preserve"> In FY18, the Legal Defender’s total felony filing demand was 3,277 which includes 8 capital cases.  In FY18, Maricopa County Indigent Defense felony filing demand was 27,003 which includes 44 capital cases.</w:t>
      </w:r>
    </w:p>
    <w:p w:rsidR="00ED1F91" w:rsidRDefault="00ED1F91">
      <w:pPr>
        <w:pStyle w:val="FootnoteText"/>
      </w:pPr>
    </w:p>
  </w:footnote>
  <w:footnote w:id="4">
    <w:p w:rsidR="00982E1A" w:rsidRDefault="00982E1A" w:rsidP="00982E1A">
      <w:pPr>
        <w:pStyle w:val="FootnoteText"/>
        <w:rPr>
          <w:sz w:val="28"/>
          <w:szCs w:val="28"/>
        </w:rPr>
      </w:pPr>
      <w:r w:rsidRPr="00996840">
        <w:rPr>
          <w:rStyle w:val="FootnoteReference"/>
          <w:sz w:val="28"/>
          <w:szCs w:val="28"/>
        </w:rPr>
        <w:footnoteRef/>
      </w:r>
      <w:r w:rsidRPr="00996840">
        <w:rPr>
          <w:sz w:val="28"/>
          <w:szCs w:val="28"/>
        </w:rPr>
        <w:t xml:space="preserve"> Maricop</w:t>
      </w:r>
      <w:r>
        <w:rPr>
          <w:sz w:val="28"/>
          <w:szCs w:val="28"/>
        </w:rPr>
        <w:t>a County leads the State</w:t>
      </w:r>
      <w:r w:rsidRPr="00996840">
        <w:rPr>
          <w:sz w:val="28"/>
          <w:szCs w:val="28"/>
        </w:rPr>
        <w:t xml:space="preserve"> in seeking the death penalty</w:t>
      </w:r>
      <w:r>
        <w:rPr>
          <w:sz w:val="28"/>
          <w:szCs w:val="28"/>
        </w:rPr>
        <w:t>, prosecuting over 80% of the capital cases in Arizona</w:t>
      </w:r>
      <w:r w:rsidRPr="00996840">
        <w:rPr>
          <w:sz w:val="28"/>
          <w:szCs w:val="28"/>
        </w:rPr>
        <w:t xml:space="preserve">.  As of August, 2017, there were </w:t>
      </w:r>
      <w:r>
        <w:rPr>
          <w:sz w:val="28"/>
          <w:szCs w:val="28"/>
        </w:rPr>
        <w:t>fifty-seven (57)</w:t>
      </w:r>
      <w:r w:rsidRPr="00996840">
        <w:rPr>
          <w:sz w:val="28"/>
          <w:szCs w:val="28"/>
        </w:rPr>
        <w:t xml:space="preserve"> cases</w:t>
      </w:r>
      <w:r>
        <w:rPr>
          <w:sz w:val="28"/>
          <w:szCs w:val="28"/>
        </w:rPr>
        <w:t xml:space="preserve"> actively being pursued </w:t>
      </w:r>
      <w:r w:rsidRPr="00996840">
        <w:rPr>
          <w:sz w:val="28"/>
          <w:szCs w:val="28"/>
        </w:rPr>
        <w:t xml:space="preserve">in Maricopa County.  At the same time, there were </w:t>
      </w:r>
      <w:r>
        <w:rPr>
          <w:sz w:val="28"/>
          <w:szCs w:val="28"/>
        </w:rPr>
        <w:t>twelve (1</w:t>
      </w:r>
      <w:r w:rsidRPr="00996840">
        <w:rPr>
          <w:sz w:val="28"/>
          <w:szCs w:val="28"/>
        </w:rPr>
        <w:t>2</w:t>
      </w:r>
      <w:r>
        <w:rPr>
          <w:sz w:val="28"/>
          <w:szCs w:val="28"/>
        </w:rPr>
        <w:t>)</w:t>
      </w:r>
      <w:r w:rsidRPr="00996840">
        <w:rPr>
          <w:sz w:val="28"/>
          <w:szCs w:val="28"/>
        </w:rPr>
        <w:t xml:space="preserve"> in the rest of the State.  </w:t>
      </w:r>
      <w:r w:rsidRPr="000E09D4">
        <w:rPr>
          <w:i/>
          <w:sz w:val="28"/>
          <w:szCs w:val="28"/>
        </w:rPr>
        <w:t>See</w:t>
      </w:r>
      <w:r w:rsidRPr="00996840">
        <w:rPr>
          <w:sz w:val="28"/>
          <w:szCs w:val="28"/>
        </w:rPr>
        <w:t xml:space="preserve"> Interim Report of the Capital Case Oversight Committee, Dec. 14, 2017, p. 5, available at </w:t>
      </w:r>
      <w:hyperlink r:id="rId1" w:history="1">
        <w:r w:rsidRPr="00194DDD">
          <w:rPr>
            <w:rStyle w:val="Hyperlink"/>
            <w:sz w:val="28"/>
            <w:szCs w:val="28"/>
          </w:rPr>
          <w:t>https://www.azcourts.gov/Portals/84/MeetingMaterials/2017/Dec/TAB_7_AJC_CapitalCaseOversight.pdf</w:t>
        </w:r>
      </w:hyperlink>
      <w:r>
        <w:rPr>
          <w:sz w:val="28"/>
          <w:szCs w:val="28"/>
        </w:rPr>
        <w:t>.</w:t>
      </w:r>
    </w:p>
    <w:p w:rsidR="00982E1A" w:rsidRPr="00996840" w:rsidRDefault="00982E1A" w:rsidP="00982E1A">
      <w:pPr>
        <w:pStyle w:val="FootnoteText"/>
        <w:rPr>
          <w:sz w:val="28"/>
          <w:szCs w:val="28"/>
        </w:rPr>
      </w:pPr>
    </w:p>
  </w:footnote>
  <w:footnote w:id="5">
    <w:p w:rsidR="00186041" w:rsidRPr="00186041" w:rsidRDefault="00186041">
      <w:pPr>
        <w:pStyle w:val="FootnoteText"/>
        <w:rPr>
          <w:sz w:val="28"/>
          <w:szCs w:val="28"/>
        </w:rPr>
      </w:pPr>
      <w:r w:rsidRPr="00186041">
        <w:rPr>
          <w:rStyle w:val="FootnoteReference"/>
          <w:sz w:val="28"/>
          <w:szCs w:val="28"/>
        </w:rPr>
        <w:footnoteRef/>
      </w:r>
      <w:r w:rsidRPr="00186041">
        <w:rPr>
          <w:sz w:val="28"/>
          <w:szCs w:val="28"/>
        </w:rPr>
        <w:t xml:space="preserve"> To be sure, there are cases that resolve, but there is no real communication between the parties.</w:t>
      </w:r>
      <w:r w:rsidR="00BD0947">
        <w:rPr>
          <w:sz w:val="28"/>
          <w:szCs w:val="28"/>
        </w:rPr>
        <w:t xml:space="preserve">  From time to time there are ‘hints’ but no real dialog.</w:t>
      </w:r>
      <w:r w:rsidRPr="00186041">
        <w:rPr>
          <w:sz w:val="28"/>
          <w:szCs w:val="28"/>
        </w:rPr>
        <w:t xml:space="preserve">  Often times, defense counsel is left to guess whether the prosecutor is serious about resolving the case or not</w:t>
      </w:r>
      <w:r w:rsidR="00D21410">
        <w:rPr>
          <w:sz w:val="28"/>
          <w:szCs w:val="28"/>
        </w:rPr>
        <w:t xml:space="preserve"> and what kind of offer the prosecutor is looking for</w:t>
      </w:r>
      <w:r w:rsidRPr="00186041">
        <w:rPr>
          <w:sz w:val="28"/>
          <w:szCs w:val="28"/>
        </w:rPr>
        <w:t>.</w:t>
      </w:r>
    </w:p>
  </w:footnote>
  <w:footnote w:id="6">
    <w:p w:rsidR="0036378D" w:rsidRPr="00996840" w:rsidRDefault="0036378D">
      <w:pPr>
        <w:pStyle w:val="FootnoteText"/>
        <w:rPr>
          <w:sz w:val="28"/>
          <w:szCs w:val="28"/>
        </w:rPr>
      </w:pPr>
      <w:r w:rsidRPr="00996840">
        <w:rPr>
          <w:rStyle w:val="FootnoteReference"/>
          <w:sz w:val="28"/>
          <w:szCs w:val="28"/>
        </w:rPr>
        <w:footnoteRef/>
      </w:r>
      <w:r w:rsidRPr="00996840">
        <w:rPr>
          <w:sz w:val="28"/>
          <w:szCs w:val="28"/>
        </w:rPr>
        <w:t xml:space="preserve"> Indeed, settling disputes as painlessly as possible requires good communication.  </w:t>
      </w:r>
      <w:r w:rsidRPr="00996840">
        <w:rPr>
          <w:i/>
          <w:sz w:val="28"/>
          <w:szCs w:val="28"/>
        </w:rPr>
        <w:t>See</w:t>
      </w:r>
      <w:r w:rsidR="00BD0947">
        <w:rPr>
          <w:i/>
          <w:sz w:val="28"/>
          <w:szCs w:val="28"/>
        </w:rPr>
        <w:t>, e.g.,</w:t>
      </w:r>
      <w:r w:rsidRPr="00996840">
        <w:rPr>
          <w:sz w:val="28"/>
          <w:szCs w:val="28"/>
        </w:rPr>
        <w:t xml:space="preserve"> Allison, Five Ways to Keep Disputes Out of Court, Harvard Business Review, Jan/Feb, 1990 (available at </w:t>
      </w:r>
      <w:hyperlink r:id="rId2" w:history="1">
        <w:r w:rsidR="00996840" w:rsidRPr="00194DDD">
          <w:rPr>
            <w:rStyle w:val="Hyperlink"/>
            <w:sz w:val="28"/>
            <w:szCs w:val="28"/>
          </w:rPr>
          <w:t>https://hbr.org/1990/01/five-ways-to-keep-disputes-out-of-court</w:t>
        </w:r>
      </w:hyperlink>
      <w:r w:rsidR="00996840">
        <w:rPr>
          <w:sz w:val="28"/>
          <w:szCs w:val="28"/>
        </w:rPr>
        <w:t xml:space="preserve"> )</w:t>
      </w:r>
      <w:r w:rsidRPr="00996840">
        <w:rPr>
          <w:sz w:val="28"/>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25" w:rsidRDefault="006C5B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25" w:rsidRDefault="006C5B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25" w:rsidRDefault="006C5B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D0D29"/>
    <w:multiLevelType w:val="hybridMultilevel"/>
    <w:tmpl w:val="B61CD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A1387"/>
    <w:multiLevelType w:val="hybridMultilevel"/>
    <w:tmpl w:val="C43A8956"/>
    <w:lvl w:ilvl="0" w:tplc="5672E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C22038"/>
    <w:multiLevelType w:val="hybridMultilevel"/>
    <w:tmpl w:val="4AD8D832"/>
    <w:lvl w:ilvl="0" w:tplc="7EBED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B325E3"/>
    <w:multiLevelType w:val="hybridMultilevel"/>
    <w:tmpl w:val="4C1AF158"/>
    <w:lvl w:ilvl="0" w:tplc="95462D32">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FBF4B4A"/>
    <w:multiLevelType w:val="hybridMultilevel"/>
    <w:tmpl w:val="37F06414"/>
    <w:lvl w:ilvl="0" w:tplc="1F020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8B341F"/>
    <w:multiLevelType w:val="hybridMultilevel"/>
    <w:tmpl w:val="62327198"/>
    <w:lvl w:ilvl="0" w:tplc="EC3C6F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y" w:val="Marty Lieberman"/>
    <w:docVar w:name="Bar" w:val="007442"/>
    <w:docVar w:name="CA" w:val=" "/>
    <w:docVar w:name="CaseNo" w:val=" "/>
    <w:docVar w:name="CourtStr" w:val=" "/>
    <w:docVar w:name="Defendant" w:val=" "/>
    <w:docVar w:name="FileDate" w:val=" "/>
    <w:docVar w:name="FileDay" w:val=" "/>
    <w:docVar w:name="HrgOff" w:val=" "/>
    <w:docVar w:name="Judge" w:val=" "/>
    <w:docVar w:name="Mailing" w:val="efiled"/>
    <w:docVar w:name="TitleMotion" w:val="Petition to Amend Rule 17..4"/>
  </w:docVars>
  <w:rsids>
    <w:rsidRoot w:val="00C77B24"/>
    <w:rsid w:val="00000E49"/>
    <w:rsid w:val="00003BB6"/>
    <w:rsid w:val="00010AF9"/>
    <w:rsid w:val="000115DC"/>
    <w:rsid w:val="00030752"/>
    <w:rsid w:val="00041F0C"/>
    <w:rsid w:val="000A4A71"/>
    <w:rsid w:val="000C06E4"/>
    <w:rsid w:val="000D39F0"/>
    <w:rsid w:val="000D4430"/>
    <w:rsid w:val="000D4B45"/>
    <w:rsid w:val="000D59A5"/>
    <w:rsid w:val="000D679D"/>
    <w:rsid w:val="000D76FD"/>
    <w:rsid w:val="000E09D4"/>
    <w:rsid w:val="0011682C"/>
    <w:rsid w:val="00121EBB"/>
    <w:rsid w:val="00122E2C"/>
    <w:rsid w:val="00134675"/>
    <w:rsid w:val="00147B98"/>
    <w:rsid w:val="00153921"/>
    <w:rsid w:val="00166C24"/>
    <w:rsid w:val="00173D35"/>
    <w:rsid w:val="001801DB"/>
    <w:rsid w:val="00182F8F"/>
    <w:rsid w:val="00186041"/>
    <w:rsid w:val="001923CD"/>
    <w:rsid w:val="00195DD7"/>
    <w:rsid w:val="001B3D32"/>
    <w:rsid w:val="001B5494"/>
    <w:rsid w:val="001B6693"/>
    <w:rsid w:val="001E5D5C"/>
    <w:rsid w:val="001F1E18"/>
    <w:rsid w:val="0021418D"/>
    <w:rsid w:val="00217FAC"/>
    <w:rsid w:val="00226B72"/>
    <w:rsid w:val="0023236E"/>
    <w:rsid w:val="002357F1"/>
    <w:rsid w:val="00254882"/>
    <w:rsid w:val="00260669"/>
    <w:rsid w:val="00267010"/>
    <w:rsid w:val="00274599"/>
    <w:rsid w:val="00275523"/>
    <w:rsid w:val="00281FE7"/>
    <w:rsid w:val="0029156D"/>
    <w:rsid w:val="00294152"/>
    <w:rsid w:val="002962F5"/>
    <w:rsid w:val="002B0D75"/>
    <w:rsid w:val="002B61F1"/>
    <w:rsid w:val="002C2D63"/>
    <w:rsid w:val="002C5389"/>
    <w:rsid w:val="002D6D73"/>
    <w:rsid w:val="002E4D27"/>
    <w:rsid w:val="0030184C"/>
    <w:rsid w:val="00301CEF"/>
    <w:rsid w:val="00307828"/>
    <w:rsid w:val="0031011F"/>
    <w:rsid w:val="00343FB6"/>
    <w:rsid w:val="003500AF"/>
    <w:rsid w:val="0036378D"/>
    <w:rsid w:val="00373C80"/>
    <w:rsid w:val="00374C1B"/>
    <w:rsid w:val="003801C2"/>
    <w:rsid w:val="0039111E"/>
    <w:rsid w:val="003B1AB1"/>
    <w:rsid w:val="003C2FFE"/>
    <w:rsid w:val="003E25E8"/>
    <w:rsid w:val="003E609F"/>
    <w:rsid w:val="003F417A"/>
    <w:rsid w:val="00431A4C"/>
    <w:rsid w:val="00436AC3"/>
    <w:rsid w:val="00460681"/>
    <w:rsid w:val="0046245B"/>
    <w:rsid w:val="00465A13"/>
    <w:rsid w:val="00472B42"/>
    <w:rsid w:val="00473DAA"/>
    <w:rsid w:val="004927C8"/>
    <w:rsid w:val="004A4D74"/>
    <w:rsid w:val="004A72C4"/>
    <w:rsid w:val="004A74A6"/>
    <w:rsid w:val="004B14D1"/>
    <w:rsid w:val="004C1D5A"/>
    <w:rsid w:val="004D512D"/>
    <w:rsid w:val="004E51AA"/>
    <w:rsid w:val="004E7620"/>
    <w:rsid w:val="004F3FDE"/>
    <w:rsid w:val="004F5144"/>
    <w:rsid w:val="00511C47"/>
    <w:rsid w:val="005446F2"/>
    <w:rsid w:val="00575718"/>
    <w:rsid w:val="005814D2"/>
    <w:rsid w:val="005845C4"/>
    <w:rsid w:val="00584BF5"/>
    <w:rsid w:val="00590009"/>
    <w:rsid w:val="00591EF7"/>
    <w:rsid w:val="005A5B93"/>
    <w:rsid w:val="005B3E75"/>
    <w:rsid w:val="005B70BE"/>
    <w:rsid w:val="005C5D5C"/>
    <w:rsid w:val="005F2687"/>
    <w:rsid w:val="00600298"/>
    <w:rsid w:val="006025E1"/>
    <w:rsid w:val="00620C75"/>
    <w:rsid w:val="006246B5"/>
    <w:rsid w:val="006300DA"/>
    <w:rsid w:val="0063268D"/>
    <w:rsid w:val="0068409D"/>
    <w:rsid w:val="006B1EB5"/>
    <w:rsid w:val="006C5B25"/>
    <w:rsid w:val="006D30E8"/>
    <w:rsid w:val="006E711D"/>
    <w:rsid w:val="00730D6F"/>
    <w:rsid w:val="00740795"/>
    <w:rsid w:val="007512B9"/>
    <w:rsid w:val="00792509"/>
    <w:rsid w:val="007D34DD"/>
    <w:rsid w:val="007D6A54"/>
    <w:rsid w:val="007F4733"/>
    <w:rsid w:val="007F58C4"/>
    <w:rsid w:val="00805489"/>
    <w:rsid w:val="00812E73"/>
    <w:rsid w:val="0081759C"/>
    <w:rsid w:val="008206DE"/>
    <w:rsid w:val="00822BCA"/>
    <w:rsid w:val="008302E5"/>
    <w:rsid w:val="00832909"/>
    <w:rsid w:val="00833210"/>
    <w:rsid w:val="0084561D"/>
    <w:rsid w:val="00846293"/>
    <w:rsid w:val="008567B3"/>
    <w:rsid w:val="00861102"/>
    <w:rsid w:val="008630C8"/>
    <w:rsid w:val="00871835"/>
    <w:rsid w:val="008855F7"/>
    <w:rsid w:val="0089116F"/>
    <w:rsid w:val="00892C0E"/>
    <w:rsid w:val="008A034D"/>
    <w:rsid w:val="008B2962"/>
    <w:rsid w:val="008F7BDE"/>
    <w:rsid w:val="00925D7D"/>
    <w:rsid w:val="00933040"/>
    <w:rsid w:val="00934E79"/>
    <w:rsid w:val="009405B7"/>
    <w:rsid w:val="00945754"/>
    <w:rsid w:val="0096594E"/>
    <w:rsid w:val="00965A41"/>
    <w:rsid w:val="00971AE4"/>
    <w:rsid w:val="0097582B"/>
    <w:rsid w:val="00982E1A"/>
    <w:rsid w:val="00996840"/>
    <w:rsid w:val="009A18C8"/>
    <w:rsid w:val="009A2AE4"/>
    <w:rsid w:val="009B6916"/>
    <w:rsid w:val="009C6670"/>
    <w:rsid w:val="009D12AE"/>
    <w:rsid w:val="009E0DE6"/>
    <w:rsid w:val="00A20ECA"/>
    <w:rsid w:val="00A24A19"/>
    <w:rsid w:val="00A2674D"/>
    <w:rsid w:val="00A420A5"/>
    <w:rsid w:val="00A44EBE"/>
    <w:rsid w:val="00A633F9"/>
    <w:rsid w:val="00A7175C"/>
    <w:rsid w:val="00A81A9B"/>
    <w:rsid w:val="00A91A0D"/>
    <w:rsid w:val="00A927A9"/>
    <w:rsid w:val="00A928BA"/>
    <w:rsid w:val="00A97261"/>
    <w:rsid w:val="00AA56B2"/>
    <w:rsid w:val="00AC2577"/>
    <w:rsid w:val="00AE25E5"/>
    <w:rsid w:val="00AF0CE4"/>
    <w:rsid w:val="00AF6373"/>
    <w:rsid w:val="00AF7FAC"/>
    <w:rsid w:val="00B10AC0"/>
    <w:rsid w:val="00B56570"/>
    <w:rsid w:val="00B57BA1"/>
    <w:rsid w:val="00B653D3"/>
    <w:rsid w:val="00B8434E"/>
    <w:rsid w:val="00B91423"/>
    <w:rsid w:val="00BC25ED"/>
    <w:rsid w:val="00BD0375"/>
    <w:rsid w:val="00BD0947"/>
    <w:rsid w:val="00BD3062"/>
    <w:rsid w:val="00BF583E"/>
    <w:rsid w:val="00C075AC"/>
    <w:rsid w:val="00C12DFA"/>
    <w:rsid w:val="00C16205"/>
    <w:rsid w:val="00C2235F"/>
    <w:rsid w:val="00C3561D"/>
    <w:rsid w:val="00C35DCA"/>
    <w:rsid w:val="00C66041"/>
    <w:rsid w:val="00C77B24"/>
    <w:rsid w:val="00CA0CA8"/>
    <w:rsid w:val="00CB16AD"/>
    <w:rsid w:val="00CD132C"/>
    <w:rsid w:val="00CE10FC"/>
    <w:rsid w:val="00CF18F7"/>
    <w:rsid w:val="00D01F3E"/>
    <w:rsid w:val="00D046A7"/>
    <w:rsid w:val="00D16AE5"/>
    <w:rsid w:val="00D21410"/>
    <w:rsid w:val="00D3127B"/>
    <w:rsid w:val="00D31DE4"/>
    <w:rsid w:val="00D4357E"/>
    <w:rsid w:val="00D51FE1"/>
    <w:rsid w:val="00D5500B"/>
    <w:rsid w:val="00D97168"/>
    <w:rsid w:val="00DB499A"/>
    <w:rsid w:val="00DD1641"/>
    <w:rsid w:val="00DE0AE4"/>
    <w:rsid w:val="00DF17DB"/>
    <w:rsid w:val="00E04B5B"/>
    <w:rsid w:val="00E1328B"/>
    <w:rsid w:val="00E1336E"/>
    <w:rsid w:val="00E32B60"/>
    <w:rsid w:val="00E42FE7"/>
    <w:rsid w:val="00E459F4"/>
    <w:rsid w:val="00E648CE"/>
    <w:rsid w:val="00E6550E"/>
    <w:rsid w:val="00E66DA3"/>
    <w:rsid w:val="00E705E3"/>
    <w:rsid w:val="00E9426C"/>
    <w:rsid w:val="00EB4CB6"/>
    <w:rsid w:val="00EB6737"/>
    <w:rsid w:val="00EB7AD7"/>
    <w:rsid w:val="00ED1F91"/>
    <w:rsid w:val="00EE00D0"/>
    <w:rsid w:val="00EE1BDE"/>
    <w:rsid w:val="00F16192"/>
    <w:rsid w:val="00F26509"/>
    <w:rsid w:val="00F27517"/>
    <w:rsid w:val="00F32FC9"/>
    <w:rsid w:val="00F361AA"/>
    <w:rsid w:val="00F506D0"/>
    <w:rsid w:val="00F508D9"/>
    <w:rsid w:val="00F534A6"/>
    <w:rsid w:val="00F571B7"/>
    <w:rsid w:val="00F67046"/>
    <w:rsid w:val="00FA76E1"/>
    <w:rsid w:val="00FE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0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434E"/>
    <w:rPr>
      <w:rFonts w:ascii="Tahoma" w:hAnsi="Tahoma" w:cs="Tahoma"/>
      <w:sz w:val="16"/>
      <w:szCs w:val="16"/>
    </w:rPr>
  </w:style>
  <w:style w:type="paragraph" w:styleId="Footer">
    <w:name w:val="footer"/>
    <w:basedOn w:val="Normal"/>
    <w:rsid w:val="00B91423"/>
    <w:pPr>
      <w:tabs>
        <w:tab w:val="center" w:pos="4320"/>
        <w:tab w:val="right" w:pos="8640"/>
      </w:tabs>
    </w:pPr>
  </w:style>
  <w:style w:type="character" w:styleId="PageNumber">
    <w:name w:val="page number"/>
    <w:basedOn w:val="DefaultParagraphFont"/>
    <w:rsid w:val="00B91423"/>
  </w:style>
  <w:style w:type="character" w:styleId="Hyperlink">
    <w:name w:val="Hyperlink"/>
    <w:basedOn w:val="DefaultParagraphFont"/>
    <w:rsid w:val="00D97168"/>
    <w:rPr>
      <w:color w:val="0000FF"/>
      <w:u w:val="single"/>
    </w:rPr>
  </w:style>
  <w:style w:type="paragraph" w:styleId="FootnoteText">
    <w:name w:val="footnote text"/>
    <w:basedOn w:val="Normal"/>
    <w:link w:val="FootnoteTextChar"/>
    <w:rsid w:val="004B14D1"/>
    <w:rPr>
      <w:sz w:val="20"/>
      <w:szCs w:val="20"/>
    </w:rPr>
  </w:style>
  <w:style w:type="character" w:customStyle="1" w:styleId="FootnoteTextChar">
    <w:name w:val="Footnote Text Char"/>
    <w:basedOn w:val="DefaultParagraphFont"/>
    <w:link w:val="FootnoteText"/>
    <w:rsid w:val="004B14D1"/>
  </w:style>
  <w:style w:type="character" w:styleId="FootnoteReference">
    <w:name w:val="footnote reference"/>
    <w:basedOn w:val="DefaultParagraphFont"/>
    <w:rsid w:val="004B14D1"/>
    <w:rPr>
      <w:vertAlign w:val="superscript"/>
    </w:rPr>
  </w:style>
  <w:style w:type="paragraph" w:styleId="ListParagraph">
    <w:name w:val="List Paragraph"/>
    <w:basedOn w:val="Normal"/>
    <w:uiPriority w:val="34"/>
    <w:qFormat/>
    <w:rsid w:val="005A5B93"/>
    <w:pPr>
      <w:ind w:left="720"/>
      <w:contextualSpacing/>
    </w:pPr>
  </w:style>
  <w:style w:type="paragraph" w:styleId="Header">
    <w:name w:val="header"/>
    <w:basedOn w:val="Normal"/>
    <w:link w:val="HeaderChar"/>
    <w:rsid w:val="006C5B25"/>
    <w:pPr>
      <w:tabs>
        <w:tab w:val="center" w:pos="4680"/>
        <w:tab w:val="right" w:pos="9360"/>
      </w:tabs>
    </w:pPr>
  </w:style>
  <w:style w:type="character" w:customStyle="1" w:styleId="HeaderChar">
    <w:name w:val="Header Char"/>
    <w:basedOn w:val="DefaultParagraphFont"/>
    <w:link w:val="Header"/>
    <w:rsid w:val="006C5B25"/>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45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lieberman@old.maricop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hbr.org/1990/01/five-ways-to-keep-disputes-out-of-court" TargetMode="External"/><Relationship Id="rId1" Type="http://schemas.openxmlformats.org/officeDocument/2006/relationships/hyperlink" Target="https://www.azcourts.gov/Portals/84/MeetingMaterials/2017/Dec/TAB_7_AJC_CapitalCaseOversigh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8B74C-6055-492D-BF0C-FAA44772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DCC4299B.dotm</Template>
  <TotalTime>0</TotalTime>
  <Pages>1</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Links>
    <vt:vector size="12" baseType="variant">
      <vt:variant>
        <vt:i4>117</vt:i4>
      </vt:variant>
      <vt:variant>
        <vt:i4>47</vt:i4>
      </vt:variant>
      <vt:variant>
        <vt:i4>0</vt:i4>
      </vt:variant>
      <vt:variant>
        <vt:i4>5</vt:i4>
      </vt:variant>
      <vt:variant>
        <vt:lpwstr>mailto:minute@old.maricopa.gov</vt:lpwstr>
      </vt:variant>
      <vt:variant>
        <vt:lpwstr/>
      </vt:variant>
      <vt:variant>
        <vt:i4>117</vt:i4>
      </vt:variant>
      <vt:variant>
        <vt:i4>4</vt:i4>
      </vt:variant>
      <vt:variant>
        <vt:i4>0</vt:i4>
      </vt:variant>
      <vt:variant>
        <vt:i4>5</vt:i4>
      </vt:variant>
      <vt:variant>
        <vt:lpwstr>mailto:minute@old.maricopa.gov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2018-11-27T16:06:00Z</dcterms:created>
  <dcterms:modified xsi:type="dcterms:W3CDTF">2018-11-27T17:09:00Z</dcterms:modified>
</cp:coreProperties>
</file>