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1EF" w:rsidRPr="00AB55F8" w:rsidRDefault="00C931EF" w:rsidP="0030314F">
      <w:pPr>
        <w:jc w:val="both"/>
        <w:rPr>
          <w:sz w:val="28"/>
          <w:szCs w:val="28"/>
        </w:rPr>
      </w:pPr>
      <w:r w:rsidRPr="00AB55F8">
        <w:rPr>
          <w:sz w:val="28"/>
          <w:szCs w:val="28"/>
        </w:rPr>
        <w:t>David K. Byers</w:t>
      </w:r>
    </w:p>
    <w:p w:rsidR="00C931EF" w:rsidRPr="00AB55F8" w:rsidRDefault="00C931EF" w:rsidP="0030314F">
      <w:pPr>
        <w:jc w:val="both"/>
        <w:rPr>
          <w:sz w:val="28"/>
          <w:szCs w:val="28"/>
        </w:rPr>
      </w:pPr>
      <w:r w:rsidRPr="00AB55F8">
        <w:rPr>
          <w:sz w:val="28"/>
          <w:szCs w:val="28"/>
        </w:rPr>
        <w:t>Administrative Director</w:t>
      </w:r>
    </w:p>
    <w:p w:rsidR="00C931EF" w:rsidRPr="00AB55F8" w:rsidRDefault="00C931EF" w:rsidP="0030314F">
      <w:pPr>
        <w:jc w:val="both"/>
        <w:rPr>
          <w:sz w:val="28"/>
          <w:szCs w:val="28"/>
        </w:rPr>
      </w:pPr>
      <w:r w:rsidRPr="00AB55F8">
        <w:rPr>
          <w:sz w:val="28"/>
          <w:szCs w:val="28"/>
        </w:rPr>
        <w:t>Administrative Office of the Courts</w:t>
      </w:r>
    </w:p>
    <w:p w:rsidR="00C931EF" w:rsidRPr="00AB55F8" w:rsidRDefault="00C931EF" w:rsidP="0030314F">
      <w:pPr>
        <w:jc w:val="both"/>
        <w:rPr>
          <w:sz w:val="28"/>
          <w:szCs w:val="28"/>
        </w:rPr>
      </w:pPr>
      <w:r w:rsidRPr="00AB55F8">
        <w:rPr>
          <w:sz w:val="28"/>
          <w:szCs w:val="28"/>
        </w:rPr>
        <w:t>1501 W. Washington, Suite 411</w:t>
      </w:r>
    </w:p>
    <w:p w:rsidR="00C931EF" w:rsidRPr="00AB55F8" w:rsidRDefault="00C931EF" w:rsidP="0030314F">
      <w:pPr>
        <w:jc w:val="both"/>
        <w:rPr>
          <w:sz w:val="28"/>
          <w:szCs w:val="28"/>
        </w:rPr>
      </w:pPr>
      <w:r w:rsidRPr="00AB55F8">
        <w:rPr>
          <w:sz w:val="28"/>
          <w:szCs w:val="28"/>
        </w:rPr>
        <w:t>Phoenix, AZ  85007</w:t>
      </w:r>
    </w:p>
    <w:p w:rsidR="00C931EF" w:rsidRPr="00AB55F8" w:rsidRDefault="00C931EF" w:rsidP="0030314F">
      <w:pPr>
        <w:jc w:val="both"/>
        <w:rPr>
          <w:sz w:val="28"/>
          <w:szCs w:val="28"/>
        </w:rPr>
      </w:pPr>
      <w:r w:rsidRPr="00AB55F8">
        <w:rPr>
          <w:sz w:val="28"/>
          <w:szCs w:val="28"/>
        </w:rPr>
        <w:t>(602) 452-3301</w:t>
      </w:r>
    </w:p>
    <w:p w:rsidR="00C931EF" w:rsidRPr="00AB55F8" w:rsidRDefault="00C931EF" w:rsidP="0030314F">
      <w:pPr>
        <w:jc w:val="both"/>
        <w:rPr>
          <w:sz w:val="28"/>
          <w:szCs w:val="28"/>
        </w:rPr>
      </w:pPr>
      <w:r w:rsidRPr="00AB55F8">
        <w:rPr>
          <w:sz w:val="28"/>
          <w:szCs w:val="28"/>
        </w:rPr>
        <w:t>Projects2@courts.az.gov</w:t>
      </w:r>
    </w:p>
    <w:p w:rsidR="00AE5191" w:rsidRPr="00AB55F8" w:rsidRDefault="00AE5191" w:rsidP="0030314F">
      <w:pPr>
        <w:jc w:val="both"/>
        <w:rPr>
          <w:sz w:val="28"/>
          <w:szCs w:val="28"/>
        </w:rPr>
      </w:pPr>
    </w:p>
    <w:p w:rsidR="00C931EF" w:rsidRPr="00AB55F8" w:rsidRDefault="00C931EF" w:rsidP="00CA056F">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rsidR="000468C5" w:rsidRPr="00AE5191" w:rsidRDefault="00C931EF" w:rsidP="00CA056F">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rsidR="004226BE" w:rsidRDefault="004226BE" w:rsidP="0030314F">
      <w:pPr>
        <w:tabs>
          <w:tab w:val="left" w:pos="4320"/>
        </w:tabs>
        <w:jc w:val="both"/>
        <w:rPr>
          <w:sz w:val="28"/>
          <w:szCs w:val="28"/>
        </w:rPr>
      </w:pPr>
    </w:p>
    <w:p w:rsidR="00C931EF" w:rsidRDefault="00367ECD" w:rsidP="0030314F">
      <w:pPr>
        <w:tabs>
          <w:tab w:val="left" w:pos="4320"/>
        </w:tabs>
        <w:jc w:val="both"/>
        <w:rPr>
          <w:sz w:val="28"/>
          <w:szCs w:val="28"/>
        </w:rPr>
      </w:pPr>
      <w:r>
        <w:rPr>
          <w:sz w:val="28"/>
          <w:szCs w:val="28"/>
        </w:rPr>
        <w:t>In the Matter of</w:t>
      </w:r>
      <w:r w:rsidR="00893454">
        <w:rPr>
          <w:sz w:val="28"/>
          <w:szCs w:val="28"/>
        </w:rPr>
        <w:tab/>
        <w:t>)</w:t>
      </w:r>
    </w:p>
    <w:p w:rsidR="00F74766" w:rsidRDefault="00F74766" w:rsidP="0030314F">
      <w:pPr>
        <w:tabs>
          <w:tab w:val="left" w:pos="4320"/>
        </w:tabs>
        <w:jc w:val="both"/>
        <w:rPr>
          <w:sz w:val="28"/>
          <w:szCs w:val="28"/>
        </w:rPr>
      </w:pPr>
      <w:r>
        <w:rPr>
          <w:sz w:val="28"/>
          <w:szCs w:val="28"/>
        </w:rPr>
        <w:tab/>
        <w:t>)</w:t>
      </w:r>
    </w:p>
    <w:p w:rsidR="00893454" w:rsidRDefault="00893454" w:rsidP="0030314F">
      <w:pPr>
        <w:tabs>
          <w:tab w:val="left" w:pos="4320"/>
        </w:tabs>
        <w:jc w:val="both"/>
        <w:rPr>
          <w:sz w:val="28"/>
          <w:szCs w:val="28"/>
        </w:rPr>
      </w:pPr>
      <w:r>
        <w:rPr>
          <w:sz w:val="28"/>
          <w:szCs w:val="28"/>
        </w:rPr>
        <w:t xml:space="preserve">PETITION TO AMEND RULES </w:t>
      </w:r>
      <w:r>
        <w:rPr>
          <w:sz w:val="28"/>
          <w:szCs w:val="28"/>
        </w:rPr>
        <w:tab/>
        <w:t>)</w:t>
      </w:r>
    </w:p>
    <w:p w:rsidR="00367ECD" w:rsidRDefault="0003501A" w:rsidP="0030314F">
      <w:pPr>
        <w:tabs>
          <w:tab w:val="left" w:pos="4320"/>
        </w:tabs>
        <w:jc w:val="both"/>
        <w:rPr>
          <w:sz w:val="28"/>
          <w:szCs w:val="28"/>
        </w:rPr>
      </w:pPr>
      <w:r>
        <w:rPr>
          <w:sz w:val="28"/>
          <w:szCs w:val="28"/>
        </w:rPr>
        <w:t>24.3</w:t>
      </w:r>
      <w:r w:rsidR="00893454">
        <w:rPr>
          <w:sz w:val="28"/>
          <w:szCs w:val="28"/>
        </w:rPr>
        <w:t xml:space="preserve"> and </w:t>
      </w:r>
      <w:r>
        <w:rPr>
          <w:sz w:val="28"/>
          <w:szCs w:val="28"/>
        </w:rPr>
        <w:t>26.12</w:t>
      </w:r>
      <w:r w:rsidR="00893454">
        <w:rPr>
          <w:sz w:val="28"/>
          <w:szCs w:val="28"/>
        </w:rPr>
        <w:t xml:space="preserve"> </w:t>
      </w:r>
      <w:r w:rsidR="00A4421B">
        <w:rPr>
          <w:sz w:val="28"/>
          <w:szCs w:val="28"/>
        </w:rPr>
        <w:t>OF THE ARIZONA</w:t>
      </w:r>
      <w:r w:rsidR="00367ECD">
        <w:rPr>
          <w:sz w:val="28"/>
          <w:szCs w:val="28"/>
        </w:rPr>
        <w:tab/>
        <w:t>)</w:t>
      </w:r>
      <w:r w:rsidR="00367ECD">
        <w:rPr>
          <w:sz w:val="28"/>
          <w:szCs w:val="28"/>
        </w:rPr>
        <w:tab/>
        <w:t>Supreme Court No.</w:t>
      </w:r>
      <w:r w:rsidR="00F74766">
        <w:rPr>
          <w:sz w:val="28"/>
          <w:szCs w:val="28"/>
        </w:rPr>
        <w:t xml:space="preserve"> R-18-</w:t>
      </w:r>
      <w:r w:rsidR="00450FEA">
        <w:rPr>
          <w:sz w:val="28"/>
          <w:szCs w:val="28"/>
        </w:rPr>
        <w:t>0026</w:t>
      </w:r>
    </w:p>
    <w:p w:rsidR="00367ECD" w:rsidRDefault="004656AB" w:rsidP="0030314F">
      <w:pPr>
        <w:tabs>
          <w:tab w:val="left" w:pos="4320"/>
        </w:tabs>
        <w:jc w:val="both"/>
        <w:rPr>
          <w:sz w:val="28"/>
          <w:szCs w:val="28"/>
        </w:rPr>
      </w:pPr>
      <w:r>
        <w:rPr>
          <w:sz w:val="28"/>
          <w:szCs w:val="28"/>
        </w:rPr>
        <w:t>RULES OF</w:t>
      </w:r>
      <w:r w:rsidR="00A4421B">
        <w:rPr>
          <w:sz w:val="28"/>
          <w:szCs w:val="28"/>
        </w:rPr>
        <w:t xml:space="preserve"> CRIMINAL </w:t>
      </w:r>
      <w:r w:rsidR="00367ECD">
        <w:rPr>
          <w:sz w:val="28"/>
          <w:szCs w:val="28"/>
        </w:rPr>
        <w:tab/>
        <w:t>)</w:t>
      </w:r>
      <w:r w:rsidR="00367ECD">
        <w:rPr>
          <w:sz w:val="28"/>
          <w:szCs w:val="28"/>
        </w:rPr>
        <w:tab/>
      </w:r>
      <w:r w:rsidR="00450FEA">
        <w:rPr>
          <w:sz w:val="28"/>
          <w:szCs w:val="28"/>
        </w:rPr>
        <w:t>AMENDED PETITION</w:t>
      </w:r>
    </w:p>
    <w:p w:rsidR="00367ECD" w:rsidRDefault="004656AB" w:rsidP="0030314F">
      <w:pPr>
        <w:tabs>
          <w:tab w:val="left" w:pos="4320"/>
        </w:tabs>
        <w:jc w:val="both"/>
        <w:rPr>
          <w:sz w:val="28"/>
          <w:szCs w:val="28"/>
        </w:rPr>
      </w:pPr>
      <w:r>
        <w:rPr>
          <w:sz w:val="28"/>
          <w:szCs w:val="28"/>
        </w:rPr>
        <w:t>PROCEDURE</w:t>
      </w:r>
      <w:r w:rsidR="00B035E2">
        <w:rPr>
          <w:sz w:val="28"/>
          <w:szCs w:val="28"/>
        </w:rPr>
        <w:t xml:space="preserve">; AND RULE </w:t>
      </w:r>
      <w:r w:rsidR="00530DC6">
        <w:rPr>
          <w:sz w:val="28"/>
          <w:szCs w:val="28"/>
        </w:rPr>
        <w:t>24.1</w:t>
      </w:r>
      <w:r w:rsidR="00367ECD">
        <w:rPr>
          <w:sz w:val="28"/>
          <w:szCs w:val="28"/>
        </w:rPr>
        <w:tab/>
        <w:t>)</w:t>
      </w:r>
    </w:p>
    <w:p w:rsidR="00B035E2" w:rsidRDefault="00B035E2" w:rsidP="0030314F">
      <w:pPr>
        <w:tabs>
          <w:tab w:val="left" w:pos="4320"/>
        </w:tabs>
        <w:jc w:val="both"/>
        <w:rPr>
          <w:sz w:val="28"/>
          <w:szCs w:val="28"/>
        </w:rPr>
      </w:pPr>
      <w:r>
        <w:rPr>
          <w:sz w:val="28"/>
          <w:szCs w:val="28"/>
        </w:rPr>
        <w:t>RULES OF COURT PROCEDURE</w:t>
      </w:r>
      <w:r>
        <w:rPr>
          <w:sz w:val="28"/>
          <w:szCs w:val="28"/>
        </w:rPr>
        <w:tab/>
        <w:t>)</w:t>
      </w:r>
      <w:r w:rsidR="00401A03">
        <w:rPr>
          <w:sz w:val="28"/>
          <w:szCs w:val="28"/>
        </w:rPr>
        <w:tab/>
      </w:r>
      <w:r w:rsidR="00401A03">
        <w:rPr>
          <w:sz w:val="28"/>
          <w:szCs w:val="28"/>
        </w:rPr>
        <w:tab/>
      </w:r>
    </w:p>
    <w:p w:rsidR="00B035E2" w:rsidRDefault="00B035E2" w:rsidP="0030314F">
      <w:pPr>
        <w:tabs>
          <w:tab w:val="left" w:pos="4320"/>
        </w:tabs>
        <w:jc w:val="both"/>
        <w:rPr>
          <w:sz w:val="28"/>
          <w:szCs w:val="28"/>
        </w:rPr>
      </w:pPr>
      <w:r>
        <w:rPr>
          <w:sz w:val="28"/>
          <w:szCs w:val="28"/>
        </w:rPr>
        <w:t>FOR CIVIL TRAFFIC AND CIVIL</w:t>
      </w:r>
      <w:r>
        <w:rPr>
          <w:sz w:val="28"/>
          <w:szCs w:val="28"/>
        </w:rPr>
        <w:tab/>
        <w:t>)</w:t>
      </w:r>
    </w:p>
    <w:p w:rsidR="00B035E2" w:rsidRDefault="00B035E2" w:rsidP="0030314F">
      <w:pPr>
        <w:tabs>
          <w:tab w:val="left" w:pos="4320"/>
        </w:tabs>
        <w:jc w:val="both"/>
        <w:rPr>
          <w:sz w:val="28"/>
          <w:szCs w:val="28"/>
        </w:rPr>
      </w:pPr>
      <w:r>
        <w:rPr>
          <w:sz w:val="28"/>
          <w:szCs w:val="28"/>
        </w:rPr>
        <w:t>BOATING VIOLATIONS</w:t>
      </w:r>
      <w:r>
        <w:rPr>
          <w:sz w:val="28"/>
          <w:szCs w:val="28"/>
        </w:rPr>
        <w:tab/>
        <w:t>)</w:t>
      </w:r>
    </w:p>
    <w:p w:rsidR="002F6CDD" w:rsidRDefault="00663DE0" w:rsidP="0030314F">
      <w:pPr>
        <w:tabs>
          <w:tab w:val="left" w:pos="4320"/>
        </w:tabs>
        <w:jc w:val="both"/>
        <w:rPr>
          <w:sz w:val="28"/>
          <w:szCs w:val="28"/>
        </w:rPr>
      </w:pPr>
      <w:r>
        <w:rPr>
          <w:sz w:val="28"/>
          <w:szCs w:val="28"/>
        </w:rPr>
        <w:t xml:space="preserve">______________________________  </w:t>
      </w:r>
      <w:r w:rsidR="002F6CDD">
        <w:rPr>
          <w:sz w:val="28"/>
          <w:szCs w:val="28"/>
        </w:rPr>
        <w:t>)</w:t>
      </w:r>
    </w:p>
    <w:p w:rsidR="00367ECD" w:rsidRDefault="00367ECD" w:rsidP="0030314F">
      <w:pPr>
        <w:tabs>
          <w:tab w:val="left" w:pos="4320"/>
        </w:tabs>
        <w:jc w:val="both"/>
        <w:rPr>
          <w:sz w:val="28"/>
          <w:szCs w:val="28"/>
        </w:rPr>
      </w:pPr>
    </w:p>
    <w:p w:rsidR="00766541" w:rsidRPr="00AB55F8" w:rsidRDefault="00766541" w:rsidP="0030314F">
      <w:pPr>
        <w:tabs>
          <w:tab w:val="left" w:pos="4320"/>
        </w:tabs>
        <w:jc w:val="both"/>
        <w:rPr>
          <w:sz w:val="28"/>
          <w:szCs w:val="28"/>
        </w:rPr>
      </w:pPr>
    </w:p>
    <w:p w:rsidR="006C0C5A" w:rsidRDefault="00C931EF" w:rsidP="0030314F">
      <w:pPr>
        <w:spacing w:line="480" w:lineRule="auto"/>
        <w:ind w:firstLine="720"/>
        <w:jc w:val="both"/>
        <w:rPr>
          <w:sz w:val="28"/>
          <w:szCs w:val="28"/>
        </w:rPr>
      </w:pPr>
      <w:r>
        <w:rPr>
          <w:sz w:val="28"/>
          <w:szCs w:val="28"/>
        </w:rPr>
        <w:t xml:space="preserve">Pursuant to Rule 28 of the Arizona Supreme Court, David K. Byers, Administrative Director, Administrative Office of the Courts, </w:t>
      </w:r>
      <w:r w:rsidR="00367ECD">
        <w:rPr>
          <w:sz w:val="28"/>
          <w:szCs w:val="28"/>
        </w:rPr>
        <w:t xml:space="preserve">and Chair of the Supreme Court Task Force on Fair Justice for All: </w:t>
      </w:r>
      <w:r w:rsidR="00766541">
        <w:rPr>
          <w:sz w:val="28"/>
          <w:szCs w:val="28"/>
        </w:rPr>
        <w:t xml:space="preserve"> </w:t>
      </w:r>
      <w:r w:rsidR="00367ECD">
        <w:rPr>
          <w:sz w:val="28"/>
          <w:szCs w:val="28"/>
        </w:rPr>
        <w:t>Court-Ordered Fines, Penalties, Fees, and Pretrial Release Policies (“</w:t>
      </w:r>
      <w:r w:rsidR="004A1C5F">
        <w:rPr>
          <w:sz w:val="28"/>
          <w:szCs w:val="28"/>
        </w:rPr>
        <w:t xml:space="preserve">the </w:t>
      </w:r>
      <w:r w:rsidR="00367ECD">
        <w:rPr>
          <w:sz w:val="28"/>
          <w:szCs w:val="28"/>
        </w:rPr>
        <w:t xml:space="preserve">Task Force”) </w:t>
      </w:r>
      <w:r>
        <w:rPr>
          <w:sz w:val="28"/>
          <w:szCs w:val="28"/>
        </w:rPr>
        <w:t xml:space="preserve">respectfully </w:t>
      </w:r>
      <w:r w:rsidR="002509A6">
        <w:rPr>
          <w:sz w:val="28"/>
          <w:szCs w:val="28"/>
        </w:rPr>
        <w:t>submits this Amended P</w:t>
      </w:r>
      <w:r>
        <w:rPr>
          <w:sz w:val="28"/>
          <w:szCs w:val="28"/>
        </w:rPr>
        <w:t xml:space="preserve">etition to amend </w:t>
      </w:r>
      <w:r w:rsidR="00D33F38">
        <w:rPr>
          <w:sz w:val="28"/>
          <w:szCs w:val="28"/>
        </w:rPr>
        <w:t>Rule</w:t>
      </w:r>
      <w:r w:rsidR="00234868">
        <w:rPr>
          <w:sz w:val="28"/>
          <w:szCs w:val="28"/>
        </w:rPr>
        <w:t xml:space="preserve">s </w:t>
      </w:r>
      <w:r w:rsidR="0003501A">
        <w:rPr>
          <w:sz w:val="28"/>
          <w:szCs w:val="28"/>
        </w:rPr>
        <w:t>24.3</w:t>
      </w:r>
      <w:r w:rsidR="00893454">
        <w:rPr>
          <w:sz w:val="28"/>
          <w:szCs w:val="28"/>
        </w:rPr>
        <w:t xml:space="preserve"> and </w:t>
      </w:r>
      <w:r w:rsidR="0003501A">
        <w:rPr>
          <w:sz w:val="28"/>
          <w:szCs w:val="28"/>
        </w:rPr>
        <w:t>26.12</w:t>
      </w:r>
      <w:r w:rsidR="00893454">
        <w:rPr>
          <w:sz w:val="28"/>
          <w:szCs w:val="28"/>
        </w:rPr>
        <w:t xml:space="preserve"> of</w:t>
      </w:r>
      <w:r w:rsidR="00367ECD">
        <w:rPr>
          <w:sz w:val="28"/>
          <w:szCs w:val="28"/>
        </w:rPr>
        <w:t xml:space="preserve"> </w:t>
      </w:r>
      <w:r w:rsidR="004656AB">
        <w:rPr>
          <w:sz w:val="28"/>
          <w:szCs w:val="28"/>
        </w:rPr>
        <w:t>the Rules of Criminal Procedure</w:t>
      </w:r>
      <w:r w:rsidR="00B035E2">
        <w:rPr>
          <w:sz w:val="28"/>
          <w:szCs w:val="28"/>
        </w:rPr>
        <w:t xml:space="preserve"> and </w:t>
      </w:r>
      <w:r w:rsidR="0030314F">
        <w:rPr>
          <w:sz w:val="28"/>
          <w:szCs w:val="28"/>
        </w:rPr>
        <w:t xml:space="preserve">to add a new </w:t>
      </w:r>
      <w:r w:rsidR="00B035E2">
        <w:rPr>
          <w:sz w:val="28"/>
          <w:szCs w:val="28"/>
        </w:rPr>
        <w:t xml:space="preserve">Rule </w:t>
      </w:r>
      <w:r w:rsidR="0030314F">
        <w:rPr>
          <w:sz w:val="28"/>
          <w:szCs w:val="28"/>
        </w:rPr>
        <w:t>24.1</w:t>
      </w:r>
      <w:r w:rsidR="00B035E2">
        <w:rPr>
          <w:sz w:val="28"/>
          <w:szCs w:val="28"/>
        </w:rPr>
        <w:t xml:space="preserve"> </w:t>
      </w:r>
      <w:r w:rsidR="0030314F">
        <w:rPr>
          <w:sz w:val="28"/>
          <w:szCs w:val="28"/>
        </w:rPr>
        <w:t>to</w:t>
      </w:r>
      <w:r w:rsidR="00B035E2">
        <w:rPr>
          <w:sz w:val="28"/>
          <w:szCs w:val="28"/>
        </w:rPr>
        <w:t xml:space="preserve"> the Rules of Court Procedure for Civil Traffic and Civil Boating Violations</w:t>
      </w:r>
      <w:r w:rsidR="00234868">
        <w:rPr>
          <w:sz w:val="28"/>
          <w:szCs w:val="28"/>
        </w:rPr>
        <w:t>.</w:t>
      </w:r>
      <w:r w:rsidR="004C0AE1">
        <w:rPr>
          <w:sz w:val="28"/>
          <w:szCs w:val="28"/>
        </w:rPr>
        <w:t xml:space="preserve">  The </w:t>
      </w:r>
      <w:r w:rsidR="00FE5979">
        <w:rPr>
          <w:sz w:val="28"/>
          <w:szCs w:val="28"/>
        </w:rPr>
        <w:t xml:space="preserve">amended proposed </w:t>
      </w:r>
      <w:r w:rsidR="0030314F">
        <w:rPr>
          <w:sz w:val="28"/>
          <w:szCs w:val="28"/>
        </w:rPr>
        <w:t>rule changes</w:t>
      </w:r>
      <w:r w:rsidR="004C0AE1">
        <w:rPr>
          <w:sz w:val="28"/>
          <w:szCs w:val="28"/>
        </w:rPr>
        <w:t xml:space="preserve"> are set forth in Appendix A.</w:t>
      </w:r>
    </w:p>
    <w:p w:rsidR="00BE3FE9" w:rsidRDefault="00234868" w:rsidP="0030314F">
      <w:pPr>
        <w:spacing w:line="480" w:lineRule="auto"/>
        <w:ind w:firstLine="720"/>
        <w:jc w:val="both"/>
        <w:rPr>
          <w:sz w:val="28"/>
          <w:szCs w:val="28"/>
        </w:rPr>
      </w:pPr>
      <w:r>
        <w:rPr>
          <w:sz w:val="28"/>
          <w:szCs w:val="28"/>
        </w:rPr>
        <w:t xml:space="preserve"> </w:t>
      </w:r>
      <w:r w:rsidR="00766541">
        <w:rPr>
          <w:sz w:val="28"/>
          <w:szCs w:val="28"/>
        </w:rPr>
        <w:t xml:space="preserve"> </w:t>
      </w:r>
      <w:r w:rsidR="005C375F">
        <w:rPr>
          <w:sz w:val="28"/>
          <w:szCs w:val="28"/>
        </w:rPr>
        <w:t>T</w:t>
      </w:r>
      <w:r w:rsidR="00FE5979">
        <w:rPr>
          <w:sz w:val="28"/>
          <w:szCs w:val="28"/>
        </w:rPr>
        <w:t>h</w:t>
      </w:r>
      <w:r w:rsidR="005C375F">
        <w:rPr>
          <w:sz w:val="28"/>
          <w:szCs w:val="28"/>
        </w:rPr>
        <w:t>is</w:t>
      </w:r>
      <w:r w:rsidR="00FE5979">
        <w:rPr>
          <w:sz w:val="28"/>
          <w:szCs w:val="28"/>
        </w:rPr>
        <w:t xml:space="preserve"> amended petition propose</w:t>
      </w:r>
      <w:r w:rsidR="005C375F">
        <w:rPr>
          <w:sz w:val="28"/>
          <w:szCs w:val="28"/>
        </w:rPr>
        <w:t>s</w:t>
      </w:r>
      <w:r w:rsidR="00FE5979">
        <w:rPr>
          <w:sz w:val="28"/>
          <w:szCs w:val="28"/>
        </w:rPr>
        <w:t xml:space="preserve"> some modifi</w:t>
      </w:r>
      <w:r w:rsidR="00BE3FE9">
        <w:rPr>
          <w:sz w:val="28"/>
          <w:szCs w:val="28"/>
        </w:rPr>
        <w:t>cations to new</w:t>
      </w:r>
      <w:r w:rsidR="00FE5979">
        <w:rPr>
          <w:sz w:val="28"/>
          <w:szCs w:val="28"/>
        </w:rPr>
        <w:t xml:space="preserve"> language </w:t>
      </w:r>
      <w:r w:rsidR="00BE3FE9">
        <w:rPr>
          <w:sz w:val="28"/>
          <w:szCs w:val="28"/>
        </w:rPr>
        <w:t>in</w:t>
      </w:r>
      <w:r w:rsidR="00FE5979">
        <w:rPr>
          <w:sz w:val="28"/>
          <w:szCs w:val="28"/>
        </w:rPr>
        <w:t xml:space="preserve"> </w:t>
      </w:r>
      <w:r w:rsidR="00FE5979">
        <w:rPr>
          <w:sz w:val="28"/>
          <w:szCs w:val="28"/>
        </w:rPr>
        <w:lastRenderedPageBreak/>
        <w:t>Criminal Rule 24.3 and Civil Traffic and Civil Boating Rule 24.1</w:t>
      </w:r>
      <w:r w:rsidR="00BE3FE9">
        <w:rPr>
          <w:sz w:val="28"/>
          <w:szCs w:val="28"/>
        </w:rPr>
        <w:t xml:space="preserve"> </w:t>
      </w:r>
      <w:r w:rsidR="005C375F">
        <w:rPr>
          <w:sz w:val="28"/>
          <w:szCs w:val="28"/>
        </w:rPr>
        <w:t>for purposes of clarification.</w:t>
      </w:r>
      <w:r w:rsidR="00FE5979">
        <w:rPr>
          <w:sz w:val="28"/>
          <w:szCs w:val="28"/>
        </w:rPr>
        <w:t xml:space="preserve">  </w:t>
      </w:r>
    </w:p>
    <w:p w:rsidR="00BE3FE9" w:rsidRPr="00BE3FE9" w:rsidRDefault="00FE5979" w:rsidP="00CF5830">
      <w:pPr>
        <w:spacing w:line="480" w:lineRule="auto"/>
        <w:ind w:firstLine="720"/>
        <w:jc w:val="both"/>
        <w:rPr>
          <w:rFonts w:ascii="Arial" w:hAnsi="Arial" w:cs="Arial"/>
        </w:rPr>
      </w:pPr>
      <w:r>
        <w:rPr>
          <w:sz w:val="28"/>
          <w:szCs w:val="28"/>
        </w:rPr>
        <w:t>Th</w:t>
      </w:r>
      <w:r w:rsidR="00401A03">
        <w:rPr>
          <w:sz w:val="28"/>
          <w:szCs w:val="28"/>
        </w:rPr>
        <w:t>is</w:t>
      </w:r>
      <w:r>
        <w:rPr>
          <w:sz w:val="28"/>
          <w:szCs w:val="28"/>
        </w:rPr>
        <w:t xml:space="preserve"> </w:t>
      </w:r>
      <w:r w:rsidR="00BE3FE9">
        <w:rPr>
          <w:sz w:val="28"/>
          <w:szCs w:val="28"/>
        </w:rPr>
        <w:t xml:space="preserve">amended petition also </w:t>
      </w:r>
      <w:r w:rsidR="00401A03">
        <w:rPr>
          <w:sz w:val="28"/>
          <w:szCs w:val="28"/>
        </w:rPr>
        <w:t xml:space="preserve">modifies </w:t>
      </w:r>
      <w:r w:rsidR="00BE3FE9">
        <w:rPr>
          <w:sz w:val="28"/>
          <w:szCs w:val="28"/>
        </w:rPr>
        <w:t xml:space="preserve">the </w:t>
      </w:r>
      <w:r w:rsidR="005C375F">
        <w:rPr>
          <w:sz w:val="28"/>
          <w:szCs w:val="28"/>
        </w:rPr>
        <w:t xml:space="preserve">proposed </w:t>
      </w:r>
      <w:r>
        <w:rPr>
          <w:sz w:val="28"/>
          <w:szCs w:val="28"/>
        </w:rPr>
        <w:t xml:space="preserve">new language in Criminal Rule 26.12 to </w:t>
      </w:r>
      <w:r w:rsidR="005C375F">
        <w:rPr>
          <w:sz w:val="28"/>
          <w:szCs w:val="28"/>
        </w:rPr>
        <w:t xml:space="preserve">better </w:t>
      </w:r>
      <w:r>
        <w:rPr>
          <w:sz w:val="28"/>
          <w:szCs w:val="28"/>
        </w:rPr>
        <w:t xml:space="preserve">inform judges that certain types of income </w:t>
      </w:r>
      <w:r w:rsidR="00401A03">
        <w:rPr>
          <w:sz w:val="28"/>
          <w:szCs w:val="28"/>
        </w:rPr>
        <w:t>are</w:t>
      </w:r>
      <w:r>
        <w:rPr>
          <w:sz w:val="28"/>
          <w:szCs w:val="28"/>
        </w:rPr>
        <w:t xml:space="preserve"> not subject to </w:t>
      </w:r>
      <w:r w:rsidR="005C375F">
        <w:rPr>
          <w:sz w:val="28"/>
          <w:szCs w:val="28"/>
        </w:rPr>
        <w:t xml:space="preserve">execution via </w:t>
      </w:r>
      <w:r>
        <w:rPr>
          <w:sz w:val="28"/>
          <w:szCs w:val="28"/>
        </w:rPr>
        <w:t xml:space="preserve">attachment, garnishment, or other court processes under state and federal law.  </w:t>
      </w:r>
      <w:r w:rsidR="00402283" w:rsidRPr="00402283">
        <w:rPr>
          <w:sz w:val="28"/>
          <w:szCs w:val="28"/>
        </w:rPr>
        <w:t xml:space="preserve">Under 42 U.S.C. § 407, Social Security income “shall not be transferrable or assignable, at law or in equity,” nor can it be “subject to execution, levy, attachment, garnishment, or other legal process, or to the operation of any bankruptcy or insolvency law.” Under 38 U.S.C. § 5301, </w:t>
      </w:r>
      <w:r w:rsidR="001C5011">
        <w:rPr>
          <w:sz w:val="28"/>
          <w:szCs w:val="28"/>
        </w:rPr>
        <w:t>v</w:t>
      </w:r>
      <w:r w:rsidR="00402283" w:rsidRPr="00402283">
        <w:rPr>
          <w:sz w:val="28"/>
          <w:szCs w:val="28"/>
        </w:rPr>
        <w:t xml:space="preserve">eterans </w:t>
      </w:r>
      <w:r w:rsidR="001C5011">
        <w:rPr>
          <w:sz w:val="28"/>
          <w:szCs w:val="28"/>
        </w:rPr>
        <w:t>disability b</w:t>
      </w:r>
      <w:r w:rsidR="00402283" w:rsidRPr="00402283">
        <w:rPr>
          <w:sz w:val="28"/>
          <w:szCs w:val="28"/>
        </w:rPr>
        <w:t xml:space="preserve">enefits may not be subject to “attachment, levy, or seizure by or under any legal or equitable process.” Under A.R.S. § 46-208, any benefits from Temporary Assistance for Needy Families are not “transferable or assignable at law or in equity,” and are not “subject to execution, levy, attachment, garnishment or other legal process, or to the operation of any bankruptcy or insolvency law.” </w:t>
      </w:r>
      <w:r w:rsidR="00CF5830" w:rsidRPr="00CF5830">
        <w:rPr>
          <w:sz w:val="28"/>
          <w:szCs w:val="28"/>
        </w:rPr>
        <w:t xml:space="preserve">The threat or use of judicial process, including revocation of probation, to collect </w:t>
      </w:r>
      <w:r w:rsidR="001C5011">
        <w:rPr>
          <w:sz w:val="28"/>
          <w:szCs w:val="28"/>
        </w:rPr>
        <w:t>fines,</w:t>
      </w:r>
      <w:r w:rsidR="00CF5830" w:rsidRPr="00CF5830">
        <w:rPr>
          <w:sz w:val="28"/>
          <w:szCs w:val="28"/>
        </w:rPr>
        <w:t xml:space="preserve"> fees</w:t>
      </w:r>
      <w:r w:rsidR="001C5011">
        <w:rPr>
          <w:sz w:val="28"/>
          <w:szCs w:val="28"/>
        </w:rPr>
        <w:t>, and even restitution</w:t>
      </w:r>
      <w:r w:rsidR="00CF5830" w:rsidRPr="00CF5830">
        <w:rPr>
          <w:sz w:val="28"/>
          <w:szCs w:val="28"/>
        </w:rPr>
        <w:t xml:space="preserve"> likely falls within the definition of a “legal process” under </w:t>
      </w:r>
      <w:r w:rsidR="001C5011">
        <w:rPr>
          <w:sz w:val="28"/>
          <w:szCs w:val="28"/>
        </w:rPr>
        <w:t>42 U.S.C. §</w:t>
      </w:r>
      <w:r w:rsidR="00CF5830" w:rsidRPr="00CF5830">
        <w:rPr>
          <w:sz w:val="28"/>
          <w:szCs w:val="28"/>
        </w:rPr>
        <w:t xml:space="preserve">407, </w:t>
      </w:r>
      <w:r w:rsidR="001C5011">
        <w:rPr>
          <w:sz w:val="28"/>
          <w:szCs w:val="28"/>
        </w:rPr>
        <w:t xml:space="preserve">38 U.S.C. § </w:t>
      </w:r>
      <w:r w:rsidR="00CF5830" w:rsidRPr="00CF5830">
        <w:rPr>
          <w:sz w:val="28"/>
          <w:szCs w:val="28"/>
        </w:rPr>
        <w:t xml:space="preserve">5301, and </w:t>
      </w:r>
      <w:r w:rsidR="001C5011">
        <w:rPr>
          <w:sz w:val="28"/>
          <w:szCs w:val="28"/>
        </w:rPr>
        <w:t xml:space="preserve">A.R.S. § </w:t>
      </w:r>
      <w:r w:rsidR="00CF5830" w:rsidRPr="00CF5830">
        <w:rPr>
          <w:sz w:val="28"/>
          <w:szCs w:val="28"/>
        </w:rPr>
        <w:t xml:space="preserve">46-208. Congress intended the words “other legal process” to mean any process like execution, attachment, garnishment, or levy.  This definition has been expanded to include express or implied threats to collect, as well as use of formal legal machinery, such as civil contempt or the threat of probation revocation </w:t>
      </w:r>
      <w:r w:rsidR="00CF5830" w:rsidRPr="00CF5830">
        <w:rPr>
          <w:sz w:val="28"/>
          <w:szCs w:val="28"/>
        </w:rPr>
        <w:lastRenderedPageBreak/>
        <w:t xml:space="preserve">proceedings.  </w:t>
      </w:r>
      <w:bookmarkStart w:id="0" w:name="dabmci_54a07934bb394dc3a729f766a30169ad"/>
      <w:r w:rsidR="00E60461" w:rsidRPr="00E60461">
        <w:rPr>
          <w:i/>
          <w:sz w:val="28"/>
          <w:szCs w:val="28"/>
        </w:rPr>
        <w:t>See, e.g.</w:t>
      </w:r>
      <w:r w:rsidR="00E60461">
        <w:rPr>
          <w:sz w:val="28"/>
          <w:szCs w:val="28"/>
        </w:rPr>
        <w:t xml:space="preserve">, </w:t>
      </w:r>
      <w:r w:rsidR="00DA1FDF" w:rsidRPr="001C5011">
        <w:rPr>
          <w:i/>
          <w:sz w:val="28"/>
          <w:szCs w:val="28"/>
        </w:rPr>
        <w:t>Bennett v. Arkansas</w:t>
      </w:r>
      <w:r w:rsidR="00DA1FDF" w:rsidRPr="001C5011">
        <w:rPr>
          <w:sz w:val="28"/>
          <w:szCs w:val="28"/>
        </w:rPr>
        <w:t xml:space="preserve">, 108 </w:t>
      </w:r>
      <w:proofErr w:type="spellStart"/>
      <w:r w:rsidR="00DA1FDF" w:rsidRPr="001C5011">
        <w:rPr>
          <w:sz w:val="28"/>
          <w:szCs w:val="28"/>
        </w:rPr>
        <w:t>S.Ct</w:t>
      </w:r>
      <w:proofErr w:type="spellEnd"/>
      <w:r w:rsidR="00DA1FDF" w:rsidRPr="001C5011">
        <w:rPr>
          <w:sz w:val="28"/>
          <w:szCs w:val="28"/>
        </w:rPr>
        <w:t xml:space="preserve">. 1204 (1988)(Social Security and veterans disability benefits exempt from execution to reimburse state for costs of housing recipients in prison); </w:t>
      </w:r>
      <w:bookmarkEnd w:id="0"/>
      <w:r w:rsidR="001C5011" w:rsidRPr="001C5011">
        <w:rPr>
          <w:i/>
          <w:sz w:val="28"/>
          <w:szCs w:val="28"/>
          <w:u w:val="single"/>
        </w:rPr>
        <w:t xml:space="preserve">State v. </w:t>
      </w:r>
      <w:proofErr w:type="spellStart"/>
      <w:r w:rsidR="001C5011" w:rsidRPr="001C5011">
        <w:rPr>
          <w:i/>
          <w:sz w:val="28"/>
          <w:szCs w:val="28"/>
          <w:u w:val="single"/>
        </w:rPr>
        <w:t>Catling</w:t>
      </w:r>
      <w:proofErr w:type="spellEnd"/>
      <w:r w:rsidR="001C5011" w:rsidRPr="001C5011">
        <w:rPr>
          <w:sz w:val="28"/>
          <w:szCs w:val="28"/>
        </w:rPr>
        <w:t>, 2 Wash App. 2d 819, 413 P.3d 27 (Wash. Ct. App. 2018)</w:t>
      </w:r>
      <w:r w:rsidR="00DA1FDF" w:rsidRPr="001C5011">
        <w:rPr>
          <w:sz w:val="28"/>
          <w:szCs w:val="28"/>
        </w:rPr>
        <w:t>(</w:t>
      </w:r>
      <w:r w:rsidR="001C5011" w:rsidRPr="001C5011">
        <w:rPr>
          <w:sz w:val="28"/>
          <w:szCs w:val="28"/>
        </w:rPr>
        <w:t>court cannot compel defendant to pay his fine from SSDI)</w:t>
      </w:r>
      <w:r w:rsidR="00DA1FDF" w:rsidRPr="001C5011">
        <w:rPr>
          <w:sz w:val="28"/>
          <w:szCs w:val="28"/>
        </w:rPr>
        <w:t xml:space="preserve">;  </w:t>
      </w:r>
      <w:bookmarkStart w:id="1" w:name="dabmci_8235e5a8f41349d5a72672ad176deab0"/>
      <w:r w:rsidR="00DA1FDF" w:rsidRPr="001C5011">
        <w:rPr>
          <w:sz w:val="28"/>
          <w:szCs w:val="28"/>
        </w:rPr>
        <w:fldChar w:fldCharType="begin"/>
      </w:r>
      <w:r w:rsidR="00DA1FDF" w:rsidRPr="001C5011">
        <w:rPr>
          <w:sz w:val="28"/>
          <w:szCs w:val="28"/>
        </w:rPr>
        <w:instrText xml:space="preserve"> HYPERLINK "https://www.westlaw.com/Document/I032cea4a198411e4b86bd602cb8781fa/View/FullText.html?transitionType=Default&amp;contextData=(sc.Default)&amp;VR=3.0&amp;RS=da3.0&amp;fragmentIdentifier=co_pp_sp_543_244" </w:instrText>
      </w:r>
      <w:r w:rsidR="00DA1FDF" w:rsidRPr="001C5011">
        <w:rPr>
          <w:sz w:val="28"/>
          <w:szCs w:val="28"/>
        </w:rPr>
        <w:fldChar w:fldCharType="separate"/>
      </w:r>
      <w:r w:rsidR="00DA1FDF" w:rsidRPr="001C5011">
        <w:rPr>
          <w:i/>
          <w:sz w:val="28"/>
          <w:szCs w:val="28"/>
        </w:rPr>
        <w:t xml:space="preserve">In re </w:t>
      </w:r>
      <w:proofErr w:type="spellStart"/>
      <w:r w:rsidR="00DA1FDF" w:rsidRPr="001C5011">
        <w:rPr>
          <w:i/>
          <w:sz w:val="28"/>
          <w:szCs w:val="28"/>
        </w:rPr>
        <w:t>Lampart</w:t>
      </w:r>
      <w:proofErr w:type="spellEnd"/>
      <w:r w:rsidR="00DA1FDF" w:rsidRPr="001C5011">
        <w:rPr>
          <w:sz w:val="28"/>
          <w:szCs w:val="28"/>
        </w:rPr>
        <w:t>, 306 Mich. App. 226, 856 N.W.2d 1922 (2014)</w:t>
      </w:r>
      <w:r w:rsidR="00DA1FDF" w:rsidRPr="001C5011">
        <w:rPr>
          <w:sz w:val="28"/>
          <w:szCs w:val="28"/>
        </w:rPr>
        <w:fldChar w:fldCharType="end"/>
      </w:r>
      <w:bookmarkEnd w:id="1"/>
      <w:r w:rsidR="00DA1FDF" w:rsidRPr="001C5011">
        <w:rPr>
          <w:sz w:val="28"/>
          <w:szCs w:val="28"/>
        </w:rPr>
        <w:t>(</w:t>
      </w:r>
      <w:r w:rsidR="001C5011" w:rsidRPr="001C5011">
        <w:rPr>
          <w:sz w:val="28"/>
          <w:szCs w:val="28"/>
        </w:rPr>
        <w:t>court cannot compel defendant to pay fine or restitution from either</w:t>
      </w:r>
      <w:r w:rsidR="00DA1FDF" w:rsidRPr="001C5011">
        <w:rPr>
          <w:sz w:val="28"/>
          <w:szCs w:val="28"/>
        </w:rPr>
        <w:t xml:space="preserve"> SSI or SSDI)</w:t>
      </w:r>
      <w:r w:rsidR="001C5011" w:rsidRPr="001C5011">
        <w:rPr>
          <w:sz w:val="28"/>
          <w:szCs w:val="28"/>
        </w:rPr>
        <w:t>.</w:t>
      </w:r>
      <w:r w:rsidR="00DA1FDF" w:rsidRPr="001C5011">
        <w:rPr>
          <w:sz w:val="28"/>
          <w:szCs w:val="28"/>
        </w:rPr>
        <w:t xml:space="preserve"> </w:t>
      </w:r>
      <w:r w:rsidRPr="001C5011">
        <w:rPr>
          <w:sz w:val="28"/>
          <w:szCs w:val="28"/>
        </w:rPr>
        <w:t>Consequently, judges should be aware of these limitations when considering whether a debtor has willfully failed to pay a court-ordered monetary obligation.</w:t>
      </w:r>
      <w:r w:rsidR="00BE3FE9" w:rsidRPr="001C5011">
        <w:rPr>
          <w:sz w:val="28"/>
          <w:szCs w:val="28"/>
        </w:rPr>
        <w:t xml:space="preserve">  </w:t>
      </w:r>
      <w:r w:rsidR="005C375F">
        <w:rPr>
          <w:sz w:val="28"/>
          <w:szCs w:val="28"/>
        </w:rPr>
        <w:t>T</w:t>
      </w:r>
      <w:r w:rsidR="00BE3FE9">
        <w:rPr>
          <w:sz w:val="28"/>
          <w:szCs w:val="28"/>
        </w:rPr>
        <w:t xml:space="preserve">he Court may wish to add a </w:t>
      </w:r>
      <w:r w:rsidR="005C375F">
        <w:rPr>
          <w:sz w:val="28"/>
          <w:szCs w:val="28"/>
        </w:rPr>
        <w:t>C</w:t>
      </w:r>
      <w:r w:rsidR="00BE3FE9">
        <w:rPr>
          <w:sz w:val="28"/>
          <w:szCs w:val="28"/>
        </w:rPr>
        <w:t xml:space="preserve">omment to </w:t>
      </w:r>
      <w:r w:rsidR="005C375F">
        <w:rPr>
          <w:sz w:val="28"/>
          <w:szCs w:val="28"/>
        </w:rPr>
        <w:t>R</w:t>
      </w:r>
      <w:r w:rsidR="00BE3FE9">
        <w:rPr>
          <w:sz w:val="28"/>
          <w:szCs w:val="28"/>
        </w:rPr>
        <w:t xml:space="preserve">ule </w:t>
      </w:r>
      <w:r w:rsidR="005C375F">
        <w:rPr>
          <w:sz w:val="28"/>
          <w:szCs w:val="28"/>
        </w:rPr>
        <w:t xml:space="preserve">26.12 </w:t>
      </w:r>
      <w:r w:rsidR="003B42A4">
        <w:rPr>
          <w:sz w:val="28"/>
          <w:szCs w:val="28"/>
        </w:rPr>
        <w:t>that provides citations to the</w:t>
      </w:r>
      <w:r w:rsidR="00BE3FE9">
        <w:rPr>
          <w:sz w:val="28"/>
          <w:szCs w:val="28"/>
        </w:rPr>
        <w:t xml:space="preserve"> federal and state law</w:t>
      </w:r>
      <w:r w:rsidR="001C5011">
        <w:rPr>
          <w:sz w:val="28"/>
          <w:szCs w:val="28"/>
        </w:rPr>
        <w:t>s</w:t>
      </w:r>
      <w:r w:rsidR="00BE3FE9">
        <w:rPr>
          <w:sz w:val="28"/>
          <w:szCs w:val="28"/>
        </w:rPr>
        <w:t xml:space="preserve"> </w:t>
      </w:r>
      <w:r w:rsidR="003B42A4">
        <w:rPr>
          <w:sz w:val="28"/>
          <w:szCs w:val="28"/>
        </w:rPr>
        <w:t xml:space="preserve">that </w:t>
      </w:r>
      <w:r w:rsidR="00BE3FE9">
        <w:rPr>
          <w:sz w:val="28"/>
          <w:szCs w:val="28"/>
        </w:rPr>
        <w:t xml:space="preserve">prohibit the court from compelling payment from income derived solely from </w:t>
      </w:r>
      <w:r w:rsidR="00CF5830">
        <w:rPr>
          <w:sz w:val="28"/>
          <w:szCs w:val="28"/>
        </w:rPr>
        <w:t>these programs.</w:t>
      </w:r>
      <w:r w:rsidR="00BE3FE9">
        <w:rPr>
          <w:sz w:val="28"/>
          <w:szCs w:val="28"/>
        </w:rPr>
        <w:t xml:space="preserve">  </w:t>
      </w:r>
    </w:p>
    <w:p w:rsidR="00C530B0" w:rsidRDefault="00C530B0" w:rsidP="0030314F">
      <w:pPr>
        <w:spacing w:line="480" w:lineRule="auto"/>
        <w:ind w:firstLine="720"/>
        <w:jc w:val="both"/>
        <w:rPr>
          <w:sz w:val="28"/>
          <w:szCs w:val="28"/>
        </w:rPr>
      </w:pPr>
      <w:r>
        <w:rPr>
          <w:sz w:val="28"/>
          <w:szCs w:val="28"/>
        </w:rPr>
        <w:t>Wherefore, p</w:t>
      </w:r>
      <w:r w:rsidRPr="007809E9">
        <w:rPr>
          <w:sz w:val="28"/>
          <w:szCs w:val="28"/>
        </w:rPr>
        <w:t xml:space="preserve">etitioner respectfully requests that the Court </w:t>
      </w:r>
      <w:r>
        <w:rPr>
          <w:sz w:val="28"/>
          <w:szCs w:val="28"/>
        </w:rPr>
        <w:t xml:space="preserve">amend the Rules of Criminal Procedure </w:t>
      </w:r>
      <w:r w:rsidR="00B035E2">
        <w:rPr>
          <w:sz w:val="28"/>
          <w:szCs w:val="28"/>
        </w:rPr>
        <w:t xml:space="preserve">and </w:t>
      </w:r>
      <w:r w:rsidR="00CA056F">
        <w:rPr>
          <w:sz w:val="28"/>
          <w:szCs w:val="28"/>
        </w:rPr>
        <w:t>the Rules of</w:t>
      </w:r>
      <w:r w:rsidR="00B035E2">
        <w:rPr>
          <w:sz w:val="28"/>
          <w:szCs w:val="28"/>
        </w:rPr>
        <w:t xml:space="preserve"> </w:t>
      </w:r>
      <w:r w:rsidR="00CA056F">
        <w:rPr>
          <w:sz w:val="28"/>
          <w:szCs w:val="28"/>
        </w:rPr>
        <w:t xml:space="preserve">Court Procedure for </w:t>
      </w:r>
      <w:r w:rsidR="00B035E2">
        <w:rPr>
          <w:sz w:val="28"/>
          <w:szCs w:val="28"/>
        </w:rPr>
        <w:t xml:space="preserve">Civil Traffic </w:t>
      </w:r>
      <w:r w:rsidR="00CA056F">
        <w:rPr>
          <w:sz w:val="28"/>
          <w:szCs w:val="28"/>
        </w:rPr>
        <w:t xml:space="preserve">and Civil Boating Violations, </w:t>
      </w:r>
      <w:r>
        <w:rPr>
          <w:sz w:val="28"/>
          <w:szCs w:val="28"/>
        </w:rPr>
        <w:t xml:space="preserve">as proposed in </w:t>
      </w:r>
      <w:r w:rsidR="00F973F8">
        <w:rPr>
          <w:sz w:val="28"/>
          <w:szCs w:val="28"/>
        </w:rPr>
        <w:t>Appendix A</w:t>
      </w:r>
      <w:r w:rsidRPr="007809E9">
        <w:rPr>
          <w:sz w:val="28"/>
          <w:szCs w:val="28"/>
        </w:rPr>
        <w:t>.</w:t>
      </w:r>
    </w:p>
    <w:p w:rsidR="005C375F" w:rsidRPr="007809E9" w:rsidRDefault="005C375F" w:rsidP="0030314F">
      <w:pPr>
        <w:spacing w:line="480" w:lineRule="auto"/>
        <w:ind w:firstLine="720"/>
        <w:jc w:val="both"/>
        <w:rPr>
          <w:sz w:val="28"/>
          <w:szCs w:val="28"/>
        </w:rPr>
      </w:pPr>
    </w:p>
    <w:p w:rsidR="00002B79" w:rsidRDefault="00002B79" w:rsidP="0030314F">
      <w:pPr>
        <w:ind w:firstLine="720"/>
        <w:jc w:val="both"/>
        <w:rPr>
          <w:sz w:val="28"/>
          <w:szCs w:val="28"/>
        </w:rPr>
      </w:pPr>
      <w:r>
        <w:rPr>
          <w:sz w:val="28"/>
          <w:szCs w:val="28"/>
        </w:rPr>
        <w:t xml:space="preserve">RESPECTFULLY SUBMITTED this </w:t>
      </w:r>
      <w:r w:rsidR="0007671C">
        <w:rPr>
          <w:sz w:val="28"/>
          <w:szCs w:val="28"/>
        </w:rPr>
        <w:t>14</w:t>
      </w:r>
      <w:r w:rsidR="0007671C" w:rsidRPr="0007671C">
        <w:rPr>
          <w:sz w:val="28"/>
          <w:szCs w:val="28"/>
          <w:vertAlign w:val="superscript"/>
        </w:rPr>
        <w:t>th</w:t>
      </w:r>
      <w:r w:rsidR="0007671C">
        <w:rPr>
          <w:sz w:val="28"/>
          <w:szCs w:val="28"/>
        </w:rPr>
        <w:t xml:space="preserve"> </w:t>
      </w:r>
      <w:r>
        <w:rPr>
          <w:sz w:val="28"/>
          <w:szCs w:val="28"/>
        </w:rPr>
        <w:t>day of</w:t>
      </w:r>
      <w:r w:rsidR="00D67444">
        <w:rPr>
          <w:sz w:val="28"/>
          <w:szCs w:val="28"/>
        </w:rPr>
        <w:t xml:space="preserve"> </w:t>
      </w:r>
      <w:proofErr w:type="gramStart"/>
      <w:r w:rsidR="00FE5979">
        <w:rPr>
          <w:sz w:val="28"/>
          <w:szCs w:val="28"/>
        </w:rPr>
        <w:t>August</w:t>
      </w:r>
      <w:r>
        <w:rPr>
          <w:sz w:val="28"/>
          <w:szCs w:val="28"/>
        </w:rPr>
        <w:t>,</w:t>
      </w:r>
      <w:proofErr w:type="gramEnd"/>
      <w:r>
        <w:rPr>
          <w:sz w:val="28"/>
          <w:szCs w:val="28"/>
        </w:rPr>
        <w:t xml:space="preserve"> 201</w:t>
      </w:r>
      <w:r w:rsidR="00AB2B65">
        <w:rPr>
          <w:sz w:val="28"/>
          <w:szCs w:val="28"/>
        </w:rPr>
        <w:t>8</w:t>
      </w:r>
      <w:r w:rsidR="00766541">
        <w:rPr>
          <w:sz w:val="28"/>
          <w:szCs w:val="28"/>
        </w:rPr>
        <w:t>.</w:t>
      </w:r>
    </w:p>
    <w:p w:rsidR="00002B79" w:rsidRDefault="00002B79" w:rsidP="0030314F">
      <w:pPr>
        <w:jc w:val="both"/>
        <w:rPr>
          <w:sz w:val="28"/>
          <w:szCs w:val="28"/>
        </w:rPr>
      </w:pPr>
    </w:p>
    <w:p w:rsidR="00A63684" w:rsidRDefault="00A63684" w:rsidP="0030314F">
      <w:pPr>
        <w:tabs>
          <w:tab w:val="left" w:pos="3600"/>
        </w:tabs>
        <w:jc w:val="both"/>
        <w:rPr>
          <w:sz w:val="28"/>
          <w:szCs w:val="28"/>
        </w:rPr>
      </w:pPr>
    </w:p>
    <w:p w:rsidR="00002B79" w:rsidRDefault="00A63684" w:rsidP="0030314F">
      <w:pPr>
        <w:tabs>
          <w:tab w:val="left" w:pos="3600"/>
        </w:tabs>
        <w:jc w:val="both"/>
        <w:rPr>
          <w:sz w:val="28"/>
          <w:szCs w:val="28"/>
        </w:rPr>
      </w:pPr>
      <w:r>
        <w:rPr>
          <w:sz w:val="28"/>
          <w:szCs w:val="28"/>
        </w:rPr>
        <w:tab/>
      </w:r>
      <w:r w:rsidR="002F6CDD">
        <w:rPr>
          <w:sz w:val="28"/>
          <w:szCs w:val="28"/>
        </w:rPr>
        <w:t xml:space="preserve">By </w:t>
      </w:r>
      <w:r w:rsidR="0007671C" w:rsidRPr="0007671C">
        <w:rPr>
          <w:sz w:val="28"/>
          <w:szCs w:val="28"/>
          <w:u w:val="single"/>
        </w:rPr>
        <w:t>/S/</w:t>
      </w:r>
      <w:r w:rsidR="002F6CDD">
        <w:rPr>
          <w:sz w:val="28"/>
          <w:szCs w:val="28"/>
        </w:rPr>
        <w:t>________________________</w:t>
      </w:r>
    </w:p>
    <w:p w:rsidR="00002B79" w:rsidRDefault="00002B79" w:rsidP="0030314F">
      <w:pPr>
        <w:tabs>
          <w:tab w:val="left" w:pos="3600"/>
        </w:tabs>
        <w:jc w:val="both"/>
        <w:rPr>
          <w:sz w:val="28"/>
          <w:szCs w:val="28"/>
        </w:rPr>
      </w:pPr>
      <w:r>
        <w:rPr>
          <w:sz w:val="28"/>
          <w:szCs w:val="28"/>
        </w:rPr>
        <w:tab/>
        <w:t>David K. Byers, Administrative Director</w:t>
      </w:r>
    </w:p>
    <w:p w:rsidR="00002B79" w:rsidRDefault="00002B79" w:rsidP="0030314F">
      <w:pPr>
        <w:tabs>
          <w:tab w:val="left" w:pos="3600"/>
        </w:tabs>
        <w:jc w:val="both"/>
        <w:rPr>
          <w:sz w:val="28"/>
          <w:szCs w:val="28"/>
        </w:rPr>
      </w:pPr>
      <w:r>
        <w:rPr>
          <w:sz w:val="28"/>
          <w:szCs w:val="28"/>
        </w:rPr>
        <w:tab/>
        <w:t>Administrative Office of the Courts</w:t>
      </w:r>
    </w:p>
    <w:p w:rsidR="00002B79" w:rsidRDefault="00002B79" w:rsidP="0030314F">
      <w:pPr>
        <w:tabs>
          <w:tab w:val="left" w:pos="3600"/>
        </w:tabs>
        <w:jc w:val="both"/>
        <w:rPr>
          <w:sz w:val="28"/>
          <w:szCs w:val="28"/>
        </w:rPr>
      </w:pPr>
      <w:r>
        <w:rPr>
          <w:sz w:val="28"/>
          <w:szCs w:val="28"/>
        </w:rPr>
        <w:tab/>
        <w:t>1501 W. Washington Street, Suite 411</w:t>
      </w:r>
    </w:p>
    <w:p w:rsidR="00002B79" w:rsidRDefault="00002B79" w:rsidP="0030314F">
      <w:pPr>
        <w:tabs>
          <w:tab w:val="left" w:pos="3600"/>
        </w:tabs>
        <w:jc w:val="both"/>
        <w:rPr>
          <w:sz w:val="28"/>
          <w:szCs w:val="28"/>
        </w:rPr>
      </w:pPr>
      <w:r>
        <w:rPr>
          <w:sz w:val="28"/>
          <w:szCs w:val="28"/>
        </w:rPr>
        <w:tab/>
        <w:t>Phoenix, AZ 85007</w:t>
      </w:r>
    </w:p>
    <w:p w:rsidR="00002B79" w:rsidRDefault="00002B79" w:rsidP="0030314F">
      <w:pPr>
        <w:tabs>
          <w:tab w:val="left" w:pos="3600"/>
        </w:tabs>
        <w:jc w:val="both"/>
        <w:rPr>
          <w:sz w:val="28"/>
          <w:szCs w:val="28"/>
        </w:rPr>
      </w:pPr>
      <w:r>
        <w:rPr>
          <w:sz w:val="28"/>
          <w:szCs w:val="28"/>
        </w:rPr>
        <w:tab/>
        <w:t>(602) 452- 3301</w:t>
      </w:r>
    </w:p>
    <w:p w:rsidR="0003501A" w:rsidRDefault="00002B79" w:rsidP="0030314F">
      <w:pPr>
        <w:tabs>
          <w:tab w:val="left" w:pos="3600"/>
        </w:tabs>
        <w:jc w:val="both"/>
        <w:rPr>
          <w:sz w:val="28"/>
          <w:szCs w:val="28"/>
        </w:rPr>
      </w:pPr>
      <w:r>
        <w:rPr>
          <w:sz w:val="28"/>
          <w:szCs w:val="28"/>
        </w:rPr>
        <w:tab/>
      </w:r>
      <w:hyperlink r:id="rId8" w:history="1">
        <w:r w:rsidR="0003501A" w:rsidRPr="00BB508B">
          <w:rPr>
            <w:rStyle w:val="Hyperlink"/>
            <w:sz w:val="28"/>
            <w:szCs w:val="28"/>
          </w:rPr>
          <w:t>Projects2@courts.az</w:t>
        </w:r>
      </w:hyperlink>
      <w:r w:rsidR="00BE3FE9">
        <w:rPr>
          <w:rStyle w:val="Hyperlink"/>
          <w:sz w:val="28"/>
          <w:szCs w:val="28"/>
        </w:rPr>
        <w:t xml:space="preserve"> </w:t>
      </w:r>
    </w:p>
    <w:p w:rsidR="00BE3FE9" w:rsidRDefault="00BE3FE9" w:rsidP="0030314F">
      <w:pPr>
        <w:widowControl/>
        <w:autoSpaceDE/>
        <w:autoSpaceDN/>
        <w:adjustRightInd/>
        <w:spacing w:after="160" w:line="259" w:lineRule="auto"/>
        <w:jc w:val="both"/>
        <w:rPr>
          <w:sz w:val="28"/>
          <w:szCs w:val="28"/>
        </w:rPr>
        <w:sectPr w:rsidR="00BE3FE9" w:rsidSect="00965236">
          <w:footerReference w:type="default" r:id="rId9"/>
          <w:type w:val="continuous"/>
          <w:pgSz w:w="12240" w:h="15840"/>
          <w:pgMar w:top="1440" w:right="1440" w:bottom="1440" w:left="1440" w:header="720" w:footer="720" w:gutter="0"/>
          <w:pgNumType w:start="1"/>
          <w:cols w:space="720"/>
          <w:docGrid w:linePitch="326"/>
        </w:sectPr>
      </w:pPr>
    </w:p>
    <w:p w:rsidR="00234836" w:rsidRPr="000B448F" w:rsidRDefault="00234836" w:rsidP="000B448F">
      <w:pPr>
        <w:spacing w:line="276" w:lineRule="auto"/>
        <w:jc w:val="center"/>
        <w:rPr>
          <w:rFonts w:ascii="Arial" w:hAnsi="Arial" w:cs="Arial"/>
          <w:b/>
          <w:u w:val="single"/>
        </w:rPr>
      </w:pPr>
      <w:r w:rsidRPr="000B448F">
        <w:rPr>
          <w:rFonts w:ascii="Arial" w:hAnsi="Arial" w:cs="Arial"/>
          <w:b/>
          <w:u w:val="single"/>
        </w:rPr>
        <w:lastRenderedPageBreak/>
        <w:t>APPENDIX A</w:t>
      </w:r>
    </w:p>
    <w:p w:rsidR="00234836" w:rsidRPr="000B448F" w:rsidRDefault="00234836" w:rsidP="000B448F">
      <w:pPr>
        <w:spacing w:line="276" w:lineRule="auto"/>
        <w:jc w:val="center"/>
        <w:rPr>
          <w:rFonts w:ascii="Arial" w:hAnsi="Arial" w:cs="Arial"/>
        </w:rPr>
      </w:pPr>
      <w:r w:rsidRPr="000B448F">
        <w:rPr>
          <w:rFonts w:ascii="Arial" w:hAnsi="Arial" w:cs="Arial"/>
        </w:rPr>
        <w:t xml:space="preserve">(language to be removed is shown in </w:t>
      </w:r>
      <w:r w:rsidRPr="000B448F">
        <w:rPr>
          <w:rFonts w:ascii="Arial" w:hAnsi="Arial" w:cs="Arial"/>
          <w:strike/>
        </w:rPr>
        <w:t>strikethrough</w:t>
      </w:r>
      <w:r w:rsidRPr="000B448F">
        <w:rPr>
          <w:rFonts w:ascii="Arial" w:hAnsi="Arial" w:cs="Arial"/>
        </w:rPr>
        <w:t xml:space="preserve">, new language is </w:t>
      </w:r>
      <w:r w:rsidRPr="000B448F">
        <w:rPr>
          <w:rFonts w:ascii="Arial" w:hAnsi="Arial" w:cs="Arial"/>
          <w:u w:val="single"/>
        </w:rPr>
        <w:t>underlined</w:t>
      </w:r>
      <w:r w:rsidRPr="000B448F">
        <w:rPr>
          <w:rFonts w:ascii="Arial" w:hAnsi="Arial" w:cs="Arial"/>
        </w:rPr>
        <w:t>)</w:t>
      </w:r>
    </w:p>
    <w:p w:rsidR="003E01D3" w:rsidRPr="000B448F" w:rsidRDefault="003E01D3" w:rsidP="000B448F">
      <w:pPr>
        <w:shd w:val="clear" w:color="auto" w:fill="FFFFFF"/>
        <w:spacing w:line="276" w:lineRule="auto"/>
        <w:jc w:val="both"/>
        <w:rPr>
          <w:rFonts w:ascii="Arial" w:hAnsi="Arial" w:cs="Arial"/>
          <w:b/>
          <w:color w:val="000000"/>
        </w:rPr>
      </w:pPr>
    </w:p>
    <w:p w:rsidR="003E01D3" w:rsidRPr="000B448F" w:rsidRDefault="003E01D3" w:rsidP="000B448F">
      <w:pPr>
        <w:shd w:val="clear" w:color="auto" w:fill="FFFFFF"/>
        <w:spacing w:line="276" w:lineRule="auto"/>
        <w:jc w:val="both"/>
        <w:rPr>
          <w:rFonts w:ascii="Arial" w:hAnsi="Arial" w:cs="Arial"/>
          <w:b/>
          <w:color w:val="000000"/>
        </w:rPr>
      </w:pPr>
      <w:r w:rsidRPr="000B448F">
        <w:rPr>
          <w:rFonts w:ascii="Arial" w:hAnsi="Arial" w:cs="Arial"/>
          <w:b/>
          <w:color w:val="000000"/>
        </w:rPr>
        <w:t>Arizona Rules of Criminal Procedure</w:t>
      </w:r>
    </w:p>
    <w:p w:rsidR="003E01D3" w:rsidRPr="000B448F" w:rsidRDefault="003E01D3" w:rsidP="000B448F">
      <w:pPr>
        <w:shd w:val="clear" w:color="auto" w:fill="FFFFFF"/>
        <w:spacing w:line="276" w:lineRule="auto"/>
        <w:jc w:val="both"/>
        <w:rPr>
          <w:rFonts w:ascii="Arial" w:hAnsi="Arial" w:cs="Arial"/>
          <w:b/>
          <w:color w:val="000000"/>
        </w:rPr>
      </w:pPr>
    </w:p>
    <w:p w:rsidR="003E01D3" w:rsidRPr="000B448F" w:rsidRDefault="003E01D3" w:rsidP="000B448F">
      <w:pPr>
        <w:shd w:val="clear" w:color="auto" w:fill="FFFFFF"/>
        <w:spacing w:line="276" w:lineRule="auto"/>
        <w:jc w:val="both"/>
        <w:rPr>
          <w:rFonts w:ascii="Arial" w:hAnsi="Arial" w:cs="Arial"/>
          <w:b/>
          <w:bCs/>
          <w:color w:val="000000"/>
        </w:rPr>
      </w:pPr>
      <w:r w:rsidRPr="000B448F">
        <w:rPr>
          <w:rFonts w:ascii="Arial" w:hAnsi="Arial" w:cs="Arial"/>
          <w:b/>
          <w:color w:val="000000"/>
        </w:rPr>
        <w:t>Rule 24.3. Modification of Sentence</w:t>
      </w:r>
    </w:p>
    <w:p w:rsidR="003E01D3" w:rsidRPr="000B448F" w:rsidRDefault="003E01D3" w:rsidP="000B448F">
      <w:pPr>
        <w:shd w:val="clear" w:color="auto" w:fill="FFFFFF"/>
        <w:spacing w:line="276" w:lineRule="auto"/>
        <w:jc w:val="both"/>
        <w:rPr>
          <w:rFonts w:ascii="Arial" w:hAnsi="Arial" w:cs="Arial"/>
          <w:color w:val="000000"/>
        </w:rPr>
      </w:pPr>
    </w:p>
    <w:p w:rsidR="003E01D3" w:rsidRPr="000B448F" w:rsidRDefault="003E01D3" w:rsidP="000B448F">
      <w:pPr>
        <w:shd w:val="clear" w:color="auto" w:fill="FFFFFF"/>
        <w:spacing w:line="276" w:lineRule="auto"/>
        <w:jc w:val="both"/>
        <w:rPr>
          <w:rFonts w:ascii="Arial" w:hAnsi="Arial" w:cs="Arial"/>
          <w:color w:val="000000"/>
        </w:rPr>
      </w:pPr>
      <w:r w:rsidRPr="000B448F">
        <w:rPr>
          <w:rFonts w:ascii="Arial" w:hAnsi="Arial" w:cs="Arial"/>
          <w:b/>
          <w:bCs/>
          <w:color w:val="000000"/>
        </w:rPr>
        <w:t>(a) Generally.</w:t>
      </w:r>
      <w:r w:rsidRPr="000B448F">
        <w:rPr>
          <w:rFonts w:ascii="Arial" w:hAnsi="Arial" w:cs="Arial"/>
          <w:color w:val="000000"/>
        </w:rPr>
        <w:t xml:space="preserve"> No later than 60 days of the entry of judgment and sentence or, if a notice of appeal has already been filed under Rule 31, no later than 15 days after the appellate clerk distributes a notice under Rule 31.9(e) that the record on appeal has been filed, the court may correct any unlawful </w:t>
      </w:r>
      <w:proofErr w:type="gramStart"/>
      <w:r w:rsidRPr="000B448F">
        <w:rPr>
          <w:rFonts w:ascii="Arial" w:hAnsi="Arial" w:cs="Arial"/>
          <w:color w:val="000000"/>
        </w:rPr>
        <w:t>sentence</w:t>
      </w:r>
      <w:proofErr w:type="gramEnd"/>
      <w:r w:rsidRPr="000B448F">
        <w:rPr>
          <w:rFonts w:ascii="Arial" w:hAnsi="Arial" w:cs="Arial"/>
          <w:color w:val="000000"/>
        </w:rPr>
        <w:t xml:space="preserve"> or one imposed in an unlawful manner.</w:t>
      </w:r>
    </w:p>
    <w:p w:rsidR="003E01D3" w:rsidRPr="000B448F" w:rsidRDefault="003E01D3" w:rsidP="000B448F">
      <w:pPr>
        <w:shd w:val="clear" w:color="auto" w:fill="FFFFFF"/>
        <w:spacing w:line="276" w:lineRule="auto"/>
        <w:jc w:val="both"/>
        <w:rPr>
          <w:rFonts w:ascii="Arial" w:hAnsi="Arial" w:cs="Arial"/>
          <w:b/>
          <w:bCs/>
          <w:color w:val="000000"/>
        </w:rPr>
      </w:pPr>
    </w:p>
    <w:p w:rsidR="003E01D3" w:rsidRPr="000B448F" w:rsidRDefault="003E01D3" w:rsidP="000B448F">
      <w:pPr>
        <w:shd w:val="clear" w:color="auto" w:fill="FFFFFF"/>
        <w:spacing w:line="276" w:lineRule="auto"/>
        <w:jc w:val="both"/>
        <w:rPr>
          <w:rFonts w:ascii="Arial" w:hAnsi="Arial" w:cs="Arial"/>
          <w:color w:val="000000"/>
        </w:rPr>
      </w:pPr>
      <w:r w:rsidRPr="000B448F">
        <w:rPr>
          <w:rFonts w:ascii="Arial" w:hAnsi="Arial" w:cs="Arial"/>
          <w:b/>
          <w:bCs/>
          <w:color w:val="000000"/>
        </w:rPr>
        <w:t>(b) Appeal.</w:t>
      </w:r>
    </w:p>
    <w:p w:rsidR="003E01D3" w:rsidRPr="000B448F" w:rsidRDefault="003E01D3" w:rsidP="000B448F">
      <w:pPr>
        <w:shd w:val="clear" w:color="auto" w:fill="FFFFFF"/>
        <w:spacing w:line="276" w:lineRule="auto"/>
        <w:jc w:val="both"/>
        <w:rPr>
          <w:rFonts w:ascii="Arial" w:hAnsi="Arial" w:cs="Arial"/>
          <w:color w:val="000000"/>
        </w:rPr>
      </w:pPr>
    </w:p>
    <w:p w:rsidR="003E01D3" w:rsidRPr="000B448F" w:rsidRDefault="003E01D3" w:rsidP="000B448F">
      <w:pPr>
        <w:shd w:val="clear" w:color="auto" w:fill="FFFFFF"/>
        <w:spacing w:line="276" w:lineRule="auto"/>
        <w:jc w:val="both"/>
        <w:rPr>
          <w:rFonts w:ascii="Arial" w:hAnsi="Arial" w:cs="Arial"/>
          <w:color w:val="000000"/>
        </w:rPr>
      </w:pPr>
      <w:r w:rsidRPr="000B448F">
        <w:rPr>
          <w:rFonts w:ascii="Arial" w:hAnsi="Arial" w:cs="Arial"/>
          <w:color w:val="000000"/>
        </w:rPr>
        <w:t xml:space="preserve">(1) </w:t>
      </w:r>
      <w:r w:rsidRPr="000B448F">
        <w:rPr>
          <w:rFonts w:ascii="Arial" w:hAnsi="Arial" w:cs="Arial"/>
          <w:i/>
          <w:iCs/>
          <w:color w:val="000000"/>
        </w:rPr>
        <w:t>Noncapital Cases.</w:t>
      </w:r>
      <w:r w:rsidRPr="000B448F">
        <w:rPr>
          <w:rFonts w:ascii="Arial" w:hAnsi="Arial" w:cs="Arial"/>
          <w:color w:val="000000"/>
        </w:rPr>
        <w:t xml:space="preserve"> In noncapital cases, the party appealing a final decision under Rule 24.3 must file a notice of appeal with the trial court clerk no later than 20 days after entry of the decision in superior court cases, or no later than 14 days after entry of the decision in limited jurisdiction court cases.</w:t>
      </w:r>
    </w:p>
    <w:p w:rsidR="003E01D3" w:rsidRPr="000B448F" w:rsidRDefault="003E01D3" w:rsidP="000B448F">
      <w:pPr>
        <w:shd w:val="clear" w:color="auto" w:fill="FFFFFF"/>
        <w:spacing w:line="276" w:lineRule="auto"/>
        <w:jc w:val="both"/>
        <w:rPr>
          <w:rFonts w:ascii="Arial" w:hAnsi="Arial" w:cs="Arial"/>
          <w:color w:val="000000"/>
        </w:rPr>
      </w:pPr>
    </w:p>
    <w:p w:rsidR="003E01D3" w:rsidRPr="000B448F" w:rsidRDefault="003E01D3" w:rsidP="000B448F">
      <w:pPr>
        <w:shd w:val="clear" w:color="auto" w:fill="FFFFFF"/>
        <w:spacing w:line="276" w:lineRule="auto"/>
        <w:jc w:val="both"/>
        <w:rPr>
          <w:rFonts w:ascii="Arial" w:hAnsi="Arial" w:cs="Arial"/>
          <w:color w:val="000000"/>
        </w:rPr>
      </w:pPr>
      <w:r w:rsidRPr="000B448F">
        <w:rPr>
          <w:rFonts w:ascii="Arial" w:hAnsi="Arial" w:cs="Arial"/>
          <w:color w:val="000000"/>
        </w:rPr>
        <w:t xml:space="preserve">(2) </w:t>
      </w:r>
      <w:r w:rsidRPr="000B448F">
        <w:rPr>
          <w:rFonts w:ascii="Arial" w:hAnsi="Arial" w:cs="Arial"/>
          <w:i/>
          <w:iCs/>
          <w:color w:val="000000"/>
        </w:rPr>
        <w:t>Capital Cases.</w:t>
      </w:r>
      <w:r w:rsidRPr="000B448F">
        <w:rPr>
          <w:rFonts w:ascii="Arial" w:hAnsi="Arial" w:cs="Arial"/>
          <w:color w:val="000000"/>
        </w:rPr>
        <w:t xml:space="preserve"> In capital cases, after denying modification of a sentence of death, the court must order the clerk to file a notice of appeal from the denial.</w:t>
      </w:r>
    </w:p>
    <w:p w:rsidR="003E01D3" w:rsidRPr="000B448F" w:rsidRDefault="003E01D3" w:rsidP="000B448F">
      <w:pPr>
        <w:shd w:val="clear" w:color="auto" w:fill="FFFFFF"/>
        <w:spacing w:line="276" w:lineRule="auto"/>
        <w:jc w:val="both"/>
        <w:rPr>
          <w:rFonts w:ascii="Arial" w:hAnsi="Arial" w:cs="Arial"/>
          <w:color w:val="000000"/>
        </w:rPr>
      </w:pPr>
    </w:p>
    <w:p w:rsidR="00FE5979" w:rsidRPr="000B448F" w:rsidRDefault="00FE5979" w:rsidP="00FE5979">
      <w:pPr>
        <w:shd w:val="clear" w:color="auto" w:fill="FFFFFF"/>
        <w:spacing w:line="276" w:lineRule="auto"/>
        <w:jc w:val="both"/>
        <w:rPr>
          <w:rFonts w:ascii="Arial" w:hAnsi="Arial" w:cs="Arial"/>
          <w:color w:val="000000"/>
          <w:u w:val="single"/>
        </w:rPr>
      </w:pPr>
      <w:r w:rsidRPr="000B448F">
        <w:rPr>
          <w:rFonts w:ascii="Arial" w:hAnsi="Arial" w:cs="Arial"/>
          <w:b/>
          <w:color w:val="000000"/>
          <w:u w:val="single"/>
        </w:rPr>
        <w:t>(c)</w:t>
      </w:r>
      <w:r>
        <w:rPr>
          <w:rFonts w:ascii="Arial" w:hAnsi="Arial" w:cs="Arial"/>
          <w:b/>
          <w:color w:val="000000"/>
          <w:u w:val="single"/>
        </w:rPr>
        <w:t xml:space="preserve"> Mitigation</w:t>
      </w:r>
      <w:r w:rsidRPr="000B448F">
        <w:rPr>
          <w:rFonts w:ascii="Arial" w:hAnsi="Arial" w:cs="Arial"/>
          <w:b/>
          <w:color w:val="000000"/>
          <w:u w:val="single"/>
        </w:rPr>
        <w:t>.</w:t>
      </w:r>
      <w:r w:rsidRPr="000B448F">
        <w:rPr>
          <w:rFonts w:ascii="Arial" w:hAnsi="Arial" w:cs="Arial"/>
          <w:color w:val="000000"/>
          <w:u w:val="single"/>
        </w:rPr>
        <w:t xml:space="preserve"> On motion of the defendant, or on the court’s own motion, the court may mitigate a fine, </w:t>
      </w:r>
      <w:r>
        <w:rPr>
          <w:rFonts w:ascii="Arial" w:hAnsi="Arial" w:cs="Arial"/>
          <w:color w:val="000000"/>
          <w:u w:val="single"/>
        </w:rPr>
        <w:t xml:space="preserve">surcharge under A.R.S. §§12-116.01 and 12-116.02, </w:t>
      </w:r>
      <w:r w:rsidRPr="000B448F">
        <w:rPr>
          <w:rFonts w:ascii="Arial" w:hAnsi="Arial" w:cs="Arial"/>
          <w:color w:val="000000"/>
          <w:u w:val="single"/>
        </w:rPr>
        <w:t>and an assessment under A.R.S. §12-116.08</w:t>
      </w:r>
      <w:r>
        <w:rPr>
          <w:rFonts w:ascii="Arial" w:hAnsi="Arial" w:cs="Arial"/>
          <w:color w:val="000000"/>
          <w:u w:val="single"/>
        </w:rPr>
        <w:t>,</w:t>
      </w:r>
      <w:r w:rsidRPr="000B448F">
        <w:rPr>
          <w:rFonts w:ascii="Arial" w:hAnsi="Arial" w:cs="Arial"/>
          <w:color w:val="000000"/>
          <w:u w:val="single"/>
        </w:rPr>
        <w:t xml:space="preserve"> contained in the judgment and sentence, other than a mandatory fine, due to defendant’s financial circumstances. </w:t>
      </w:r>
      <w:r>
        <w:rPr>
          <w:rFonts w:ascii="Arial" w:hAnsi="Arial" w:cs="Arial"/>
          <w:color w:val="000000"/>
          <w:u w:val="single"/>
        </w:rPr>
        <w:t xml:space="preserve">The court may also mitigate a surcharge if a mandatory fine is imposed. </w:t>
      </w:r>
      <w:r w:rsidRPr="000B448F">
        <w:rPr>
          <w:rFonts w:ascii="Arial" w:hAnsi="Arial" w:cs="Arial"/>
          <w:color w:val="000000"/>
          <w:u w:val="single"/>
        </w:rPr>
        <w:t xml:space="preserve">In deciding whether to mitigate </w:t>
      </w:r>
      <w:r>
        <w:rPr>
          <w:rFonts w:ascii="Arial" w:hAnsi="Arial" w:cs="Arial"/>
          <w:color w:val="000000"/>
          <w:u w:val="single"/>
        </w:rPr>
        <w:t>a fine, surcharge or assessment</w:t>
      </w:r>
      <w:r w:rsidRPr="000B448F">
        <w:rPr>
          <w:rFonts w:ascii="Arial" w:hAnsi="Arial" w:cs="Arial"/>
          <w:color w:val="000000"/>
          <w:u w:val="single"/>
        </w:rPr>
        <w:t>, the court</w:t>
      </w:r>
      <w:r>
        <w:rPr>
          <w:rFonts w:ascii="Arial" w:hAnsi="Arial" w:cs="Arial"/>
          <w:color w:val="000000"/>
          <w:u w:val="single"/>
        </w:rPr>
        <w:t xml:space="preserve"> may consider any relevant evidence including</w:t>
      </w:r>
      <w:r w:rsidRPr="000B448F">
        <w:rPr>
          <w:rFonts w:ascii="Arial" w:hAnsi="Arial" w:cs="Arial"/>
          <w:color w:val="000000"/>
          <w:u w:val="single"/>
        </w:rPr>
        <w:t>:</w:t>
      </w:r>
    </w:p>
    <w:p w:rsidR="00FE5979" w:rsidRPr="000B448F" w:rsidRDefault="00FE5979" w:rsidP="00FE5979">
      <w:pPr>
        <w:spacing w:line="276" w:lineRule="auto"/>
        <w:ind w:left="360"/>
        <w:jc w:val="both"/>
        <w:rPr>
          <w:rFonts w:ascii="Arial" w:hAnsi="Arial" w:cs="Arial"/>
          <w:color w:val="000000"/>
          <w:u w:val="single"/>
        </w:rPr>
      </w:pPr>
    </w:p>
    <w:p w:rsidR="00FE5979" w:rsidRPr="000B448F" w:rsidRDefault="00FE5979" w:rsidP="00FE5979">
      <w:pPr>
        <w:spacing w:line="276" w:lineRule="auto"/>
        <w:ind w:left="360"/>
        <w:jc w:val="both"/>
        <w:rPr>
          <w:rFonts w:ascii="Arial" w:hAnsi="Arial" w:cs="Arial"/>
          <w:bCs/>
          <w:color w:val="000000"/>
          <w:u w:val="single"/>
        </w:rPr>
      </w:pPr>
      <w:r w:rsidRPr="000B448F">
        <w:rPr>
          <w:rFonts w:ascii="Arial" w:hAnsi="Arial" w:cs="Arial"/>
          <w:color w:val="000000"/>
          <w:u w:val="single"/>
        </w:rPr>
        <w:t>(1)</w:t>
      </w:r>
      <w:r w:rsidRPr="000B448F">
        <w:rPr>
          <w:rFonts w:ascii="Arial" w:hAnsi="Arial" w:cs="Arial"/>
          <w:bCs/>
          <w:color w:val="000000"/>
          <w:u w:val="single"/>
        </w:rPr>
        <w:t xml:space="preserve"> The impact of the fine on the ability of the defendant to pay the restitution.</w:t>
      </w:r>
    </w:p>
    <w:p w:rsidR="00FE5979" w:rsidRPr="000B448F" w:rsidRDefault="00FE5979" w:rsidP="00FE5979">
      <w:pPr>
        <w:spacing w:line="276" w:lineRule="auto"/>
        <w:ind w:left="360"/>
        <w:jc w:val="both"/>
        <w:rPr>
          <w:rFonts w:ascii="Arial" w:hAnsi="Arial" w:cs="Arial"/>
          <w:bCs/>
          <w:color w:val="000000"/>
          <w:u w:val="single"/>
        </w:rPr>
      </w:pPr>
    </w:p>
    <w:p w:rsidR="00FE5979" w:rsidRPr="000B448F" w:rsidRDefault="00FE5979" w:rsidP="00FE5979">
      <w:pPr>
        <w:spacing w:line="276" w:lineRule="auto"/>
        <w:ind w:left="360"/>
        <w:jc w:val="both"/>
        <w:rPr>
          <w:rFonts w:ascii="Arial" w:hAnsi="Arial" w:cs="Arial"/>
          <w:bCs/>
          <w:color w:val="000000"/>
          <w:u w:val="single"/>
        </w:rPr>
      </w:pPr>
      <w:r w:rsidRPr="000B448F">
        <w:rPr>
          <w:rFonts w:ascii="Arial" w:hAnsi="Arial" w:cs="Arial"/>
          <w:bCs/>
          <w:color w:val="000000"/>
          <w:u w:val="single"/>
        </w:rPr>
        <w:t>(2) The extent of the financial hardship on the defendant or on the defendant’s immediate family.</w:t>
      </w:r>
    </w:p>
    <w:p w:rsidR="00FE5979" w:rsidRPr="000B448F" w:rsidRDefault="00FE5979" w:rsidP="00FE5979">
      <w:pPr>
        <w:spacing w:line="276" w:lineRule="auto"/>
        <w:ind w:left="360"/>
        <w:jc w:val="both"/>
        <w:rPr>
          <w:rFonts w:ascii="Arial" w:hAnsi="Arial" w:cs="Arial"/>
          <w:bCs/>
          <w:color w:val="000000"/>
          <w:u w:val="single"/>
        </w:rPr>
      </w:pPr>
    </w:p>
    <w:p w:rsidR="00FE5979" w:rsidRPr="00D754CB" w:rsidRDefault="00FE5979" w:rsidP="00FE5979">
      <w:pPr>
        <w:spacing w:line="276" w:lineRule="auto"/>
        <w:ind w:left="360"/>
        <w:jc w:val="both"/>
        <w:rPr>
          <w:rFonts w:ascii="Arial" w:hAnsi="Arial" w:cs="Arial"/>
          <w:bCs/>
          <w:color w:val="000000"/>
          <w:u w:val="single"/>
        </w:rPr>
      </w:pPr>
      <w:r w:rsidRPr="0007671C">
        <w:rPr>
          <w:rFonts w:ascii="Arial" w:hAnsi="Arial" w:cs="Arial"/>
          <w:bCs/>
          <w:color w:val="000000"/>
          <w:u w:val="single"/>
        </w:rPr>
        <w:t>(3) The defendant’s indigence indicated by qualification for benefits from any of the following:</w:t>
      </w:r>
    </w:p>
    <w:p w:rsidR="00FE5979" w:rsidRPr="000B448F" w:rsidRDefault="00FE5979" w:rsidP="00FE5979">
      <w:pPr>
        <w:spacing w:line="276" w:lineRule="auto"/>
        <w:ind w:left="360"/>
        <w:jc w:val="both"/>
        <w:rPr>
          <w:rFonts w:ascii="Arial" w:hAnsi="Arial" w:cs="Arial"/>
          <w:bCs/>
          <w:color w:val="000000"/>
          <w:u w:val="single"/>
        </w:rPr>
      </w:pPr>
    </w:p>
    <w:p w:rsidR="00FE5979" w:rsidRPr="000B448F" w:rsidRDefault="00FE5979" w:rsidP="00FE5979">
      <w:pPr>
        <w:spacing w:line="276" w:lineRule="auto"/>
        <w:ind w:left="720"/>
        <w:jc w:val="both"/>
        <w:rPr>
          <w:rFonts w:ascii="Arial" w:hAnsi="Arial" w:cs="Arial"/>
          <w:color w:val="000000"/>
          <w:u w:val="single"/>
        </w:rPr>
      </w:pPr>
      <w:r w:rsidRPr="000B448F">
        <w:rPr>
          <w:rFonts w:ascii="Arial" w:hAnsi="Arial" w:cs="Arial"/>
          <w:color w:val="000000"/>
          <w:u w:val="single"/>
        </w:rPr>
        <w:t>(A) The Temporary Assistance for Needy Families Program established by § 403 of Title IV of the Social Security Act.</w:t>
      </w:r>
    </w:p>
    <w:p w:rsidR="00FE5979" w:rsidRPr="000B448F" w:rsidRDefault="00FE5979" w:rsidP="00FE5979">
      <w:pPr>
        <w:spacing w:line="276" w:lineRule="auto"/>
        <w:ind w:left="720"/>
        <w:jc w:val="both"/>
        <w:rPr>
          <w:rFonts w:ascii="Arial" w:hAnsi="Arial" w:cs="Arial"/>
          <w:color w:val="000000"/>
          <w:u w:val="single"/>
        </w:rPr>
      </w:pPr>
      <w:r w:rsidRPr="000B448F">
        <w:rPr>
          <w:rFonts w:ascii="Arial" w:hAnsi="Arial" w:cs="Arial"/>
          <w:color w:val="000000"/>
          <w:u w:val="single"/>
        </w:rPr>
        <w:t xml:space="preserve">(B) The Supplemental Nutrition Assistance Program (7 U.S. C. §§ 2011 through </w:t>
      </w:r>
      <w:r w:rsidRPr="000B448F">
        <w:rPr>
          <w:rFonts w:ascii="Arial" w:hAnsi="Arial" w:cs="Arial"/>
          <w:color w:val="000000"/>
          <w:u w:val="single"/>
        </w:rPr>
        <w:lastRenderedPageBreak/>
        <w:t>2036c).</w:t>
      </w:r>
    </w:p>
    <w:p w:rsidR="00FE5979" w:rsidRDefault="00FE5979" w:rsidP="00FE5979">
      <w:pPr>
        <w:spacing w:line="276" w:lineRule="auto"/>
        <w:ind w:left="720"/>
        <w:jc w:val="both"/>
        <w:rPr>
          <w:rFonts w:ascii="Arial" w:hAnsi="Arial" w:cs="Arial"/>
          <w:color w:val="000000"/>
          <w:u w:val="single"/>
        </w:rPr>
      </w:pPr>
      <w:r w:rsidRPr="000B448F">
        <w:rPr>
          <w:rFonts w:ascii="Arial" w:hAnsi="Arial" w:cs="Arial"/>
          <w:color w:val="000000"/>
          <w:u w:val="single"/>
        </w:rPr>
        <w:t>(C) The Supplemental Security Income Program (42 U.S.C. §§ 1381 through 1383f).</w:t>
      </w:r>
    </w:p>
    <w:p w:rsidR="0007671C" w:rsidRPr="0007671C" w:rsidRDefault="0007671C" w:rsidP="00FE5979">
      <w:pPr>
        <w:spacing w:line="276" w:lineRule="auto"/>
        <w:ind w:left="720"/>
        <w:jc w:val="both"/>
        <w:rPr>
          <w:rFonts w:ascii="Arial" w:hAnsi="Arial" w:cs="Arial"/>
          <w:color w:val="000000"/>
          <w:u w:val="single"/>
        </w:rPr>
      </w:pPr>
      <w:r w:rsidRPr="0007671C">
        <w:rPr>
          <w:rFonts w:ascii="Arial" w:hAnsi="Arial" w:cs="Arial"/>
          <w:color w:val="000000"/>
          <w:u w:val="single"/>
        </w:rPr>
        <w:t xml:space="preserve">(D) The Medicaid Program (42 U.S.C. §§ 1396 et seq.) </w:t>
      </w:r>
    </w:p>
    <w:p w:rsidR="00FE5979" w:rsidRPr="0007671C" w:rsidRDefault="00FE5979" w:rsidP="00FE5979">
      <w:pPr>
        <w:spacing w:line="276" w:lineRule="auto"/>
        <w:ind w:left="360"/>
        <w:jc w:val="both"/>
        <w:rPr>
          <w:rFonts w:ascii="Arial" w:hAnsi="Arial" w:cs="Arial"/>
          <w:color w:val="000000"/>
          <w:u w:val="single"/>
        </w:rPr>
      </w:pPr>
    </w:p>
    <w:p w:rsidR="00FE5979" w:rsidRPr="0007671C" w:rsidRDefault="00FE5979" w:rsidP="00FE5979">
      <w:pPr>
        <w:spacing w:line="276" w:lineRule="auto"/>
        <w:ind w:left="360"/>
        <w:jc w:val="both"/>
        <w:rPr>
          <w:rFonts w:ascii="Arial" w:hAnsi="Arial" w:cs="Arial"/>
          <w:color w:val="000000"/>
          <w:u w:val="single"/>
        </w:rPr>
      </w:pPr>
      <w:r w:rsidRPr="0007671C">
        <w:rPr>
          <w:rFonts w:ascii="Arial" w:hAnsi="Arial" w:cs="Arial"/>
          <w:color w:val="000000"/>
          <w:u w:val="single"/>
        </w:rPr>
        <w:t>(4) Whether the defendant is seeking, obtaining, or maintaining employment if able and legally permitted to do so, or is attending school.</w:t>
      </w:r>
    </w:p>
    <w:p w:rsidR="00FE5979" w:rsidRPr="0007671C" w:rsidRDefault="00FE5979" w:rsidP="00FE5979">
      <w:pPr>
        <w:spacing w:line="276" w:lineRule="auto"/>
        <w:ind w:left="360"/>
        <w:jc w:val="both"/>
        <w:rPr>
          <w:rFonts w:ascii="Arial" w:hAnsi="Arial" w:cs="Arial"/>
          <w:color w:val="000000"/>
          <w:u w:val="single"/>
        </w:rPr>
      </w:pPr>
    </w:p>
    <w:p w:rsidR="00FE5979" w:rsidRPr="000B448F" w:rsidRDefault="00FE5979" w:rsidP="00FE5979">
      <w:pPr>
        <w:spacing w:line="276" w:lineRule="auto"/>
        <w:ind w:left="360"/>
        <w:jc w:val="both"/>
        <w:rPr>
          <w:rFonts w:ascii="Arial" w:hAnsi="Arial" w:cs="Arial"/>
          <w:color w:val="000000"/>
          <w:u w:val="single"/>
        </w:rPr>
      </w:pPr>
      <w:r w:rsidRPr="0007671C">
        <w:rPr>
          <w:rFonts w:ascii="Arial" w:hAnsi="Arial" w:cs="Arial"/>
          <w:color w:val="000000"/>
          <w:u w:val="single"/>
        </w:rPr>
        <w:t>(5) The defendant’s medical and mental condition.</w:t>
      </w:r>
    </w:p>
    <w:p w:rsidR="00FE5979" w:rsidRDefault="00FE5979" w:rsidP="00FE5979"/>
    <w:p w:rsidR="003E01D3" w:rsidRPr="000B448F" w:rsidRDefault="003E01D3" w:rsidP="000B448F">
      <w:pPr>
        <w:shd w:val="clear" w:color="auto" w:fill="FFFFFF"/>
        <w:spacing w:line="276" w:lineRule="auto"/>
        <w:jc w:val="both"/>
        <w:rPr>
          <w:rFonts w:ascii="Arial" w:hAnsi="Arial" w:cs="Arial"/>
          <w:color w:val="000000"/>
          <w:u w:val="single"/>
        </w:rPr>
      </w:pPr>
    </w:p>
    <w:p w:rsidR="003E01D3" w:rsidRPr="000B448F" w:rsidRDefault="003E01D3" w:rsidP="000B448F">
      <w:pPr>
        <w:shd w:val="clear" w:color="auto" w:fill="FFFFFF"/>
        <w:spacing w:line="276" w:lineRule="auto"/>
        <w:jc w:val="both"/>
        <w:rPr>
          <w:rFonts w:ascii="Arial" w:hAnsi="Arial" w:cs="Arial"/>
          <w:color w:val="000000"/>
        </w:rPr>
      </w:pPr>
      <w:bookmarkStart w:id="2" w:name="_Hlk508371753"/>
    </w:p>
    <w:p w:rsidR="003E01D3" w:rsidRPr="00F5006D" w:rsidRDefault="003E01D3" w:rsidP="000B448F">
      <w:pPr>
        <w:shd w:val="clear" w:color="auto" w:fill="FFFFFF"/>
        <w:spacing w:line="276" w:lineRule="auto"/>
        <w:jc w:val="both"/>
        <w:rPr>
          <w:rFonts w:ascii="Arial" w:hAnsi="Arial" w:cs="Arial"/>
          <w:b/>
          <w:color w:val="000000"/>
        </w:rPr>
      </w:pPr>
      <w:r w:rsidRPr="00F5006D">
        <w:rPr>
          <w:rFonts w:ascii="Arial" w:hAnsi="Arial" w:cs="Arial"/>
          <w:b/>
          <w:color w:val="000000"/>
        </w:rPr>
        <w:t>Rule 26.12. Defendant's Compliance with Monetary and Non-Monetary Terms of a Sentence</w:t>
      </w:r>
    </w:p>
    <w:p w:rsidR="003E01D3" w:rsidRPr="00F5006D" w:rsidRDefault="003E01D3" w:rsidP="000B448F">
      <w:pPr>
        <w:shd w:val="clear" w:color="auto" w:fill="FFFFFF"/>
        <w:spacing w:line="276" w:lineRule="auto"/>
        <w:jc w:val="both"/>
        <w:rPr>
          <w:rFonts w:ascii="Arial" w:hAnsi="Arial" w:cs="Arial"/>
          <w:b/>
          <w:bCs/>
          <w:color w:val="000000"/>
        </w:rPr>
      </w:pPr>
    </w:p>
    <w:p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b/>
          <w:bCs/>
          <w:color w:val="000000"/>
        </w:rPr>
        <w:t>(a) Method of Payment--Installments.</w:t>
      </w:r>
      <w:r w:rsidRPr="00F5006D">
        <w:rPr>
          <w:rFonts w:ascii="Arial" w:hAnsi="Arial" w:cs="Arial"/>
          <w:color w:val="000000"/>
        </w:rPr>
        <w:t xml:space="preserve"> The court may permit the defendant to pay any fine, restitution, or other monetary obligation within a specified </w:t>
      </w:r>
      <w:proofErr w:type="gramStart"/>
      <w:r w:rsidRPr="00F5006D">
        <w:rPr>
          <w:rFonts w:ascii="Arial" w:hAnsi="Arial" w:cs="Arial"/>
          <w:color w:val="000000"/>
        </w:rPr>
        <w:t>period of time</w:t>
      </w:r>
      <w:proofErr w:type="gramEnd"/>
      <w:r w:rsidRPr="00F5006D">
        <w:rPr>
          <w:rFonts w:ascii="Arial" w:hAnsi="Arial" w:cs="Arial"/>
          <w:color w:val="000000"/>
        </w:rPr>
        <w:t xml:space="preserve"> or in specified installments. The defendant must pay restitution as promptly as possible, given the defendant's ability to pay.</w:t>
      </w:r>
    </w:p>
    <w:p w:rsidR="003E01D3" w:rsidRPr="00F5006D" w:rsidRDefault="003E01D3" w:rsidP="000B448F">
      <w:pPr>
        <w:shd w:val="clear" w:color="auto" w:fill="FFFFFF"/>
        <w:spacing w:line="276" w:lineRule="auto"/>
        <w:jc w:val="both"/>
        <w:rPr>
          <w:rFonts w:ascii="Arial" w:hAnsi="Arial" w:cs="Arial"/>
          <w:b/>
          <w:bCs/>
          <w:color w:val="000000"/>
        </w:rPr>
      </w:pPr>
    </w:p>
    <w:p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b/>
          <w:bCs/>
          <w:color w:val="000000"/>
        </w:rPr>
        <w:t>(b) Method of Payment--to Whom.</w:t>
      </w:r>
      <w:r w:rsidRPr="00F5006D">
        <w:rPr>
          <w:rFonts w:ascii="Arial" w:hAnsi="Arial" w:cs="Arial"/>
          <w:color w:val="000000"/>
        </w:rPr>
        <w:t xml:space="preserve"> The defendant must pay a fine, restitution, or other monetary obligations to the court, unless the court orders otherwise. The court must apply the defendant's payments first to satisfy the restitution order and the payment of any restitution in arrears. The court must forward restitution payments to the victim as promptly as practicable.</w:t>
      </w:r>
    </w:p>
    <w:p w:rsidR="003E01D3" w:rsidRPr="00F5006D" w:rsidRDefault="003E01D3" w:rsidP="000B448F">
      <w:pPr>
        <w:shd w:val="clear" w:color="auto" w:fill="FFFFFF"/>
        <w:spacing w:line="276" w:lineRule="auto"/>
        <w:jc w:val="both"/>
        <w:rPr>
          <w:rFonts w:ascii="Arial" w:hAnsi="Arial" w:cs="Arial"/>
          <w:b/>
          <w:bCs/>
          <w:color w:val="000000"/>
        </w:rPr>
      </w:pPr>
    </w:p>
    <w:p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b/>
          <w:bCs/>
          <w:color w:val="000000"/>
        </w:rPr>
        <w:t>(c) Failure to Pay a Monetary Obligation or to Comply with Court Orders.</w:t>
      </w:r>
    </w:p>
    <w:p w:rsidR="003E01D3" w:rsidRPr="00F5006D" w:rsidRDefault="003E01D3" w:rsidP="000B448F">
      <w:pPr>
        <w:shd w:val="clear" w:color="auto" w:fill="FFFFFF"/>
        <w:spacing w:line="276" w:lineRule="auto"/>
        <w:jc w:val="both"/>
        <w:rPr>
          <w:rFonts w:ascii="Arial" w:hAnsi="Arial" w:cs="Arial"/>
          <w:color w:val="000000"/>
        </w:rPr>
      </w:pPr>
    </w:p>
    <w:p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color w:val="000000"/>
        </w:rPr>
        <w:t xml:space="preserve">(1) </w:t>
      </w:r>
      <w:r w:rsidRPr="00F5006D">
        <w:rPr>
          <w:rFonts w:ascii="Arial" w:hAnsi="Arial" w:cs="Arial"/>
          <w:i/>
          <w:iCs/>
          <w:color w:val="000000"/>
        </w:rPr>
        <w:t>Defendants Not on Supervised Probation.</w:t>
      </w:r>
      <w:r w:rsidRPr="00F5006D">
        <w:rPr>
          <w:rFonts w:ascii="Arial" w:hAnsi="Arial" w:cs="Arial"/>
          <w:color w:val="000000"/>
        </w:rPr>
        <w:t xml:space="preserve"> If a defendant who is not on supervised probation fails to pay a fine, restitution, or other monetary obligation, or fails to comply with any other term or condition of sentence within the prescribed time, the court must promptly notify the State.</w:t>
      </w:r>
    </w:p>
    <w:p w:rsidR="003E01D3" w:rsidRPr="00F5006D" w:rsidRDefault="003E01D3" w:rsidP="000B448F">
      <w:pPr>
        <w:shd w:val="clear" w:color="auto" w:fill="FFFFFF"/>
        <w:spacing w:line="276" w:lineRule="auto"/>
        <w:jc w:val="both"/>
        <w:rPr>
          <w:rFonts w:ascii="Arial" w:hAnsi="Arial" w:cs="Arial"/>
          <w:color w:val="000000"/>
        </w:rPr>
      </w:pPr>
    </w:p>
    <w:p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color w:val="000000"/>
        </w:rPr>
        <w:t xml:space="preserve">(2) </w:t>
      </w:r>
      <w:r w:rsidRPr="00F5006D">
        <w:rPr>
          <w:rFonts w:ascii="Arial" w:hAnsi="Arial" w:cs="Arial"/>
          <w:i/>
          <w:iCs/>
          <w:color w:val="000000"/>
        </w:rPr>
        <w:t>Defendants on Supervised Probation.</w:t>
      </w:r>
      <w:r w:rsidRPr="00F5006D">
        <w:rPr>
          <w:rFonts w:ascii="Arial" w:hAnsi="Arial" w:cs="Arial"/>
          <w:color w:val="000000"/>
        </w:rPr>
        <w:t xml:space="preserve"> If a defendant who is on supervised probation fails to pay a fine, restitution, or other monetary obligation, or fails to comply with any other term or condition of probation within the prescribed time, the court must promptly notify the defendant's probation officer.</w:t>
      </w:r>
    </w:p>
    <w:p w:rsidR="003E01D3" w:rsidRPr="00F5006D" w:rsidRDefault="003E01D3" w:rsidP="000B448F">
      <w:pPr>
        <w:shd w:val="clear" w:color="auto" w:fill="FFFFFF"/>
        <w:spacing w:line="276" w:lineRule="auto"/>
        <w:jc w:val="both"/>
        <w:rPr>
          <w:rFonts w:ascii="Arial" w:hAnsi="Arial" w:cs="Arial"/>
          <w:color w:val="000000"/>
        </w:rPr>
      </w:pPr>
    </w:p>
    <w:p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color w:val="000000"/>
        </w:rPr>
        <w:t xml:space="preserve">(3) </w:t>
      </w:r>
      <w:r w:rsidRPr="00F5006D">
        <w:rPr>
          <w:rFonts w:ascii="Arial" w:hAnsi="Arial" w:cs="Arial"/>
          <w:i/>
          <w:iCs/>
          <w:color w:val="000000"/>
        </w:rPr>
        <w:t>Court Action upon Failure of a Defendant to Pay a Fine, Restitution, or Other Monetary Obligation or to Comply with Court Orders.</w:t>
      </w:r>
      <w:r w:rsidRPr="00F5006D">
        <w:rPr>
          <w:rFonts w:ascii="Arial" w:hAnsi="Arial" w:cs="Arial"/>
          <w:color w:val="000000"/>
        </w:rPr>
        <w:t xml:space="preserve"> If the defendant fails to timely pay a fine, restitution, or other monetary obligation, or otherwise fails to comply with a court order, </w:t>
      </w:r>
      <w:r w:rsidRPr="00F5006D">
        <w:rPr>
          <w:rFonts w:ascii="Arial" w:hAnsi="Arial" w:cs="Arial"/>
          <w:color w:val="000000"/>
        </w:rPr>
        <w:lastRenderedPageBreak/>
        <w:t>and fails to respond to a court notice informing the defendant of the consequences and resolution options, the court may issue an arrest warrant or a summons and require the defendant to show cause why he or she should not be held in contempt. The court must issue a summons unless there is reason to believe a warrant is required to secure the defendant's appearance. A prosecutor who requests a warrant, or a judge who orders a warrant, must state the reasons for the issuance of a warrant rather than a summons.</w:t>
      </w:r>
    </w:p>
    <w:p w:rsidR="003E01D3" w:rsidRPr="00F5006D" w:rsidRDefault="003E01D3" w:rsidP="000B448F">
      <w:pPr>
        <w:shd w:val="clear" w:color="auto" w:fill="FFFFFF"/>
        <w:spacing w:line="276" w:lineRule="auto"/>
        <w:jc w:val="both"/>
        <w:rPr>
          <w:rFonts w:ascii="Arial" w:hAnsi="Arial" w:cs="Arial"/>
          <w:color w:val="000000"/>
        </w:rPr>
      </w:pPr>
    </w:p>
    <w:p w:rsidR="005C375F" w:rsidRPr="0007671C" w:rsidRDefault="005C375F" w:rsidP="005C375F">
      <w:pPr>
        <w:shd w:val="clear" w:color="auto" w:fill="FFFFFF"/>
        <w:spacing w:line="276" w:lineRule="auto"/>
        <w:jc w:val="both"/>
        <w:rPr>
          <w:rFonts w:ascii="Arial" w:hAnsi="Arial" w:cs="Arial"/>
          <w:u w:val="single"/>
        </w:rPr>
      </w:pPr>
      <w:r w:rsidRPr="00F5006D">
        <w:rPr>
          <w:rFonts w:ascii="Arial" w:hAnsi="Arial" w:cs="Arial"/>
          <w:color w:val="000000"/>
        </w:rPr>
        <w:t>(4)</w:t>
      </w:r>
      <w:r w:rsidRPr="00F5006D">
        <w:rPr>
          <w:rFonts w:ascii="Arial" w:hAnsi="Arial" w:cs="Arial"/>
          <w:i/>
          <w:color w:val="000000"/>
        </w:rPr>
        <w:t xml:space="preserve"> </w:t>
      </w:r>
      <w:r w:rsidRPr="00F5006D">
        <w:rPr>
          <w:rFonts w:ascii="Arial" w:hAnsi="Arial" w:cs="Arial"/>
          <w:i/>
          <w:color w:val="000000"/>
          <w:u w:val="single"/>
        </w:rPr>
        <w:t>Authority to Modify Monetary Obligation.</w:t>
      </w:r>
      <w:r w:rsidRPr="00F5006D">
        <w:rPr>
          <w:rFonts w:ascii="Arial" w:hAnsi="Arial" w:cs="Arial"/>
          <w:color w:val="000000"/>
        </w:rPr>
        <w:t xml:space="preserve"> </w:t>
      </w:r>
      <w:r w:rsidRPr="00F5006D">
        <w:rPr>
          <w:rFonts w:ascii="Arial" w:hAnsi="Arial" w:cs="Arial"/>
          <w:color w:val="000000"/>
          <w:u w:val="single"/>
        </w:rPr>
        <w:t xml:space="preserve">If the court finds the defendant’s default is not willful and the defendant is unable to pay all or part of the monetary obligation, the court may mitigate the </w:t>
      </w:r>
      <w:r>
        <w:rPr>
          <w:rFonts w:ascii="Arial" w:hAnsi="Arial" w:cs="Arial"/>
          <w:color w:val="000000"/>
          <w:u w:val="single"/>
        </w:rPr>
        <w:t xml:space="preserve">fine, surcharge under A.R.S. §§12-116.01 and 12-116.02, and an assessment under 12-116.08, </w:t>
      </w:r>
      <w:r w:rsidRPr="00F5006D">
        <w:rPr>
          <w:rFonts w:ascii="Arial" w:hAnsi="Arial" w:cs="Arial"/>
          <w:color w:val="000000"/>
          <w:u w:val="single"/>
        </w:rPr>
        <w:t>other than a mandatory fine.</w:t>
      </w:r>
      <w:r w:rsidRPr="003745DF">
        <w:rPr>
          <w:rFonts w:ascii="Arial" w:hAnsi="Arial" w:cs="Arial"/>
          <w:color w:val="000000"/>
          <w:u w:val="single"/>
        </w:rPr>
        <w:t xml:space="preserve"> </w:t>
      </w:r>
      <w:r w:rsidRPr="0007671C">
        <w:rPr>
          <w:rFonts w:ascii="Arial" w:hAnsi="Arial" w:cs="Arial"/>
          <w:color w:val="000000"/>
          <w:u w:val="single"/>
        </w:rPr>
        <w:t>The court may also mitigate a surcharge if a mandatory fine is imposed. In determining whether the defendant is unable to pay all or part of a financial sanction, the court may consider</w:t>
      </w:r>
      <w:r w:rsidRPr="0007671C">
        <w:rPr>
          <w:rFonts w:ascii="Arial" w:hAnsi="Arial" w:cs="Arial"/>
          <w:u w:val="single"/>
        </w:rPr>
        <w:t xml:space="preserve"> any relevant evidence including the factors listed in Rule 24.3(c). </w:t>
      </w:r>
    </w:p>
    <w:p w:rsidR="005C375F" w:rsidRPr="0007671C" w:rsidRDefault="005C375F" w:rsidP="005C375F">
      <w:pPr>
        <w:shd w:val="clear" w:color="auto" w:fill="FFFFFF"/>
        <w:spacing w:line="276" w:lineRule="auto"/>
        <w:jc w:val="both"/>
        <w:rPr>
          <w:rFonts w:ascii="Arial" w:hAnsi="Arial" w:cs="Arial"/>
          <w:color w:val="000000"/>
          <w:u w:val="single"/>
        </w:rPr>
      </w:pPr>
    </w:p>
    <w:p w:rsidR="005C375F" w:rsidRPr="0007671C" w:rsidRDefault="005C375F" w:rsidP="005C375F">
      <w:pPr>
        <w:spacing w:line="276" w:lineRule="auto"/>
        <w:jc w:val="both"/>
        <w:rPr>
          <w:rFonts w:ascii="Arial" w:hAnsi="Arial" w:cs="Arial"/>
          <w:u w:val="single"/>
        </w:rPr>
      </w:pPr>
      <w:r w:rsidRPr="0007671C">
        <w:rPr>
          <w:rFonts w:ascii="Arial" w:hAnsi="Arial" w:cs="Arial"/>
          <w:u w:val="single"/>
        </w:rPr>
        <w:t>(5)</w:t>
      </w:r>
      <w:r w:rsidRPr="0007671C">
        <w:rPr>
          <w:rFonts w:ascii="Arial" w:hAnsi="Arial" w:cs="Arial"/>
          <w:i/>
          <w:u w:val="single"/>
        </w:rPr>
        <w:t xml:space="preserve"> Exclusion of Certain Income.</w:t>
      </w:r>
      <w:r w:rsidRPr="0007671C">
        <w:rPr>
          <w:rFonts w:ascii="Arial" w:hAnsi="Arial" w:cs="Arial"/>
          <w:u w:val="single"/>
        </w:rPr>
        <w:t xml:space="preserve"> Under federal and state law, in determining whether to find the defendant in contempt, </w:t>
      </w:r>
      <w:bookmarkStart w:id="3" w:name="_Hlk521427598"/>
      <w:r w:rsidRPr="0007671C">
        <w:rPr>
          <w:rFonts w:ascii="Arial" w:hAnsi="Arial" w:cs="Arial"/>
          <w:u w:val="single"/>
        </w:rPr>
        <w:t>the court must exclude income derived from the following sources</w:t>
      </w:r>
      <w:bookmarkEnd w:id="3"/>
      <w:r w:rsidRPr="0007671C">
        <w:rPr>
          <w:rFonts w:ascii="Arial" w:hAnsi="Arial" w:cs="Arial"/>
          <w:u w:val="single"/>
        </w:rPr>
        <w:t>:</w:t>
      </w:r>
    </w:p>
    <w:p w:rsidR="005C375F" w:rsidRPr="0007671C" w:rsidRDefault="005C375F" w:rsidP="005C375F">
      <w:pPr>
        <w:spacing w:line="276" w:lineRule="auto"/>
        <w:jc w:val="both"/>
        <w:rPr>
          <w:rFonts w:ascii="Arial" w:hAnsi="Arial" w:cs="Arial"/>
          <w:u w:val="single"/>
        </w:rPr>
      </w:pPr>
    </w:p>
    <w:p w:rsidR="005C375F" w:rsidRPr="0007671C" w:rsidRDefault="005C375F" w:rsidP="005C375F">
      <w:pPr>
        <w:ind w:left="720"/>
        <w:jc w:val="both"/>
        <w:rPr>
          <w:rFonts w:ascii="Arial" w:hAnsi="Arial" w:cs="Arial"/>
          <w:color w:val="000000"/>
          <w:u w:val="single"/>
        </w:rPr>
      </w:pPr>
      <w:bookmarkStart w:id="4" w:name="_Hlk521427403"/>
      <w:r w:rsidRPr="0007671C">
        <w:rPr>
          <w:rFonts w:ascii="Arial" w:hAnsi="Arial" w:cs="Arial"/>
          <w:color w:val="000000"/>
          <w:u w:val="single"/>
        </w:rPr>
        <w:t>(A) The Temporary Assistance for Needy Families Program established by § 403 of Title IV of the Social Security Act (A.R.S. 46-208);</w:t>
      </w:r>
    </w:p>
    <w:p w:rsidR="005C375F" w:rsidRPr="0007671C" w:rsidRDefault="005C375F" w:rsidP="005C375F">
      <w:pPr>
        <w:ind w:left="720"/>
        <w:jc w:val="both"/>
        <w:rPr>
          <w:rFonts w:ascii="Arial" w:hAnsi="Arial" w:cs="Arial"/>
          <w:color w:val="000000"/>
          <w:u w:val="single"/>
        </w:rPr>
      </w:pPr>
      <w:r w:rsidRPr="0007671C">
        <w:rPr>
          <w:rFonts w:ascii="Arial" w:hAnsi="Arial" w:cs="Arial"/>
          <w:color w:val="000000"/>
          <w:u w:val="single"/>
        </w:rPr>
        <w:t>(B) The Supplemental Security Income Program (42 U.S.C. §§ 1381 through 1383f);</w:t>
      </w:r>
    </w:p>
    <w:p w:rsidR="005C375F" w:rsidRPr="0007671C" w:rsidRDefault="005C375F" w:rsidP="005C375F">
      <w:pPr>
        <w:widowControl/>
        <w:autoSpaceDE/>
        <w:autoSpaceDN/>
        <w:adjustRightInd/>
        <w:spacing w:after="240"/>
        <w:ind w:firstLine="720"/>
        <w:contextualSpacing/>
        <w:jc w:val="both"/>
        <w:rPr>
          <w:rFonts w:ascii="Arial" w:hAnsi="Arial" w:cs="Arial"/>
          <w:u w:val="single"/>
        </w:rPr>
      </w:pPr>
      <w:r w:rsidRPr="0007671C">
        <w:rPr>
          <w:rFonts w:ascii="Arial" w:hAnsi="Arial" w:cs="Arial"/>
          <w:u w:val="single"/>
        </w:rPr>
        <w:t>(C) The Social Security Disability Insurance Program (42 U.S.C. §§ 401-433); and</w:t>
      </w:r>
    </w:p>
    <w:p w:rsidR="005C375F" w:rsidRDefault="005C375F" w:rsidP="005C375F">
      <w:pPr>
        <w:widowControl/>
        <w:autoSpaceDE/>
        <w:autoSpaceDN/>
        <w:adjustRightInd/>
        <w:spacing w:after="240"/>
        <w:ind w:firstLine="720"/>
        <w:contextualSpacing/>
        <w:jc w:val="both"/>
        <w:rPr>
          <w:rFonts w:ascii="Arial" w:hAnsi="Arial" w:cs="Arial"/>
          <w:u w:val="single"/>
        </w:rPr>
      </w:pPr>
      <w:r w:rsidRPr="0007671C">
        <w:rPr>
          <w:rFonts w:ascii="Arial" w:hAnsi="Arial" w:cs="Arial"/>
          <w:u w:val="single"/>
        </w:rPr>
        <w:t>(D) Veterans Disability Compensation.</w:t>
      </w:r>
      <w:bookmarkEnd w:id="4"/>
      <w:r w:rsidRPr="00E64261">
        <w:rPr>
          <w:rFonts w:ascii="Arial" w:hAnsi="Arial" w:cs="Arial"/>
          <w:u w:val="single"/>
        </w:rPr>
        <w:t xml:space="preserve"> </w:t>
      </w:r>
    </w:p>
    <w:p w:rsidR="005C375F" w:rsidRPr="00E64261" w:rsidRDefault="005C375F" w:rsidP="005C375F">
      <w:pPr>
        <w:widowControl/>
        <w:autoSpaceDE/>
        <w:autoSpaceDN/>
        <w:adjustRightInd/>
        <w:spacing w:after="240" w:line="360" w:lineRule="auto"/>
        <w:ind w:firstLine="720"/>
        <w:contextualSpacing/>
        <w:jc w:val="both"/>
        <w:rPr>
          <w:rFonts w:ascii="Arial" w:hAnsi="Arial" w:cs="Arial"/>
          <w:color w:val="000000"/>
          <w:u w:val="single"/>
        </w:rPr>
      </w:pPr>
      <w:r w:rsidRPr="00E64261">
        <w:rPr>
          <w:rFonts w:ascii="Arial" w:hAnsi="Arial" w:cs="Arial"/>
          <w:u w:val="single"/>
        </w:rPr>
        <w:t xml:space="preserve"> </w:t>
      </w:r>
    </w:p>
    <w:p w:rsidR="003E01D3" w:rsidRPr="00F5006D" w:rsidRDefault="003E01D3" w:rsidP="000B448F">
      <w:pPr>
        <w:shd w:val="clear" w:color="auto" w:fill="FFFFFF"/>
        <w:spacing w:line="276" w:lineRule="auto"/>
        <w:jc w:val="both"/>
        <w:rPr>
          <w:rFonts w:ascii="Arial" w:hAnsi="Arial" w:cs="Arial"/>
          <w:color w:val="000000"/>
        </w:rPr>
      </w:pPr>
      <w:bookmarkStart w:id="5" w:name="_GoBack"/>
      <w:bookmarkEnd w:id="5"/>
      <w:r w:rsidRPr="005C375F">
        <w:rPr>
          <w:rFonts w:ascii="Arial" w:hAnsi="Arial" w:cs="Arial"/>
          <w:strike/>
          <w:color w:val="000000"/>
          <w:u w:val="single"/>
        </w:rPr>
        <w:t>(</w:t>
      </w:r>
      <w:r w:rsidR="005C375F" w:rsidRPr="005C375F">
        <w:rPr>
          <w:rFonts w:ascii="Arial" w:hAnsi="Arial" w:cs="Arial"/>
          <w:strike/>
          <w:color w:val="000000"/>
          <w:u w:val="single"/>
        </w:rPr>
        <w:t>4</w:t>
      </w:r>
      <w:r w:rsidRPr="005C375F">
        <w:rPr>
          <w:rFonts w:ascii="Arial" w:hAnsi="Arial" w:cs="Arial"/>
          <w:strike/>
          <w:color w:val="000000"/>
          <w:u w:val="single"/>
        </w:rPr>
        <w:t>)</w:t>
      </w:r>
      <w:r w:rsidR="005C375F">
        <w:rPr>
          <w:rFonts w:ascii="Arial" w:hAnsi="Arial" w:cs="Arial"/>
          <w:color w:val="000000"/>
          <w:u w:val="single"/>
        </w:rPr>
        <w:t>(6)</w:t>
      </w:r>
      <w:r w:rsidRPr="00F5006D">
        <w:rPr>
          <w:rFonts w:ascii="Arial" w:hAnsi="Arial" w:cs="Arial"/>
          <w:color w:val="000000"/>
        </w:rPr>
        <w:t xml:space="preserve"> </w:t>
      </w:r>
      <w:r w:rsidRPr="00F5006D">
        <w:rPr>
          <w:rFonts w:ascii="Arial" w:hAnsi="Arial" w:cs="Arial"/>
          <w:i/>
          <w:iCs/>
          <w:color w:val="000000"/>
        </w:rPr>
        <w:t>Incarceration for Contempt.</w:t>
      </w:r>
      <w:r w:rsidRPr="00F5006D">
        <w:rPr>
          <w:rFonts w:ascii="Arial" w:hAnsi="Arial" w:cs="Arial"/>
          <w:color w:val="000000"/>
        </w:rPr>
        <w:t xml:space="preserve"> If the court finds the defendant in contempt for failure to pay a monetary obligation or failure to comply with a court order, before ordering the defendant incarcerated for contempt, the court must determine that no reasonable measures other than incarceration are adequate to meet the State's interests and permit the defendant a reasonable period of time to pay the obligation in full or make other payment arrangements.</w:t>
      </w:r>
    </w:p>
    <w:bookmarkEnd w:id="2"/>
    <w:p w:rsidR="003E01D3" w:rsidRPr="00F5006D" w:rsidRDefault="003E01D3" w:rsidP="000B448F">
      <w:pPr>
        <w:spacing w:line="276" w:lineRule="auto"/>
        <w:jc w:val="both"/>
        <w:rPr>
          <w:rFonts w:ascii="Arial" w:hAnsi="Arial" w:cs="Arial"/>
        </w:rPr>
      </w:pPr>
    </w:p>
    <w:p w:rsidR="00B035E2" w:rsidRPr="00140E75" w:rsidRDefault="00B035E2" w:rsidP="000B448F">
      <w:pPr>
        <w:spacing w:line="276" w:lineRule="auto"/>
        <w:jc w:val="both"/>
        <w:rPr>
          <w:rFonts w:ascii="Arial" w:hAnsi="Arial" w:cs="Arial"/>
        </w:rPr>
      </w:pPr>
    </w:p>
    <w:p w:rsidR="00234836" w:rsidRPr="00140E75" w:rsidRDefault="00B035E2" w:rsidP="000B448F">
      <w:pPr>
        <w:spacing w:line="276" w:lineRule="auto"/>
        <w:jc w:val="both"/>
        <w:rPr>
          <w:rFonts w:ascii="Arial" w:hAnsi="Arial" w:cs="Arial"/>
          <w:b/>
        </w:rPr>
      </w:pPr>
      <w:r w:rsidRPr="00140E75">
        <w:rPr>
          <w:rFonts w:ascii="Arial" w:hAnsi="Arial" w:cs="Arial"/>
          <w:b/>
        </w:rPr>
        <w:t>Rule</w:t>
      </w:r>
      <w:r w:rsidR="0030314F" w:rsidRPr="00140E75">
        <w:rPr>
          <w:rFonts w:ascii="Arial" w:hAnsi="Arial" w:cs="Arial"/>
          <w:b/>
        </w:rPr>
        <w:t xml:space="preserve">s </w:t>
      </w:r>
      <w:r w:rsidRPr="00140E75">
        <w:rPr>
          <w:rFonts w:ascii="Arial" w:hAnsi="Arial" w:cs="Arial"/>
          <w:b/>
        </w:rPr>
        <w:t>of Court Procedure for Civil Traffic and Civil Boating Violations</w:t>
      </w:r>
    </w:p>
    <w:p w:rsidR="00B035E2" w:rsidRPr="00140E75" w:rsidRDefault="00B035E2" w:rsidP="000B448F">
      <w:pPr>
        <w:spacing w:line="276" w:lineRule="auto"/>
        <w:jc w:val="both"/>
        <w:rPr>
          <w:rFonts w:ascii="Arial" w:hAnsi="Arial" w:cs="Arial"/>
          <w:b/>
        </w:rPr>
      </w:pPr>
    </w:p>
    <w:p w:rsidR="00B035E2" w:rsidRPr="00140E75" w:rsidRDefault="00B035E2" w:rsidP="000B448F">
      <w:pPr>
        <w:spacing w:line="276" w:lineRule="auto"/>
        <w:jc w:val="both"/>
        <w:rPr>
          <w:rFonts w:ascii="Arial" w:hAnsi="Arial" w:cs="Arial"/>
        </w:rPr>
      </w:pPr>
      <w:r w:rsidRPr="00140E75">
        <w:rPr>
          <w:rFonts w:ascii="Arial" w:hAnsi="Arial" w:cs="Arial"/>
          <w:b/>
          <w:u w:val="single"/>
        </w:rPr>
        <w:t xml:space="preserve">Rule 24.1. </w:t>
      </w:r>
      <w:r w:rsidR="00140E75">
        <w:rPr>
          <w:rFonts w:ascii="Arial" w:hAnsi="Arial" w:cs="Arial"/>
          <w:b/>
          <w:u w:val="single"/>
        </w:rPr>
        <w:t xml:space="preserve"> Mitigation</w:t>
      </w:r>
    </w:p>
    <w:p w:rsidR="00B035E2" w:rsidRPr="00140E75" w:rsidRDefault="00B035E2" w:rsidP="000B448F">
      <w:pPr>
        <w:spacing w:line="276" w:lineRule="auto"/>
        <w:jc w:val="both"/>
        <w:rPr>
          <w:rFonts w:ascii="Arial" w:hAnsi="Arial" w:cs="Arial"/>
        </w:rPr>
      </w:pPr>
    </w:p>
    <w:p w:rsidR="000C687B" w:rsidRPr="00CA056F" w:rsidRDefault="000C687B" w:rsidP="000B448F">
      <w:pPr>
        <w:shd w:val="clear" w:color="auto" w:fill="FFFFFF"/>
        <w:spacing w:line="276" w:lineRule="auto"/>
        <w:jc w:val="both"/>
        <w:rPr>
          <w:rFonts w:ascii="Arial" w:hAnsi="Arial" w:cs="Arial"/>
          <w:color w:val="000000"/>
          <w:u w:val="single"/>
        </w:rPr>
      </w:pPr>
      <w:r w:rsidRPr="00CA056F">
        <w:rPr>
          <w:rFonts w:ascii="Arial" w:hAnsi="Arial" w:cs="Arial"/>
          <w:color w:val="000000"/>
          <w:u w:val="single"/>
        </w:rPr>
        <w:t>On motion of the defendant, or on the court’s own motion, the court may mitigate a civil</w:t>
      </w:r>
      <w:r w:rsidR="00140E75" w:rsidRPr="00CA056F">
        <w:rPr>
          <w:rFonts w:ascii="Arial" w:hAnsi="Arial" w:cs="Arial"/>
          <w:color w:val="000000"/>
          <w:u w:val="single"/>
        </w:rPr>
        <w:t xml:space="preserve"> penalty imposed pursuant to Title 28,</w:t>
      </w:r>
      <w:r w:rsidR="00140E75" w:rsidRPr="00CA056F">
        <w:rPr>
          <w:u w:val="single"/>
        </w:rPr>
        <w:t xml:space="preserve"> </w:t>
      </w:r>
      <w:r w:rsidR="00140E75" w:rsidRPr="00CA056F">
        <w:rPr>
          <w:rFonts w:ascii="Arial" w:hAnsi="Arial" w:cs="Arial"/>
          <w:u w:val="single"/>
        </w:rPr>
        <w:t>Chapters 3, 5, 7</w:t>
      </w:r>
      <w:r w:rsidR="00CA056F">
        <w:rPr>
          <w:rFonts w:ascii="Arial" w:hAnsi="Arial" w:cs="Arial"/>
          <w:u w:val="single"/>
        </w:rPr>
        <w:t>,</w:t>
      </w:r>
      <w:r w:rsidR="00140E75" w:rsidRPr="00CA056F">
        <w:rPr>
          <w:rFonts w:ascii="Arial" w:hAnsi="Arial" w:cs="Arial"/>
          <w:u w:val="single"/>
        </w:rPr>
        <w:t xml:space="preserve"> and 9</w:t>
      </w:r>
      <w:r w:rsidRPr="00CA056F">
        <w:rPr>
          <w:rFonts w:ascii="Arial" w:hAnsi="Arial" w:cs="Arial"/>
          <w:color w:val="000000"/>
          <w:u w:val="single"/>
        </w:rPr>
        <w:t xml:space="preserve">, </w:t>
      </w:r>
      <w:r w:rsidR="00140E75" w:rsidRPr="00CA056F">
        <w:rPr>
          <w:rFonts w:ascii="Arial" w:hAnsi="Arial" w:cs="Arial"/>
          <w:color w:val="000000"/>
          <w:u w:val="single"/>
        </w:rPr>
        <w:t xml:space="preserve">a surcharge </w:t>
      </w:r>
      <w:r w:rsidR="005B3528" w:rsidRPr="00CA056F">
        <w:rPr>
          <w:rFonts w:ascii="Arial" w:hAnsi="Arial" w:cs="Arial"/>
          <w:color w:val="000000"/>
          <w:u w:val="single"/>
        </w:rPr>
        <w:t>under A.R.S. §§12-116.01 and 12-116.02</w:t>
      </w:r>
      <w:r w:rsidR="00EF61F8" w:rsidRPr="00CA056F">
        <w:rPr>
          <w:rFonts w:ascii="Arial" w:hAnsi="Arial" w:cs="Arial"/>
          <w:color w:val="000000"/>
          <w:u w:val="single"/>
        </w:rPr>
        <w:t>,</w:t>
      </w:r>
      <w:r w:rsidR="005B3528" w:rsidRPr="00CA056F">
        <w:rPr>
          <w:rFonts w:ascii="Arial" w:hAnsi="Arial" w:cs="Arial"/>
          <w:color w:val="000000"/>
          <w:u w:val="single"/>
        </w:rPr>
        <w:t xml:space="preserve"> </w:t>
      </w:r>
      <w:r w:rsidR="00140E75" w:rsidRPr="00CA056F">
        <w:rPr>
          <w:rFonts w:ascii="Arial" w:hAnsi="Arial" w:cs="Arial"/>
          <w:color w:val="000000"/>
          <w:u w:val="single"/>
        </w:rPr>
        <w:t>and an assessment under A.R.S. 12-11</w:t>
      </w:r>
      <w:r w:rsidR="00FE5979">
        <w:rPr>
          <w:rFonts w:ascii="Arial" w:hAnsi="Arial" w:cs="Arial"/>
          <w:color w:val="000000"/>
          <w:u w:val="single"/>
        </w:rPr>
        <w:t>6</w:t>
      </w:r>
      <w:r w:rsidR="00140E75" w:rsidRPr="00CA056F">
        <w:rPr>
          <w:rFonts w:ascii="Arial" w:hAnsi="Arial" w:cs="Arial"/>
          <w:color w:val="000000"/>
          <w:u w:val="single"/>
        </w:rPr>
        <w:t>.08</w:t>
      </w:r>
      <w:r w:rsidR="00CA056F">
        <w:rPr>
          <w:rFonts w:ascii="Arial" w:hAnsi="Arial" w:cs="Arial"/>
          <w:color w:val="000000"/>
          <w:u w:val="single"/>
        </w:rPr>
        <w:t>,</w:t>
      </w:r>
      <w:r w:rsidR="00140E75" w:rsidRPr="00CA056F">
        <w:rPr>
          <w:rFonts w:ascii="Arial" w:hAnsi="Arial" w:cs="Arial"/>
          <w:color w:val="000000"/>
          <w:u w:val="single"/>
        </w:rPr>
        <w:t xml:space="preserve"> </w:t>
      </w:r>
      <w:r w:rsidR="00140E75" w:rsidRPr="00CA056F">
        <w:rPr>
          <w:rFonts w:ascii="Arial" w:hAnsi="Arial" w:cs="Arial"/>
          <w:u w:val="single"/>
        </w:rPr>
        <w:t xml:space="preserve">if the person </w:t>
      </w:r>
      <w:r w:rsidR="00140E75" w:rsidRPr="00CA056F">
        <w:rPr>
          <w:rFonts w:ascii="Arial" w:hAnsi="Arial" w:cs="Arial"/>
          <w:u w:val="single"/>
        </w:rPr>
        <w:lastRenderedPageBreak/>
        <w:t>demonstrates that the payment would be a hardship on the person or on the person's immediate family</w:t>
      </w:r>
      <w:r w:rsidRPr="00CA056F">
        <w:rPr>
          <w:rFonts w:ascii="Arial" w:hAnsi="Arial" w:cs="Arial"/>
          <w:color w:val="000000"/>
          <w:u w:val="single"/>
        </w:rPr>
        <w:t>.</w:t>
      </w:r>
      <w:r w:rsidR="00CA056F">
        <w:rPr>
          <w:rFonts w:ascii="Arial" w:hAnsi="Arial" w:cs="Arial"/>
          <w:color w:val="000000"/>
          <w:u w:val="single"/>
        </w:rPr>
        <w:t xml:space="preserve"> </w:t>
      </w:r>
      <w:r w:rsidRPr="00CA056F">
        <w:rPr>
          <w:rFonts w:ascii="Arial" w:hAnsi="Arial" w:cs="Arial"/>
          <w:color w:val="000000"/>
          <w:u w:val="single"/>
        </w:rPr>
        <w:t xml:space="preserve">In deciding whether to mitigate </w:t>
      </w:r>
      <w:r w:rsidR="0030314F" w:rsidRPr="00CA056F">
        <w:rPr>
          <w:rFonts w:ascii="Arial" w:hAnsi="Arial" w:cs="Arial"/>
          <w:color w:val="000000"/>
          <w:u w:val="single"/>
        </w:rPr>
        <w:t xml:space="preserve">a </w:t>
      </w:r>
      <w:r w:rsidRPr="00CA056F">
        <w:rPr>
          <w:rFonts w:ascii="Arial" w:hAnsi="Arial" w:cs="Arial"/>
          <w:color w:val="000000"/>
          <w:u w:val="single"/>
        </w:rPr>
        <w:t>civil</w:t>
      </w:r>
      <w:r w:rsidR="00140E75" w:rsidRPr="00CA056F">
        <w:rPr>
          <w:rFonts w:ascii="Arial" w:hAnsi="Arial" w:cs="Arial"/>
          <w:color w:val="000000"/>
          <w:u w:val="single"/>
        </w:rPr>
        <w:t xml:space="preserve"> penalty</w:t>
      </w:r>
      <w:r w:rsidRPr="00CA056F">
        <w:rPr>
          <w:rFonts w:ascii="Arial" w:hAnsi="Arial" w:cs="Arial"/>
          <w:color w:val="000000"/>
          <w:u w:val="single"/>
        </w:rPr>
        <w:t xml:space="preserve">, </w:t>
      </w:r>
      <w:r w:rsidR="001E2186" w:rsidRPr="00CA056F">
        <w:rPr>
          <w:rFonts w:ascii="Arial" w:hAnsi="Arial" w:cs="Arial"/>
          <w:color w:val="000000"/>
          <w:u w:val="single"/>
        </w:rPr>
        <w:t>surcharge</w:t>
      </w:r>
      <w:r w:rsidR="00CA056F">
        <w:rPr>
          <w:rFonts w:ascii="Arial" w:hAnsi="Arial" w:cs="Arial"/>
          <w:color w:val="000000"/>
          <w:u w:val="single"/>
        </w:rPr>
        <w:t>,</w:t>
      </w:r>
      <w:r w:rsidR="001E2186" w:rsidRPr="00CA056F">
        <w:rPr>
          <w:rFonts w:ascii="Arial" w:hAnsi="Arial" w:cs="Arial"/>
          <w:color w:val="000000"/>
          <w:u w:val="single"/>
        </w:rPr>
        <w:t xml:space="preserve"> or assessment</w:t>
      </w:r>
      <w:r w:rsidR="00CA056F">
        <w:rPr>
          <w:rFonts w:ascii="Arial" w:hAnsi="Arial" w:cs="Arial"/>
          <w:color w:val="000000"/>
          <w:u w:val="single"/>
        </w:rPr>
        <w:t>,</w:t>
      </w:r>
      <w:r w:rsidR="001E2186" w:rsidRPr="00CA056F">
        <w:rPr>
          <w:rFonts w:ascii="Arial" w:hAnsi="Arial" w:cs="Arial"/>
          <w:color w:val="000000"/>
          <w:u w:val="single"/>
        </w:rPr>
        <w:t xml:space="preserve"> </w:t>
      </w:r>
      <w:r w:rsidRPr="00CA056F">
        <w:rPr>
          <w:rFonts w:ascii="Arial" w:hAnsi="Arial" w:cs="Arial"/>
          <w:color w:val="000000"/>
          <w:u w:val="single"/>
        </w:rPr>
        <w:t xml:space="preserve">the court </w:t>
      </w:r>
      <w:r w:rsidR="00140E75" w:rsidRPr="00CA056F">
        <w:rPr>
          <w:rFonts w:ascii="Arial" w:hAnsi="Arial" w:cs="Arial"/>
          <w:color w:val="000000"/>
          <w:u w:val="single"/>
        </w:rPr>
        <w:t>may consider any relevant evidence including</w:t>
      </w:r>
      <w:r w:rsidRPr="00CA056F">
        <w:rPr>
          <w:rFonts w:ascii="Arial" w:hAnsi="Arial" w:cs="Arial"/>
          <w:color w:val="000000"/>
          <w:u w:val="single"/>
        </w:rPr>
        <w:t>:</w:t>
      </w:r>
    </w:p>
    <w:p w:rsidR="000C687B" w:rsidRPr="00CA056F" w:rsidRDefault="000C687B" w:rsidP="000B448F">
      <w:pPr>
        <w:spacing w:line="276" w:lineRule="auto"/>
        <w:ind w:left="360"/>
        <w:jc w:val="both"/>
        <w:rPr>
          <w:rFonts w:ascii="Arial" w:hAnsi="Arial" w:cs="Arial"/>
          <w:color w:val="000000"/>
          <w:u w:val="single"/>
        </w:rPr>
      </w:pPr>
    </w:p>
    <w:p w:rsidR="000C687B" w:rsidRPr="00140E75" w:rsidRDefault="000C687B" w:rsidP="000B448F">
      <w:pPr>
        <w:spacing w:line="276" w:lineRule="auto"/>
        <w:ind w:left="360"/>
        <w:jc w:val="both"/>
        <w:rPr>
          <w:rFonts w:ascii="Arial" w:hAnsi="Arial" w:cs="Arial"/>
          <w:bCs/>
          <w:color w:val="000000"/>
          <w:u w:val="single"/>
        </w:rPr>
      </w:pPr>
      <w:r w:rsidRPr="00140E75">
        <w:rPr>
          <w:rFonts w:ascii="Arial" w:hAnsi="Arial" w:cs="Arial"/>
          <w:bCs/>
          <w:color w:val="000000"/>
          <w:u w:val="single"/>
        </w:rPr>
        <w:t>(</w:t>
      </w:r>
      <w:r w:rsidR="0030314F" w:rsidRPr="00140E75">
        <w:rPr>
          <w:rFonts w:ascii="Arial" w:hAnsi="Arial" w:cs="Arial"/>
          <w:bCs/>
          <w:color w:val="000000"/>
          <w:u w:val="single"/>
        </w:rPr>
        <w:t>a</w:t>
      </w:r>
      <w:r w:rsidRPr="00140E75">
        <w:rPr>
          <w:rFonts w:ascii="Arial" w:hAnsi="Arial" w:cs="Arial"/>
          <w:bCs/>
          <w:color w:val="000000"/>
          <w:u w:val="single"/>
        </w:rPr>
        <w:t>) The extent of the financial hardship on the defendant or on the defendant’s immediate family.</w:t>
      </w:r>
    </w:p>
    <w:p w:rsidR="000C687B" w:rsidRPr="00140E75" w:rsidRDefault="000C687B" w:rsidP="000B448F">
      <w:pPr>
        <w:spacing w:line="276" w:lineRule="auto"/>
        <w:ind w:left="360"/>
        <w:jc w:val="both"/>
        <w:rPr>
          <w:rFonts w:ascii="Arial" w:hAnsi="Arial" w:cs="Arial"/>
          <w:bCs/>
          <w:color w:val="000000"/>
          <w:u w:val="single"/>
        </w:rPr>
      </w:pPr>
    </w:p>
    <w:p w:rsidR="00C77A84" w:rsidRPr="0007671C" w:rsidRDefault="00C77A84" w:rsidP="00C77A84">
      <w:pPr>
        <w:spacing w:line="276" w:lineRule="auto"/>
        <w:ind w:left="360"/>
        <w:jc w:val="both"/>
        <w:rPr>
          <w:rFonts w:ascii="Arial" w:hAnsi="Arial" w:cs="Arial"/>
          <w:bCs/>
          <w:color w:val="000000"/>
          <w:u w:val="single"/>
        </w:rPr>
      </w:pPr>
      <w:r w:rsidRPr="0007671C">
        <w:rPr>
          <w:rFonts w:ascii="Arial" w:hAnsi="Arial" w:cs="Arial"/>
          <w:bCs/>
          <w:color w:val="000000"/>
          <w:u w:val="single"/>
        </w:rPr>
        <w:t>(b) The defendant’s indigence indicated by qualification for benefits from any of the following:</w:t>
      </w:r>
    </w:p>
    <w:p w:rsidR="000C687B" w:rsidRPr="0007671C" w:rsidRDefault="000C687B" w:rsidP="000B448F">
      <w:pPr>
        <w:spacing w:line="276" w:lineRule="auto"/>
        <w:ind w:left="360"/>
        <w:jc w:val="both"/>
        <w:rPr>
          <w:rFonts w:ascii="Arial" w:hAnsi="Arial" w:cs="Arial"/>
          <w:bCs/>
          <w:color w:val="000000"/>
          <w:u w:val="single"/>
        </w:rPr>
      </w:pPr>
    </w:p>
    <w:p w:rsidR="000C687B" w:rsidRPr="0007671C" w:rsidRDefault="000C687B" w:rsidP="000B448F">
      <w:pPr>
        <w:spacing w:line="276" w:lineRule="auto"/>
        <w:ind w:left="720"/>
        <w:jc w:val="both"/>
        <w:rPr>
          <w:rFonts w:ascii="Arial" w:hAnsi="Arial" w:cs="Arial"/>
          <w:color w:val="000000"/>
          <w:u w:val="single"/>
        </w:rPr>
      </w:pPr>
      <w:r w:rsidRPr="0007671C">
        <w:rPr>
          <w:rFonts w:ascii="Arial" w:hAnsi="Arial" w:cs="Arial"/>
          <w:color w:val="000000"/>
          <w:u w:val="single"/>
        </w:rPr>
        <w:t>(</w:t>
      </w:r>
      <w:r w:rsidR="0030314F" w:rsidRPr="0007671C">
        <w:rPr>
          <w:rFonts w:ascii="Arial" w:hAnsi="Arial" w:cs="Arial"/>
          <w:color w:val="000000"/>
          <w:u w:val="single"/>
        </w:rPr>
        <w:t>1</w:t>
      </w:r>
      <w:r w:rsidRPr="0007671C">
        <w:rPr>
          <w:rFonts w:ascii="Arial" w:hAnsi="Arial" w:cs="Arial"/>
          <w:color w:val="000000"/>
          <w:u w:val="single"/>
        </w:rPr>
        <w:t>) The Temporary Assistance for Needy Families Program established by § 403 of Title IV of the Social Security Act.</w:t>
      </w:r>
    </w:p>
    <w:p w:rsidR="0030314F" w:rsidRPr="0007671C" w:rsidRDefault="0030314F" w:rsidP="000B448F">
      <w:pPr>
        <w:spacing w:line="276" w:lineRule="auto"/>
        <w:ind w:left="720"/>
        <w:jc w:val="both"/>
        <w:rPr>
          <w:rFonts w:ascii="Arial" w:hAnsi="Arial" w:cs="Arial"/>
          <w:color w:val="000000"/>
          <w:u w:val="single"/>
        </w:rPr>
      </w:pPr>
    </w:p>
    <w:p w:rsidR="000C687B" w:rsidRPr="0007671C" w:rsidRDefault="000C687B" w:rsidP="000B448F">
      <w:pPr>
        <w:spacing w:line="276" w:lineRule="auto"/>
        <w:ind w:left="720"/>
        <w:jc w:val="both"/>
        <w:rPr>
          <w:rFonts w:ascii="Arial" w:hAnsi="Arial" w:cs="Arial"/>
          <w:color w:val="000000"/>
          <w:u w:val="single"/>
        </w:rPr>
      </w:pPr>
      <w:r w:rsidRPr="0007671C">
        <w:rPr>
          <w:rFonts w:ascii="Arial" w:hAnsi="Arial" w:cs="Arial"/>
          <w:color w:val="000000"/>
          <w:u w:val="single"/>
        </w:rPr>
        <w:t>(</w:t>
      </w:r>
      <w:r w:rsidR="0030314F" w:rsidRPr="0007671C">
        <w:rPr>
          <w:rFonts w:ascii="Arial" w:hAnsi="Arial" w:cs="Arial"/>
          <w:color w:val="000000"/>
          <w:u w:val="single"/>
        </w:rPr>
        <w:t>2</w:t>
      </w:r>
      <w:r w:rsidRPr="0007671C">
        <w:rPr>
          <w:rFonts w:ascii="Arial" w:hAnsi="Arial" w:cs="Arial"/>
          <w:color w:val="000000"/>
          <w:u w:val="single"/>
        </w:rPr>
        <w:t>) The Supplemental Nutrition Assistance Program (7 U.S. C. §§ 2011 through 2036c).</w:t>
      </w:r>
    </w:p>
    <w:p w:rsidR="0030314F" w:rsidRPr="0007671C" w:rsidRDefault="0030314F" w:rsidP="000B448F">
      <w:pPr>
        <w:spacing w:line="276" w:lineRule="auto"/>
        <w:ind w:left="720"/>
        <w:jc w:val="both"/>
        <w:rPr>
          <w:rFonts w:ascii="Arial" w:hAnsi="Arial" w:cs="Arial"/>
          <w:color w:val="000000"/>
          <w:u w:val="single"/>
        </w:rPr>
      </w:pPr>
    </w:p>
    <w:p w:rsidR="000C687B" w:rsidRPr="0007671C" w:rsidRDefault="000C687B" w:rsidP="000B448F">
      <w:pPr>
        <w:spacing w:line="276" w:lineRule="auto"/>
        <w:ind w:left="720"/>
        <w:jc w:val="both"/>
        <w:rPr>
          <w:rFonts w:ascii="Arial" w:hAnsi="Arial" w:cs="Arial"/>
          <w:color w:val="000000"/>
          <w:u w:val="single"/>
        </w:rPr>
      </w:pPr>
      <w:r w:rsidRPr="0007671C">
        <w:rPr>
          <w:rFonts w:ascii="Arial" w:hAnsi="Arial" w:cs="Arial"/>
          <w:color w:val="000000"/>
          <w:u w:val="single"/>
        </w:rPr>
        <w:t>(</w:t>
      </w:r>
      <w:r w:rsidR="0030314F" w:rsidRPr="0007671C">
        <w:rPr>
          <w:rFonts w:ascii="Arial" w:hAnsi="Arial" w:cs="Arial"/>
          <w:color w:val="000000"/>
          <w:u w:val="single"/>
        </w:rPr>
        <w:t>3</w:t>
      </w:r>
      <w:r w:rsidRPr="0007671C">
        <w:rPr>
          <w:rFonts w:ascii="Arial" w:hAnsi="Arial" w:cs="Arial"/>
          <w:color w:val="000000"/>
          <w:u w:val="single"/>
        </w:rPr>
        <w:t>) The Supplemental Security Income Program (42 U.S.C. §§ 1381 through 1383f).</w:t>
      </w:r>
    </w:p>
    <w:p w:rsidR="0007671C" w:rsidRPr="0007671C" w:rsidRDefault="0007671C" w:rsidP="000B448F">
      <w:pPr>
        <w:spacing w:line="276" w:lineRule="auto"/>
        <w:ind w:left="720"/>
        <w:jc w:val="both"/>
        <w:rPr>
          <w:rFonts w:ascii="Arial" w:hAnsi="Arial" w:cs="Arial"/>
          <w:color w:val="000000"/>
          <w:u w:val="single"/>
        </w:rPr>
      </w:pPr>
    </w:p>
    <w:p w:rsidR="0007671C" w:rsidRPr="0007671C" w:rsidRDefault="0007671C" w:rsidP="0007671C">
      <w:pPr>
        <w:spacing w:line="276" w:lineRule="auto"/>
        <w:ind w:left="720"/>
        <w:jc w:val="both"/>
        <w:rPr>
          <w:rFonts w:ascii="Arial" w:hAnsi="Arial" w:cs="Arial"/>
          <w:color w:val="000000"/>
          <w:u w:val="single"/>
        </w:rPr>
      </w:pPr>
      <w:r w:rsidRPr="0007671C">
        <w:rPr>
          <w:rFonts w:ascii="Arial" w:hAnsi="Arial" w:cs="Arial"/>
          <w:color w:val="000000"/>
          <w:u w:val="single"/>
        </w:rPr>
        <w:t>(4</w:t>
      </w:r>
      <w:r w:rsidRPr="0007671C">
        <w:rPr>
          <w:rFonts w:ascii="Arial" w:hAnsi="Arial" w:cs="Arial"/>
          <w:color w:val="000000"/>
          <w:u w:val="single"/>
        </w:rPr>
        <w:t xml:space="preserve">) The Medicaid Program (42 U.S.C. §§ 1396 et seq.) </w:t>
      </w:r>
    </w:p>
    <w:p w:rsidR="0007671C" w:rsidRPr="0007671C" w:rsidRDefault="0007671C" w:rsidP="000B448F">
      <w:pPr>
        <w:spacing w:line="276" w:lineRule="auto"/>
        <w:ind w:left="720"/>
        <w:jc w:val="both"/>
        <w:rPr>
          <w:rFonts w:ascii="Arial" w:hAnsi="Arial" w:cs="Arial"/>
          <w:color w:val="000000"/>
          <w:u w:val="single"/>
        </w:rPr>
      </w:pPr>
    </w:p>
    <w:p w:rsidR="000C687B" w:rsidRPr="0007671C" w:rsidRDefault="000C687B" w:rsidP="000B448F">
      <w:pPr>
        <w:spacing w:line="276" w:lineRule="auto"/>
        <w:ind w:left="360"/>
        <w:jc w:val="both"/>
        <w:rPr>
          <w:rFonts w:ascii="Arial" w:hAnsi="Arial" w:cs="Arial"/>
          <w:color w:val="000000"/>
          <w:u w:val="single"/>
        </w:rPr>
      </w:pPr>
      <w:r w:rsidRPr="0007671C">
        <w:rPr>
          <w:rFonts w:ascii="Arial" w:hAnsi="Arial" w:cs="Arial"/>
          <w:color w:val="000000"/>
          <w:u w:val="single"/>
        </w:rPr>
        <w:t>(</w:t>
      </w:r>
      <w:r w:rsidR="0030314F" w:rsidRPr="0007671C">
        <w:rPr>
          <w:rFonts w:ascii="Arial" w:hAnsi="Arial" w:cs="Arial"/>
          <w:color w:val="000000"/>
          <w:u w:val="single"/>
        </w:rPr>
        <w:t>c</w:t>
      </w:r>
      <w:r w:rsidRPr="0007671C">
        <w:rPr>
          <w:rFonts w:ascii="Arial" w:hAnsi="Arial" w:cs="Arial"/>
          <w:color w:val="000000"/>
          <w:u w:val="single"/>
        </w:rPr>
        <w:t xml:space="preserve">) Whether the defendant is seeking, obtaining, or maintaining employment if </w:t>
      </w:r>
      <w:r w:rsidR="00C77A84" w:rsidRPr="0007671C">
        <w:rPr>
          <w:rFonts w:ascii="Arial" w:hAnsi="Arial" w:cs="Arial"/>
          <w:color w:val="000000"/>
          <w:u w:val="single"/>
        </w:rPr>
        <w:t xml:space="preserve">able and </w:t>
      </w:r>
      <w:r w:rsidRPr="0007671C">
        <w:rPr>
          <w:rFonts w:ascii="Arial" w:hAnsi="Arial" w:cs="Arial"/>
          <w:color w:val="000000"/>
          <w:u w:val="single"/>
        </w:rPr>
        <w:t>legally permitted to do so</w:t>
      </w:r>
      <w:r w:rsidR="00C77A84" w:rsidRPr="0007671C">
        <w:rPr>
          <w:rFonts w:ascii="Arial" w:hAnsi="Arial" w:cs="Arial"/>
          <w:color w:val="000000"/>
          <w:u w:val="single"/>
        </w:rPr>
        <w:t>,</w:t>
      </w:r>
      <w:r w:rsidRPr="0007671C">
        <w:rPr>
          <w:rFonts w:ascii="Arial" w:hAnsi="Arial" w:cs="Arial"/>
          <w:color w:val="000000"/>
          <w:u w:val="single"/>
        </w:rPr>
        <w:t xml:space="preserve"> or is attending school.</w:t>
      </w:r>
    </w:p>
    <w:p w:rsidR="000C687B" w:rsidRPr="0007671C" w:rsidRDefault="000C687B" w:rsidP="000B448F">
      <w:pPr>
        <w:spacing w:line="276" w:lineRule="auto"/>
        <w:ind w:left="360"/>
        <w:jc w:val="both"/>
        <w:rPr>
          <w:rFonts w:ascii="Arial" w:hAnsi="Arial" w:cs="Arial"/>
          <w:color w:val="000000"/>
          <w:u w:val="single"/>
        </w:rPr>
      </w:pPr>
    </w:p>
    <w:p w:rsidR="00B035E2" w:rsidRDefault="000C687B" w:rsidP="000B448F">
      <w:pPr>
        <w:spacing w:line="276" w:lineRule="auto"/>
        <w:ind w:left="360"/>
        <w:jc w:val="both"/>
        <w:rPr>
          <w:rFonts w:ascii="Arial" w:hAnsi="Arial" w:cs="Arial"/>
          <w:color w:val="000000"/>
          <w:u w:val="single"/>
        </w:rPr>
      </w:pPr>
      <w:r w:rsidRPr="0007671C">
        <w:rPr>
          <w:rFonts w:ascii="Arial" w:hAnsi="Arial" w:cs="Arial"/>
          <w:color w:val="000000"/>
          <w:u w:val="single"/>
        </w:rPr>
        <w:t>(</w:t>
      </w:r>
      <w:r w:rsidR="0030314F" w:rsidRPr="0007671C">
        <w:rPr>
          <w:rFonts w:ascii="Arial" w:hAnsi="Arial" w:cs="Arial"/>
          <w:color w:val="000000"/>
          <w:u w:val="single"/>
        </w:rPr>
        <w:t>d</w:t>
      </w:r>
      <w:r w:rsidRPr="0007671C">
        <w:rPr>
          <w:rFonts w:ascii="Arial" w:hAnsi="Arial" w:cs="Arial"/>
          <w:color w:val="000000"/>
          <w:u w:val="single"/>
        </w:rPr>
        <w:t xml:space="preserve">) The defendant’s medical </w:t>
      </w:r>
      <w:r w:rsidR="00C77A84" w:rsidRPr="0007671C">
        <w:rPr>
          <w:rFonts w:ascii="Arial" w:hAnsi="Arial" w:cs="Arial"/>
          <w:color w:val="000000"/>
          <w:u w:val="single"/>
        </w:rPr>
        <w:t xml:space="preserve">and mental </w:t>
      </w:r>
      <w:r w:rsidRPr="0007671C">
        <w:rPr>
          <w:rFonts w:ascii="Arial" w:hAnsi="Arial" w:cs="Arial"/>
          <w:color w:val="000000"/>
          <w:u w:val="single"/>
        </w:rPr>
        <w:t>condition.</w:t>
      </w:r>
    </w:p>
    <w:p w:rsidR="005B3528" w:rsidRPr="005B3528" w:rsidRDefault="005B3528" w:rsidP="000B448F">
      <w:pPr>
        <w:spacing w:line="276" w:lineRule="auto"/>
        <w:ind w:left="360"/>
        <w:jc w:val="both"/>
        <w:rPr>
          <w:rFonts w:ascii="Arial" w:hAnsi="Arial" w:cs="Arial"/>
          <w:color w:val="000000"/>
          <w:sz w:val="20"/>
          <w:szCs w:val="20"/>
          <w:u w:val="single"/>
        </w:rPr>
      </w:pPr>
    </w:p>
    <w:sectPr w:rsidR="005B3528" w:rsidRPr="005B3528" w:rsidSect="00BE3FE9">
      <w:footerReference w:type="default" r:id="rId10"/>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080" w:rsidRDefault="00ED7080">
      <w:r>
        <w:separator/>
      </w:r>
    </w:p>
  </w:endnote>
  <w:endnote w:type="continuationSeparator" w:id="0">
    <w:p w:rsidR="00ED7080" w:rsidRDefault="00ED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840695"/>
      <w:docPartObj>
        <w:docPartGallery w:val="Page Numbers (Bottom of Page)"/>
        <w:docPartUnique/>
      </w:docPartObj>
    </w:sdtPr>
    <w:sdtEndPr>
      <w:rPr>
        <w:noProof/>
      </w:rPr>
    </w:sdtEndPr>
    <w:sdtContent>
      <w:p w:rsidR="00BE3FE9" w:rsidRDefault="00BE3F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77FEB" w:rsidRPr="001A11F8" w:rsidRDefault="00677FEB">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770841"/>
      <w:docPartObj>
        <w:docPartGallery w:val="Page Numbers (Bottom of Page)"/>
        <w:docPartUnique/>
      </w:docPartObj>
    </w:sdtPr>
    <w:sdtEndPr>
      <w:rPr>
        <w:noProof/>
      </w:rPr>
    </w:sdtEndPr>
    <w:sdtContent>
      <w:p w:rsidR="00BE3FE9" w:rsidRDefault="00BE3FE9">
        <w:pPr>
          <w:pStyle w:val="Footer"/>
          <w:jc w:val="center"/>
        </w:pPr>
        <w:r>
          <w:t xml:space="preserve">Appendix A – Page </w:t>
        </w:r>
        <w:r>
          <w:fldChar w:fldCharType="begin"/>
        </w:r>
        <w:r>
          <w:instrText xml:space="preserve"> PAGE   \* MERGEFORMAT </w:instrText>
        </w:r>
        <w:r>
          <w:fldChar w:fldCharType="separate"/>
        </w:r>
        <w:r>
          <w:rPr>
            <w:noProof/>
          </w:rPr>
          <w:t>2</w:t>
        </w:r>
        <w:r>
          <w:rPr>
            <w:noProof/>
          </w:rPr>
          <w:fldChar w:fldCharType="end"/>
        </w:r>
      </w:p>
    </w:sdtContent>
  </w:sdt>
  <w:p w:rsidR="00BE3FE9" w:rsidRPr="001A11F8" w:rsidRDefault="00BE3FE9">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080" w:rsidRDefault="00ED7080">
      <w:r>
        <w:separator/>
      </w:r>
    </w:p>
  </w:footnote>
  <w:footnote w:type="continuationSeparator" w:id="0">
    <w:p w:rsidR="00ED7080" w:rsidRDefault="00ED7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B5FA5"/>
    <w:multiLevelType w:val="hybridMultilevel"/>
    <w:tmpl w:val="ED78A0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8C6D0C"/>
    <w:multiLevelType w:val="hybridMultilevel"/>
    <w:tmpl w:val="C9A2F9AC"/>
    <w:lvl w:ilvl="0" w:tplc="7486AC5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5A458C"/>
    <w:multiLevelType w:val="hybridMultilevel"/>
    <w:tmpl w:val="726622EA"/>
    <w:lvl w:ilvl="0" w:tplc="ED8CC576">
      <w:start w:val="1"/>
      <w:numFmt w:val="upperLetter"/>
      <w:lvlText w:val="(%1)"/>
      <w:lvlJc w:val="left"/>
      <w:pPr>
        <w:ind w:left="1665" w:hanging="405"/>
      </w:pPr>
      <w:rPr>
        <w:rFonts w:hint="default"/>
        <w:b w:val="0"/>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2369378A"/>
    <w:multiLevelType w:val="hybridMultilevel"/>
    <w:tmpl w:val="7B40A83A"/>
    <w:lvl w:ilvl="0" w:tplc="6B38B46E">
      <w:start w:val="1"/>
      <w:numFmt w:val="upperLetter"/>
      <w:lvlText w:val="%1."/>
      <w:lvlJc w:val="left"/>
      <w:pPr>
        <w:ind w:left="2970" w:hanging="360"/>
      </w:pPr>
      <w:rPr>
        <w:rFonts w:hint="default"/>
        <w:i/>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00CC5"/>
    <w:multiLevelType w:val="hybridMultilevel"/>
    <w:tmpl w:val="A8B48548"/>
    <w:lvl w:ilvl="0" w:tplc="2AAA2FE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C930F4"/>
    <w:multiLevelType w:val="hybridMultilevel"/>
    <w:tmpl w:val="79DC5140"/>
    <w:lvl w:ilvl="0" w:tplc="939EAB94">
      <w:start w:val="1"/>
      <w:numFmt w:val="upperRoman"/>
      <w:lvlText w:val="%1."/>
      <w:lvlJc w:val="left"/>
      <w:pPr>
        <w:ind w:left="1440" w:hanging="72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CC769E"/>
    <w:multiLevelType w:val="hybridMultilevel"/>
    <w:tmpl w:val="B0320002"/>
    <w:lvl w:ilvl="0" w:tplc="C1CE98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6693B"/>
    <w:multiLevelType w:val="hybridMultilevel"/>
    <w:tmpl w:val="216CB81A"/>
    <w:lvl w:ilvl="0" w:tplc="CD2EDE0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426B84"/>
    <w:multiLevelType w:val="hybridMultilevel"/>
    <w:tmpl w:val="C10A3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74EF53A4"/>
    <w:multiLevelType w:val="hybridMultilevel"/>
    <w:tmpl w:val="87681C2A"/>
    <w:lvl w:ilvl="0" w:tplc="BB542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6B0B04"/>
    <w:multiLevelType w:val="hybridMultilevel"/>
    <w:tmpl w:val="9F0AD6C6"/>
    <w:lvl w:ilvl="0" w:tplc="7DCC887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8954640"/>
    <w:multiLevelType w:val="hybridMultilevel"/>
    <w:tmpl w:val="81D42AB6"/>
    <w:lvl w:ilvl="0" w:tplc="F64A3A7E">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6"/>
  </w:num>
  <w:num w:numId="3">
    <w:abstractNumId w:val="4"/>
  </w:num>
  <w:num w:numId="4">
    <w:abstractNumId w:val="3"/>
  </w:num>
  <w:num w:numId="5">
    <w:abstractNumId w:val="10"/>
  </w:num>
  <w:num w:numId="6">
    <w:abstractNumId w:val="1"/>
  </w:num>
  <w:num w:numId="7">
    <w:abstractNumId w:val="16"/>
  </w:num>
  <w:num w:numId="8">
    <w:abstractNumId w:val="12"/>
  </w:num>
  <w:num w:numId="9">
    <w:abstractNumId w:val="8"/>
  </w:num>
  <w:num w:numId="10">
    <w:abstractNumId w:val="11"/>
  </w:num>
  <w:num w:numId="11">
    <w:abstractNumId w:val="0"/>
  </w:num>
  <w:num w:numId="12">
    <w:abstractNumId w:val="14"/>
  </w:num>
  <w:num w:numId="13">
    <w:abstractNumId w:val="5"/>
  </w:num>
  <w:num w:numId="14">
    <w:abstractNumId w:val="9"/>
  </w:num>
  <w:num w:numId="15">
    <w:abstractNumId w:val="2"/>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45"/>
    <w:rsid w:val="00002B79"/>
    <w:rsid w:val="000046AD"/>
    <w:rsid w:val="00021D9E"/>
    <w:rsid w:val="0002391C"/>
    <w:rsid w:val="0003501A"/>
    <w:rsid w:val="00037C21"/>
    <w:rsid w:val="000435AC"/>
    <w:rsid w:val="000468C5"/>
    <w:rsid w:val="000538E6"/>
    <w:rsid w:val="000727E0"/>
    <w:rsid w:val="0007283F"/>
    <w:rsid w:val="0007671C"/>
    <w:rsid w:val="00077575"/>
    <w:rsid w:val="00086525"/>
    <w:rsid w:val="0008690D"/>
    <w:rsid w:val="000A1504"/>
    <w:rsid w:val="000B448F"/>
    <w:rsid w:val="000C2EAE"/>
    <w:rsid w:val="000C687B"/>
    <w:rsid w:val="000D019E"/>
    <w:rsid w:val="000D4560"/>
    <w:rsid w:val="000E5798"/>
    <w:rsid w:val="00107C7B"/>
    <w:rsid w:val="00110DFE"/>
    <w:rsid w:val="0011790D"/>
    <w:rsid w:val="00126980"/>
    <w:rsid w:val="00140E75"/>
    <w:rsid w:val="00152ABB"/>
    <w:rsid w:val="00156988"/>
    <w:rsid w:val="00187035"/>
    <w:rsid w:val="001A11F8"/>
    <w:rsid w:val="001C5011"/>
    <w:rsid w:val="001D0FE3"/>
    <w:rsid w:val="001E2186"/>
    <w:rsid w:val="001E5725"/>
    <w:rsid w:val="00213896"/>
    <w:rsid w:val="00230513"/>
    <w:rsid w:val="00234836"/>
    <w:rsid w:val="00234868"/>
    <w:rsid w:val="0024292C"/>
    <w:rsid w:val="002470AC"/>
    <w:rsid w:val="002509A6"/>
    <w:rsid w:val="002537B2"/>
    <w:rsid w:val="002676D7"/>
    <w:rsid w:val="0027286E"/>
    <w:rsid w:val="00296045"/>
    <w:rsid w:val="002A5BC4"/>
    <w:rsid w:val="002B5714"/>
    <w:rsid w:val="002E4333"/>
    <w:rsid w:val="002F6CDD"/>
    <w:rsid w:val="0030314F"/>
    <w:rsid w:val="00304954"/>
    <w:rsid w:val="003071E1"/>
    <w:rsid w:val="00317BEF"/>
    <w:rsid w:val="0032216A"/>
    <w:rsid w:val="00322D80"/>
    <w:rsid w:val="0033044F"/>
    <w:rsid w:val="00360CE8"/>
    <w:rsid w:val="0036152E"/>
    <w:rsid w:val="003615D8"/>
    <w:rsid w:val="00367B35"/>
    <w:rsid w:val="00367ECD"/>
    <w:rsid w:val="0037149E"/>
    <w:rsid w:val="003745DF"/>
    <w:rsid w:val="0038748C"/>
    <w:rsid w:val="003A5634"/>
    <w:rsid w:val="003B42A4"/>
    <w:rsid w:val="003C1C5B"/>
    <w:rsid w:val="003D0BC9"/>
    <w:rsid w:val="003E01D3"/>
    <w:rsid w:val="00401A03"/>
    <w:rsid w:val="00402283"/>
    <w:rsid w:val="00406105"/>
    <w:rsid w:val="00410337"/>
    <w:rsid w:val="00413518"/>
    <w:rsid w:val="004226BE"/>
    <w:rsid w:val="004259AE"/>
    <w:rsid w:val="004308A2"/>
    <w:rsid w:val="00432BF7"/>
    <w:rsid w:val="0043417D"/>
    <w:rsid w:val="00450FEA"/>
    <w:rsid w:val="00451C67"/>
    <w:rsid w:val="00460670"/>
    <w:rsid w:val="004638E2"/>
    <w:rsid w:val="004656AB"/>
    <w:rsid w:val="00481BE3"/>
    <w:rsid w:val="00485E80"/>
    <w:rsid w:val="00486C65"/>
    <w:rsid w:val="004942C7"/>
    <w:rsid w:val="004A1C5F"/>
    <w:rsid w:val="004C0AE1"/>
    <w:rsid w:val="004D66CA"/>
    <w:rsid w:val="004E1F11"/>
    <w:rsid w:val="004E3C9F"/>
    <w:rsid w:val="00530DC6"/>
    <w:rsid w:val="0054245D"/>
    <w:rsid w:val="005466B4"/>
    <w:rsid w:val="00555CF7"/>
    <w:rsid w:val="00561A63"/>
    <w:rsid w:val="00562E2D"/>
    <w:rsid w:val="00564C83"/>
    <w:rsid w:val="00585212"/>
    <w:rsid w:val="00595478"/>
    <w:rsid w:val="00597806"/>
    <w:rsid w:val="005A4087"/>
    <w:rsid w:val="005A4485"/>
    <w:rsid w:val="005B3528"/>
    <w:rsid w:val="005B44A6"/>
    <w:rsid w:val="005C3195"/>
    <w:rsid w:val="005C353D"/>
    <w:rsid w:val="005C375F"/>
    <w:rsid w:val="005E6F28"/>
    <w:rsid w:val="005F162E"/>
    <w:rsid w:val="0060637B"/>
    <w:rsid w:val="00612A85"/>
    <w:rsid w:val="00627976"/>
    <w:rsid w:val="00636A7C"/>
    <w:rsid w:val="006400BE"/>
    <w:rsid w:val="00641A8E"/>
    <w:rsid w:val="00663DE0"/>
    <w:rsid w:val="00663EA1"/>
    <w:rsid w:val="0067305E"/>
    <w:rsid w:val="00677FEB"/>
    <w:rsid w:val="006847E3"/>
    <w:rsid w:val="006A6BA4"/>
    <w:rsid w:val="006C0C5A"/>
    <w:rsid w:val="00701991"/>
    <w:rsid w:val="007160F1"/>
    <w:rsid w:val="007233FC"/>
    <w:rsid w:val="00755847"/>
    <w:rsid w:val="00766321"/>
    <w:rsid w:val="00766541"/>
    <w:rsid w:val="00770FF8"/>
    <w:rsid w:val="00773A7A"/>
    <w:rsid w:val="00773F64"/>
    <w:rsid w:val="00775019"/>
    <w:rsid w:val="00786FB6"/>
    <w:rsid w:val="007873D0"/>
    <w:rsid w:val="00791122"/>
    <w:rsid w:val="00791598"/>
    <w:rsid w:val="0079252F"/>
    <w:rsid w:val="007D2DD4"/>
    <w:rsid w:val="007D5685"/>
    <w:rsid w:val="007D577E"/>
    <w:rsid w:val="007D72B4"/>
    <w:rsid w:val="007F0D34"/>
    <w:rsid w:val="007F0F1A"/>
    <w:rsid w:val="008054EA"/>
    <w:rsid w:val="008422AD"/>
    <w:rsid w:val="00844458"/>
    <w:rsid w:val="0085208F"/>
    <w:rsid w:val="008765E9"/>
    <w:rsid w:val="00877CE0"/>
    <w:rsid w:val="0088108C"/>
    <w:rsid w:val="00893454"/>
    <w:rsid w:val="00897330"/>
    <w:rsid w:val="008A2A63"/>
    <w:rsid w:val="008B6C21"/>
    <w:rsid w:val="008D01CE"/>
    <w:rsid w:val="008E64F5"/>
    <w:rsid w:val="008F1958"/>
    <w:rsid w:val="00903197"/>
    <w:rsid w:val="0092381D"/>
    <w:rsid w:val="009305AD"/>
    <w:rsid w:val="009419A8"/>
    <w:rsid w:val="00944B70"/>
    <w:rsid w:val="009549F2"/>
    <w:rsid w:val="00961D3D"/>
    <w:rsid w:val="00965236"/>
    <w:rsid w:val="00974A48"/>
    <w:rsid w:val="00982A49"/>
    <w:rsid w:val="00996709"/>
    <w:rsid w:val="009A305D"/>
    <w:rsid w:val="009A54E1"/>
    <w:rsid w:val="009C02E4"/>
    <w:rsid w:val="009C6A75"/>
    <w:rsid w:val="009C7E0D"/>
    <w:rsid w:val="009D07CF"/>
    <w:rsid w:val="009E2DC0"/>
    <w:rsid w:val="009F0D89"/>
    <w:rsid w:val="00A00629"/>
    <w:rsid w:val="00A022B8"/>
    <w:rsid w:val="00A11613"/>
    <w:rsid w:val="00A2263E"/>
    <w:rsid w:val="00A23D17"/>
    <w:rsid w:val="00A34E69"/>
    <w:rsid w:val="00A37383"/>
    <w:rsid w:val="00A4421B"/>
    <w:rsid w:val="00A44A90"/>
    <w:rsid w:val="00A55461"/>
    <w:rsid w:val="00A55F57"/>
    <w:rsid w:val="00A6224C"/>
    <w:rsid w:val="00A63684"/>
    <w:rsid w:val="00A66AB0"/>
    <w:rsid w:val="00A67B9D"/>
    <w:rsid w:val="00A72FF5"/>
    <w:rsid w:val="00A8181E"/>
    <w:rsid w:val="00A819D8"/>
    <w:rsid w:val="00AA3910"/>
    <w:rsid w:val="00AB2B65"/>
    <w:rsid w:val="00AB2DBE"/>
    <w:rsid w:val="00AB55F8"/>
    <w:rsid w:val="00AC10E2"/>
    <w:rsid w:val="00AC678C"/>
    <w:rsid w:val="00AD65B2"/>
    <w:rsid w:val="00AE239C"/>
    <w:rsid w:val="00AE4855"/>
    <w:rsid w:val="00AE4D78"/>
    <w:rsid w:val="00AE5191"/>
    <w:rsid w:val="00AE6A70"/>
    <w:rsid w:val="00AF1745"/>
    <w:rsid w:val="00AF292E"/>
    <w:rsid w:val="00B0073E"/>
    <w:rsid w:val="00B028CB"/>
    <w:rsid w:val="00B035E2"/>
    <w:rsid w:val="00B21B9E"/>
    <w:rsid w:val="00B310FD"/>
    <w:rsid w:val="00B32964"/>
    <w:rsid w:val="00B50031"/>
    <w:rsid w:val="00B512FF"/>
    <w:rsid w:val="00B576DF"/>
    <w:rsid w:val="00B6149D"/>
    <w:rsid w:val="00B661D3"/>
    <w:rsid w:val="00B841FC"/>
    <w:rsid w:val="00B872F9"/>
    <w:rsid w:val="00BB4D72"/>
    <w:rsid w:val="00BC3B4B"/>
    <w:rsid w:val="00BC6084"/>
    <w:rsid w:val="00BD619A"/>
    <w:rsid w:val="00BE0F66"/>
    <w:rsid w:val="00BE3FE9"/>
    <w:rsid w:val="00BF03BB"/>
    <w:rsid w:val="00BF6396"/>
    <w:rsid w:val="00C15863"/>
    <w:rsid w:val="00C20882"/>
    <w:rsid w:val="00C21EC0"/>
    <w:rsid w:val="00C271A4"/>
    <w:rsid w:val="00C530B0"/>
    <w:rsid w:val="00C6658F"/>
    <w:rsid w:val="00C71BC2"/>
    <w:rsid w:val="00C77A84"/>
    <w:rsid w:val="00C8013C"/>
    <w:rsid w:val="00C87271"/>
    <w:rsid w:val="00C931EF"/>
    <w:rsid w:val="00C96C36"/>
    <w:rsid w:val="00CA056F"/>
    <w:rsid w:val="00CA17E9"/>
    <w:rsid w:val="00CB15F1"/>
    <w:rsid w:val="00CB38EC"/>
    <w:rsid w:val="00CB60A2"/>
    <w:rsid w:val="00CD6BD3"/>
    <w:rsid w:val="00CE2017"/>
    <w:rsid w:val="00CE581D"/>
    <w:rsid w:val="00CE6C56"/>
    <w:rsid w:val="00CF1D17"/>
    <w:rsid w:val="00CF5830"/>
    <w:rsid w:val="00D245C4"/>
    <w:rsid w:val="00D33F38"/>
    <w:rsid w:val="00D67444"/>
    <w:rsid w:val="00D70019"/>
    <w:rsid w:val="00D80D00"/>
    <w:rsid w:val="00D834F2"/>
    <w:rsid w:val="00D91A14"/>
    <w:rsid w:val="00D95054"/>
    <w:rsid w:val="00D965DB"/>
    <w:rsid w:val="00DA1FDF"/>
    <w:rsid w:val="00DB0BFD"/>
    <w:rsid w:val="00DC44DD"/>
    <w:rsid w:val="00DD4054"/>
    <w:rsid w:val="00DE6D48"/>
    <w:rsid w:val="00E11C75"/>
    <w:rsid w:val="00E164AF"/>
    <w:rsid w:val="00E21F6C"/>
    <w:rsid w:val="00E41792"/>
    <w:rsid w:val="00E5036E"/>
    <w:rsid w:val="00E50518"/>
    <w:rsid w:val="00E52346"/>
    <w:rsid w:val="00E5313D"/>
    <w:rsid w:val="00E60461"/>
    <w:rsid w:val="00E63CCF"/>
    <w:rsid w:val="00E754F9"/>
    <w:rsid w:val="00E81510"/>
    <w:rsid w:val="00E84692"/>
    <w:rsid w:val="00E8591D"/>
    <w:rsid w:val="00EA579E"/>
    <w:rsid w:val="00EB43D7"/>
    <w:rsid w:val="00EC067E"/>
    <w:rsid w:val="00EC431B"/>
    <w:rsid w:val="00ED20C7"/>
    <w:rsid w:val="00ED2966"/>
    <w:rsid w:val="00ED7080"/>
    <w:rsid w:val="00EF59A2"/>
    <w:rsid w:val="00EF61F8"/>
    <w:rsid w:val="00EF7413"/>
    <w:rsid w:val="00F00811"/>
    <w:rsid w:val="00F17675"/>
    <w:rsid w:val="00F3092A"/>
    <w:rsid w:val="00F3270E"/>
    <w:rsid w:val="00F4012E"/>
    <w:rsid w:val="00F402DF"/>
    <w:rsid w:val="00F44672"/>
    <w:rsid w:val="00F45B9E"/>
    <w:rsid w:val="00F5006D"/>
    <w:rsid w:val="00F551EC"/>
    <w:rsid w:val="00F66703"/>
    <w:rsid w:val="00F71E7D"/>
    <w:rsid w:val="00F74766"/>
    <w:rsid w:val="00F80A61"/>
    <w:rsid w:val="00F86089"/>
    <w:rsid w:val="00F87490"/>
    <w:rsid w:val="00F972E2"/>
    <w:rsid w:val="00F973F8"/>
    <w:rsid w:val="00FA655C"/>
    <w:rsid w:val="00FE08B0"/>
    <w:rsid w:val="00FE352C"/>
    <w:rsid w:val="00FE5979"/>
    <w:rsid w:val="00FF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15D437"/>
  <w15:chartTrackingRefBased/>
  <w15:docId w15:val="{A1CB6CA4-46DA-4539-B9C4-B35BB8DD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7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31EF"/>
    <w:pPr>
      <w:keepNext/>
      <w:widowControl/>
      <w:autoSpaceDE/>
      <w:autoSpaceDN/>
      <w:adjustRightInd/>
      <w:spacing w:line="36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663D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tabs>
        <w:tab w:val="center" w:pos="4680"/>
        <w:tab w:val="right" w:pos="9360"/>
      </w:tabs>
    </w:p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tabs>
        <w:tab w:val="center" w:pos="4680"/>
        <w:tab w:val="right" w:pos="9360"/>
      </w:tabs>
    </w:p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ind w:left="720"/>
      <w:contextualSpacing/>
    </w:p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rPr>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semiHidden/>
    <w:unhideWhenUsed/>
    <w:rsid w:val="00BF6396"/>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 w:type="character" w:styleId="UnresolvedMention">
    <w:name w:val="Unresolved Mention"/>
    <w:basedOn w:val="DefaultParagraphFont"/>
    <w:uiPriority w:val="99"/>
    <w:semiHidden/>
    <w:unhideWhenUsed/>
    <w:rsid w:val="0003501A"/>
    <w:rPr>
      <w:color w:val="808080"/>
      <w:shd w:val="clear" w:color="auto" w:fill="E6E6E6"/>
    </w:rPr>
  </w:style>
  <w:style w:type="character" w:customStyle="1" w:styleId="Heading2Char">
    <w:name w:val="Heading 2 Char"/>
    <w:basedOn w:val="DefaultParagraphFont"/>
    <w:link w:val="Heading2"/>
    <w:uiPriority w:val="9"/>
    <w:semiHidden/>
    <w:rsid w:val="00663D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1115519245">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s2@courts.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4AE9-BCED-4BFB-A316-8FF31FD6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Greene, Jennifer</cp:lastModifiedBy>
  <cp:revision>2</cp:revision>
  <cp:lastPrinted>2018-05-08T22:25:00Z</cp:lastPrinted>
  <dcterms:created xsi:type="dcterms:W3CDTF">2018-08-14T22:44:00Z</dcterms:created>
  <dcterms:modified xsi:type="dcterms:W3CDTF">2018-08-14T22:44:00Z</dcterms:modified>
</cp:coreProperties>
</file>