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619" w:rsidRPr="00955A09" w:rsidRDefault="002C6619" w:rsidP="002C6619">
      <w:pPr>
        <w:rPr>
          <w:sz w:val="28"/>
          <w:szCs w:val="28"/>
        </w:rPr>
      </w:pPr>
      <w:r w:rsidRPr="00955A09">
        <w:rPr>
          <w:sz w:val="28"/>
          <w:szCs w:val="28"/>
        </w:rPr>
        <w:t xml:space="preserve">David K. Byers, </w:t>
      </w:r>
      <w:r>
        <w:rPr>
          <w:sz w:val="28"/>
          <w:szCs w:val="28"/>
        </w:rPr>
        <w:t xml:space="preserve">Administrative </w:t>
      </w:r>
      <w:r w:rsidRPr="00955A09">
        <w:rPr>
          <w:sz w:val="28"/>
          <w:szCs w:val="28"/>
        </w:rPr>
        <w:t>Director</w:t>
      </w:r>
    </w:p>
    <w:p w:rsidR="002C6619" w:rsidRPr="00955A09" w:rsidRDefault="002C6619" w:rsidP="002C6619">
      <w:pPr>
        <w:rPr>
          <w:sz w:val="28"/>
          <w:szCs w:val="28"/>
        </w:rPr>
      </w:pPr>
      <w:r w:rsidRPr="00955A09">
        <w:rPr>
          <w:sz w:val="28"/>
          <w:szCs w:val="28"/>
        </w:rPr>
        <w:t>Administrative Office of the Courts</w:t>
      </w:r>
    </w:p>
    <w:p w:rsidR="002C6619" w:rsidRPr="00955A09" w:rsidRDefault="002C6619" w:rsidP="002C6619">
      <w:pPr>
        <w:rPr>
          <w:sz w:val="28"/>
          <w:szCs w:val="28"/>
        </w:rPr>
      </w:pPr>
      <w:r w:rsidRPr="00955A09">
        <w:rPr>
          <w:sz w:val="28"/>
          <w:szCs w:val="28"/>
        </w:rPr>
        <w:t>1501 W. Washington St.</w:t>
      </w:r>
      <w:r>
        <w:rPr>
          <w:sz w:val="28"/>
          <w:szCs w:val="28"/>
        </w:rPr>
        <w:t>, Ste. 411</w:t>
      </w:r>
    </w:p>
    <w:p w:rsidR="002C6619" w:rsidRDefault="002C6619" w:rsidP="002C6619">
      <w:pPr>
        <w:rPr>
          <w:sz w:val="28"/>
          <w:szCs w:val="28"/>
        </w:rPr>
      </w:pPr>
      <w:r w:rsidRPr="00955A09">
        <w:rPr>
          <w:sz w:val="28"/>
          <w:szCs w:val="28"/>
        </w:rPr>
        <w:t>Phoenix, AZ 85007</w:t>
      </w:r>
    </w:p>
    <w:p w:rsidR="002C6619" w:rsidRDefault="002C6619" w:rsidP="002C6619">
      <w:pPr>
        <w:rPr>
          <w:sz w:val="28"/>
          <w:szCs w:val="28"/>
        </w:rPr>
      </w:pPr>
      <w:r>
        <w:rPr>
          <w:sz w:val="28"/>
          <w:szCs w:val="28"/>
        </w:rPr>
        <w:t>(602) 452-3301</w:t>
      </w:r>
    </w:p>
    <w:p w:rsidR="003D030C" w:rsidRPr="00AB55F8" w:rsidRDefault="003D030C" w:rsidP="003D030C">
      <w:pPr>
        <w:jc w:val="both"/>
        <w:rPr>
          <w:sz w:val="28"/>
          <w:szCs w:val="28"/>
        </w:rPr>
      </w:pPr>
      <w:r w:rsidRPr="00AB55F8">
        <w:rPr>
          <w:sz w:val="28"/>
          <w:szCs w:val="28"/>
        </w:rPr>
        <w:t>Projects2@courts.az.gov</w:t>
      </w:r>
    </w:p>
    <w:p w:rsidR="003D030C" w:rsidRPr="00955A09" w:rsidRDefault="003D030C" w:rsidP="002C6619">
      <w:pPr>
        <w:rPr>
          <w:sz w:val="28"/>
          <w:szCs w:val="28"/>
        </w:rPr>
      </w:pPr>
    </w:p>
    <w:p w:rsidR="002C6619" w:rsidRPr="007641DA" w:rsidRDefault="002C6619" w:rsidP="002C6619">
      <w:pPr>
        <w:spacing w:line="480" w:lineRule="auto"/>
        <w:jc w:val="center"/>
        <w:rPr>
          <w:sz w:val="28"/>
          <w:szCs w:val="28"/>
          <w:u w:val="single"/>
        </w:rPr>
      </w:pPr>
    </w:p>
    <w:p w:rsidR="002C6619" w:rsidRPr="00955A09" w:rsidRDefault="002C6619" w:rsidP="002C6619">
      <w:pPr>
        <w:jc w:val="center"/>
        <w:rPr>
          <w:sz w:val="28"/>
          <w:szCs w:val="28"/>
        </w:rPr>
      </w:pPr>
      <w:r w:rsidRPr="00955A09">
        <w:rPr>
          <w:sz w:val="28"/>
          <w:szCs w:val="28"/>
        </w:rPr>
        <w:t>IN THE SUPREME COURT</w:t>
      </w:r>
    </w:p>
    <w:p w:rsidR="002C6619" w:rsidRDefault="002C6619" w:rsidP="002C6619">
      <w:pPr>
        <w:jc w:val="center"/>
        <w:rPr>
          <w:sz w:val="28"/>
          <w:szCs w:val="28"/>
        </w:rPr>
      </w:pPr>
    </w:p>
    <w:p w:rsidR="002C6619" w:rsidRPr="00955A09" w:rsidRDefault="002C6619" w:rsidP="002C6619">
      <w:pPr>
        <w:jc w:val="center"/>
        <w:rPr>
          <w:sz w:val="28"/>
          <w:szCs w:val="28"/>
        </w:rPr>
      </w:pPr>
      <w:r w:rsidRPr="00955A09">
        <w:rPr>
          <w:sz w:val="28"/>
          <w:szCs w:val="28"/>
        </w:rPr>
        <w:t>STATE OF ARIZONA</w:t>
      </w:r>
    </w:p>
    <w:p w:rsidR="002C6619" w:rsidRDefault="002C6619" w:rsidP="002C6619">
      <w:pPr>
        <w:rPr>
          <w:sz w:val="28"/>
          <w:szCs w:val="28"/>
        </w:rPr>
      </w:pPr>
    </w:p>
    <w:p w:rsidR="002C6619" w:rsidRDefault="002C6619" w:rsidP="002C6619">
      <w:pPr>
        <w:tabs>
          <w:tab w:val="left" w:pos="4320"/>
          <w:tab w:val="left" w:pos="5040"/>
        </w:tabs>
        <w:rPr>
          <w:sz w:val="28"/>
          <w:szCs w:val="28"/>
        </w:rPr>
      </w:pPr>
      <w:r>
        <w:rPr>
          <w:sz w:val="28"/>
          <w:szCs w:val="28"/>
        </w:rPr>
        <w:t>In the Matter of:</w:t>
      </w:r>
      <w:r>
        <w:rPr>
          <w:sz w:val="28"/>
          <w:szCs w:val="28"/>
        </w:rPr>
        <w:tab/>
        <w:t>)</w:t>
      </w:r>
    </w:p>
    <w:p w:rsidR="002C6619" w:rsidRDefault="002C6619" w:rsidP="002C6619">
      <w:pPr>
        <w:tabs>
          <w:tab w:val="left" w:pos="4320"/>
          <w:tab w:val="left" w:pos="5040"/>
        </w:tabs>
        <w:rPr>
          <w:sz w:val="28"/>
          <w:szCs w:val="28"/>
        </w:rPr>
      </w:pPr>
      <w:r>
        <w:rPr>
          <w:sz w:val="28"/>
          <w:szCs w:val="28"/>
        </w:rPr>
        <w:tab/>
        <w:t>)</w:t>
      </w:r>
    </w:p>
    <w:p w:rsidR="002C6619" w:rsidRDefault="002C6619" w:rsidP="002C6619">
      <w:pPr>
        <w:tabs>
          <w:tab w:val="left" w:pos="4320"/>
          <w:tab w:val="left" w:pos="5040"/>
        </w:tabs>
        <w:rPr>
          <w:sz w:val="28"/>
          <w:szCs w:val="28"/>
        </w:rPr>
      </w:pPr>
      <w:r>
        <w:rPr>
          <w:sz w:val="28"/>
          <w:szCs w:val="28"/>
        </w:rPr>
        <w:t xml:space="preserve">PETITION TO AMEND RULES 4.2 </w:t>
      </w:r>
      <w:r>
        <w:rPr>
          <w:sz w:val="28"/>
          <w:szCs w:val="28"/>
        </w:rPr>
        <w:tab/>
        <w:t>)</w:t>
      </w:r>
      <w:r>
        <w:rPr>
          <w:sz w:val="28"/>
          <w:szCs w:val="28"/>
        </w:rPr>
        <w:tab/>
        <w:t>S</w:t>
      </w:r>
      <w:r w:rsidRPr="00955A09">
        <w:rPr>
          <w:sz w:val="28"/>
          <w:szCs w:val="28"/>
        </w:rPr>
        <w:t>upreme Court No. R-</w:t>
      </w:r>
      <w:r>
        <w:rPr>
          <w:sz w:val="28"/>
          <w:szCs w:val="28"/>
        </w:rPr>
        <w:t>18-_____</w:t>
      </w:r>
    </w:p>
    <w:p w:rsidR="002C6619" w:rsidRDefault="002C6619" w:rsidP="000A337E">
      <w:pPr>
        <w:tabs>
          <w:tab w:val="left" w:pos="4320"/>
          <w:tab w:val="left" w:pos="5040"/>
        </w:tabs>
        <w:rPr>
          <w:sz w:val="28"/>
          <w:szCs w:val="28"/>
        </w:rPr>
      </w:pPr>
      <w:r>
        <w:rPr>
          <w:sz w:val="28"/>
          <w:szCs w:val="28"/>
        </w:rPr>
        <w:t xml:space="preserve">AND 7.2, ARIZONA RULES OF </w:t>
      </w:r>
      <w:r>
        <w:rPr>
          <w:sz w:val="28"/>
          <w:szCs w:val="28"/>
        </w:rPr>
        <w:tab/>
        <w:t>)</w:t>
      </w:r>
      <w:r>
        <w:rPr>
          <w:sz w:val="28"/>
          <w:szCs w:val="28"/>
        </w:rPr>
        <w:tab/>
        <w:t>(expedited consideration</w:t>
      </w:r>
    </w:p>
    <w:p w:rsidR="002C6619" w:rsidRDefault="002C6619" w:rsidP="000A337E">
      <w:pPr>
        <w:tabs>
          <w:tab w:val="left" w:pos="4320"/>
          <w:tab w:val="left" w:pos="5040"/>
        </w:tabs>
        <w:rPr>
          <w:sz w:val="28"/>
          <w:szCs w:val="28"/>
        </w:rPr>
      </w:pPr>
      <w:r>
        <w:rPr>
          <w:sz w:val="28"/>
          <w:szCs w:val="28"/>
        </w:rPr>
        <w:t xml:space="preserve">CRIMINAL </w:t>
      </w:r>
      <w:r w:rsidRPr="00955A09">
        <w:rPr>
          <w:sz w:val="28"/>
          <w:szCs w:val="28"/>
        </w:rPr>
        <w:t>PROCEDURE</w:t>
      </w:r>
      <w:r>
        <w:rPr>
          <w:sz w:val="28"/>
          <w:szCs w:val="28"/>
        </w:rPr>
        <w:tab/>
      </w:r>
      <w:r w:rsidRPr="00955A09">
        <w:rPr>
          <w:sz w:val="28"/>
          <w:szCs w:val="28"/>
        </w:rPr>
        <w:t>)</w:t>
      </w:r>
      <w:r w:rsidR="00EC584A">
        <w:rPr>
          <w:sz w:val="28"/>
          <w:szCs w:val="28"/>
        </w:rPr>
        <w:tab/>
      </w:r>
      <w:r>
        <w:rPr>
          <w:sz w:val="28"/>
          <w:szCs w:val="28"/>
        </w:rPr>
        <w:t>requested)</w:t>
      </w:r>
    </w:p>
    <w:p w:rsidR="002C6619" w:rsidRPr="00955A09" w:rsidRDefault="002C6619" w:rsidP="002C6619">
      <w:pPr>
        <w:tabs>
          <w:tab w:val="left" w:pos="4320"/>
          <w:tab w:val="left" w:pos="5040"/>
        </w:tabs>
        <w:rPr>
          <w:sz w:val="28"/>
          <w:szCs w:val="28"/>
        </w:rPr>
      </w:pPr>
      <w:r>
        <w:rPr>
          <w:sz w:val="28"/>
          <w:szCs w:val="28"/>
          <w:u w:val="single"/>
        </w:rPr>
        <w:tab/>
      </w:r>
      <w:r w:rsidRPr="00955A09">
        <w:rPr>
          <w:sz w:val="28"/>
          <w:szCs w:val="28"/>
        </w:rPr>
        <w:t>)</w:t>
      </w:r>
      <w:r>
        <w:rPr>
          <w:sz w:val="28"/>
          <w:szCs w:val="28"/>
        </w:rPr>
        <w:tab/>
      </w:r>
    </w:p>
    <w:p w:rsidR="002C6619" w:rsidRPr="00955A09" w:rsidRDefault="002C6619" w:rsidP="002C6619">
      <w:pPr>
        <w:rPr>
          <w:sz w:val="28"/>
          <w:szCs w:val="28"/>
        </w:rPr>
      </w:pPr>
    </w:p>
    <w:p w:rsidR="008E6BD7" w:rsidRDefault="00E64E08" w:rsidP="00E64E08">
      <w:pPr>
        <w:pStyle w:val="ListParagraph"/>
        <w:tabs>
          <w:tab w:val="left" w:pos="360"/>
        </w:tabs>
        <w:spacing w:line="480" w:lineRule="auto"/>
        <w:ind w:left="0"/>
        <w:jc w:val="both"/>
        <w:rPr>
          <w:sz w:val="28"/>
          <w:szCs w:val="28"/>
        </w:rPr>
      </w:pPr>
      <w:r>
        <w:rPr>
          <w:sz w:val="28"/>
          <w:szCs w:val="28"/>
        </w:rPr>
        <w:tab/>
      </w:r>
      <w:r>
        <w:rPr>
          <w:sz w:val="28"/>
          <w:szCs w:val="28"/>
        </w:rPr>
        <w:tab/>
      </w:r>
      <w:r w:rsidR="002C6619" w:rsidRPr="008E6BD7">
        <w:rPr>
          <w:sz w:val="28"/>
          <w:szCs w:val="28"/>
        </w:rPr>
        <w:t>Pursuant to Rule 28 of the Rules of the Supreme Court, David K. Byers, Administrative Director, Administrative Office of the Courts, respectfully petitions this Court to amend Rules 4.2 and 7.2 of the Arizona Rules of Criminal Procedure</w:t>
      </w:r>
      <w:r w:rsidR="008272D5" w:rsidRPr="008E6BD7">
        <w:rPr>
          <w:sz w:val="28"/>
          <w:szCs w:val="28"/>
        </w:rPr>
        <w:t xml:space="preserve"> as proposed in Appendix A.  These amendments w</w:t>
      </w:r>
      <w:r w:rsidR="00EB079E" w:rsidRPr="008E6BD7">
        <w:rPr>
          <w:sz w:val="28"/>
          <w:szCs w:val="28"/>
        </w:rPr>
        <w:t>ould</w:t>
      </w:r>
      <w:r w:rsidR="002C6619" w:rsidRPr="008E6BD7">
        <w:rPr>
          <w:sz w:val="28"/>
          <w:szCs w:val="28"/>
        </w:rPr>
        <w:t xml:space="preserve"> implement </w:t>
      </w:r>
      <w:r w:rsidR="00943AFE" w:rsidRPr="008E6BD7">
        <w:rPr>
          <w:sz w:val="28"/>
          <w:szCs w:val="28"/>
        </w:rPr>
        <w:t xml:space="preserve">this </w:t>
      </w:r>
      <w:r w:rsidR="007427C2" w:rsidRPr="008E6BD7">
        <w:rPr>
          <w:sz w:val="28"/>
          <w:szCs w:val="28"/>
        </w:rPr>
        <w:t>C</w:t>
      </w:r>
      <w:r w:rsidR="00943AFE" w:rsidRPr="008E6BD7">
        <w:rPr>
          <w:sz w:val="28"/>
          <w:szCs w:val="28"/>
        </w:rPr>
        <w:t xml:space="preserve">ourt’s decision in </w:t>
      </w:r>
      <w:r w:rsidR="00AF2247" w:rsidRPr="008E6BD7">
        <w:rPr>
          <w:i/>
          <w:sz w:val="28"/>
          <w:szCs w:val="28"/>
        </w:rPr>
        <w:t>State v</w:t>
      </w:r>
      <w:r w:rsidR="00943AFE" w:rsidRPr="008E6BD7">
        <w:rPr>
          <w:i/>
          <w:sz w:val="28"/>
          <w:szCs w:val="28"/>
        </w:rPr>
        <w:t>. Hon. Wei</w:t>
      </w:r>
      <w:r w:rsidR="003C3EAF" w:rsidRPr="008E6BD7">
        <w:rPr>
          <w:i/>
          <w:sz w:val="28"/>
          <w:szCs w:val="28"/>
        </w:rPr>
        <w:t>n/</w:t>
      </w:r>
      <w:r w:rsidR="00943AFE" w:rsidRPr="008E6BD7">
        <w:rPr>
          <w:i/>
          <w:sz w:val="28"/>
          <w:szCs w:val="28"/>
        </w:rPr>
        <w:t>Goodman</w:t>
      </w:r>
      <w:r w:rsidR="007427C2" w:rsidRPr="008E6BD7">
        <w:rPr>
          <w:i/>
          <w:sz w:val="28"/>
          <w:szCs w:val="28"/>
        </w:rPr>
        <w:t>,</w:t>
      </w:r>
      <w:r w:rsidR="00943AFE" w:rsidRPr="008E6BD7">
        <w:rPr>
          <w:sz w:val="28"/>
          <w:szCs w:val="28"/>
        </w:rPr>
        <w:t xml:space="preserve"> No. CR-17-0221-PR</w:t>
      </w:r>
      <w:r w:rsidR="00EB079E" w:rsidRPr="008E6BD7">
        <w:rPr>
          <w:sz w:val="28"/>
          <w:szCs w:val="28"/>
        </w:rPr>
        <w:t>,</w:t>
      </w:r>
      <w:r w:rsidR="00943AFE" w:rsidRPr="008E6BD7">
        <w:rPr>
          <w:sz w:val="28"/>
          <w:szCs w:val="28"/>
        </w:rPr>
        <w:t xml:space="preserve"> </w:t>
      </w:r>
      <w:r w:rsidR="004F415B" w:rsidRPr="004F415B">
        <w:rPr>
          <w:sz w:val="28"/>
          <w:szCs w:val="28"/>
        </w:rPr>
        <w:t>2018 WL 2374047</w:t>
      </w:r>
      <w:r w:rsidR="004F415B">
        <w:rPr>
          <w:sz w:val="28"/>
          <w:szCs w:val="28"/>
        </w:rPr>
        <w:t xml:space="preserve">, </w:t>
      </w:r>
      <w:r w:rsidR="00943AFE" w:rsidRPr="008E6BD7">
        <w:rPr>
          <w:sz w:val="28"/>
          <w:szCs w:val="28"/>
        </w:rPr>
        <w:t>filed May 25, 2018</w:t>
      </w:r>
      <w:r w:rsidR="003C3EAF" w:rsidRPr="008E6BD7">
        <w:rPr>
          <w:sz w:val="28"/>
          <w:szCs w:val="28"/>
        </w:rPr>
        <w:t xml:space="preserve">. </w:t>
      </w:r>
      <w:r w:rsidR="00BC721B" w:rsidRPr="008E6BD7">
        <w:rPr>
          <w:sz w:val="28"/>
          <w:szCs w:val="28"/>
        </w:rPr>
        <w:t>T</w:t>
      </w:r>
      <w:r w:rsidR="003C3EAF" w:rsidRPr="008E6BD7">
        <w:rPr>
          <w:sz w:val="28"/>
          <w:szCs w:val="28"/>
        </w:rPr>
        <w:t>his petition also</w:t>
      </w:r>
      <w:r w:rsidR="00943AFE" w:rsidRPr="008E6BD7">
        <w:rPr>
          <w:sz w:val="28"/>
          <w:szCs w:val="28"/>
        </w:rPr>
        <w:t xml:space="preserve"> </w:t>
      </w:r>
      <w:r w:rsidR="00BC721B" w:rsidRPr="008E6BD7">
        <w:rPr>
          <w:sz w:val="28"/>
          <w:szCs w:val="28"/>
        </w:rPr>
        <w:t xml:space="preserve">provides </w:t>
      </w:r>
      <w:r w:rsidR="008E6BD7" w:rsidRPr="008E6BD7">
        <w:rPr>
          <w:sz w:val="28"/>
          <w:szCs w:val="28"/>
        </w:rPr>
        <w:t xml:space="preserve">for consideration </w:t>
      </w:r>
      <w:r w:rsidR="00397051">
        <w:rPr>
          <w:sz w:val="28"/>
          <w:szCs w:val="28"/>
        </w:rPr>
        <w:t xml:space="preserve">of </w:t>
      </w:r>
      <w:r w:rsidR="008E6BD7" w:rsidRPr="008E6BD7">
        <w:rPr>
          <w:sz w:val="28"/>
          <w:szCs w:val="28"/>
        </w:rPr>
        <w:t xml:space="preserve">but does not recommend </w:t>
      </w:r>
      <w:r>
        <w:rPr>
          <w:sz w:val="28"/>
          <w:szCs w:val="28"/>
        </w:rPr>
        <w:t xml:space="preserve">additional </w:t>
      </w:r>
      <w:r w:rsidR="00302430" w:rsidRPr="008E6BD7">
        <w:rPr>
          <w:sz w:val="28"/>
          <w:szCs w:val="28"/>
        </w:rPr>
        <w:t xml:space="preserve">amendments in Appendix </w:t>
      </w:r>
      <w:r w:rsidR="00BC721B" w:rsidRPr="008E6BD7">
        <w:rPr>
          <w:sz w:val="28"/>
          <w:szCs w:val="28"/>
        </w:rPr>
        <w:t>B</w:t>
      </w:r>
      <w:r w:rsidR="00302430" w:rsidRPr="008E6BD7">
        <w:rPr>
          <w:sz w:val="28"/>
          <w:szCs w:val="28"/>
        </w:rPr>
        <w:t xml:space="preserve"> to implement </w:t>
      </w:r>
      <w:hyperlink r:id="rId11" w:history="1">
        <w:r w:rsidR="00EB079E" w:rsidRPr="008E6BD7">
          <w:rPr>
            <w:rStyle w:val="Hyperlink"/>
            <w:sz w:val="28"/>
            <w:szCs w:val="28"/>
          </w:rPr>
          <w:t>Laws 2018, Chapter 115, HB 2245</w:t>
        </w:r>
      </w:hyperlink>
      <w:r w:rsidR="00EE042D">
        <w:rPr>
          <w:rStyle w:val="Hyperlink"/>
          <w:sz w:val="28"/>
          <w:szCs w:val="28"/>
        </w:rPr>
        <w:t>,</w:t>
      </w:r>
      <w:r w:rsidR="00EB079E" w:rsidRPr="008E6BD7">
        <w:rPr>
          <w:rStyle w:val="Hyperlink"/>
          <w:sz w:val="28"/>
          <w:szCs w:val="28"/>
        </w:rPr>
        <w:t xml:space="preserve"> </w:t>
      </w:r>
      <w:r w:rsidR="00EE042D">
        <w:rPr>
          <w:rStyle w:val="Hyperlink"/>
          <w:color w:val="auto"/>
          <w:sz w:val="28"/>
          <w:szCs w:val="28"/>
          <w:u w:val="none"/>
        </w:rPr>
        <w:t xml:space="preserve">which </w:t>
      </w:r>
      <w:r w:rsidR="00EB079E" w:rsidRPr="008E6BD7">
        <w:rPr>
          <w:sz w:val="28"/>
          <w:szCs w:val="28"/>
        </w:rPr>
        <w:t xml:space="preserve">amended </w:t>
      </w:r>
      <w:r w:rsidR="00397051">
        <w:rPr>
          <w:sz w:val="28"/>
          <w:szCs w:val="28"/>
        </w:rPr>
        <w:t xml:space="preserve">the </w:t>
      </w:r>
      <w:r w:rsidR="00302430" w:rsidRPr="008E6BD7">
        <w:rPr>
          <w:sz w:val="28"/>
          <w:szCs w:val="28"/>
        </w:rPr>
        <w:t xml:space="preserve">bail </w:t>
      </w:r>
      <w:r w:rsidR="00EB079E" w:rsidRPr="008E6BD7">
        <w:rPr>
          <w:sz w:val="28"/>
          <w:szCs w:val="28"/>
        </w:rPr>
        <w:t xml:space="preserve">statute, </w:t>
      </w:r>
      <w:r w:rsidR="002C6619" w:rsidRPr="008E6BD7">
        <w:rPr>
          <w:sz w:val="28"/>
          <w:szCs w:val="28"/>
        </w:rPr>
        <w:t xml:space="preserve">A.R.S. </w:t>
      </w:r>
      <w:r w:rsidR="00EB079E" w:rsidRPr="008E6BD7">
        <w:rPr>
          <w:rFonts w:cstheme="minorHAnsi"/>
          <w:sz w:val="28"/>
          <w:szCs w:val="28"/>
        </w:rPr>
        <w:t>§</w:t>
      </w:r>
      <w:r w:rsidR="00EB079E" w:rsidRPr="008E6BD7">
        <w:rPr>
          <w:sz w:val="28"/>
          <w:szCs w:val="28"/>
        </w:rPr>
        <w:t xml:space="preserve"> </w:t>
      </w:r>
      <w:r w:rsidR="002C6619" w:rsidRPr="008E6BD7">
        <w:rPr>
          <w:sz w:val="28"/>
          <w:szCs w:val="28"/>
        </w:rPr>
        <w:t>1</w:t>
      </w:r>
      <w:r w:rsidR="003C3EAF" w:rsidRPr="008E6BD7">
        <w:rPr>
          <w:sz w:val="28"/>
          <w:szCs w:val="28"/>
        </w:rPr>
        <w:t>3-3961(A)(3)</w:t>
      </w:r>
      <w:r w:rsidR="00EB079E" w:rsidRPr="008E6BD7">
        <w:rPr>
          <w:sz w:val="28"/>
          <w:szCs w:val="28"/>
        </w:rPr>
        <w:t>&amp;</w:t>
      </w:r>
      <w:r w:rsidR="003C3EAF" w:rsidRPr="008E6BD7">
        <w:rPr>
          <w:sz w:val="28"/>
          <w:szCs w:val="28"/>
        </w:rPr>
        <w:t>(4)</w:t>
      </w:r>
      <w:r w:rsidR="002C6619" w:rsidRPr="008E6BD7">
        <w:rPr>
          <w:sz w:val="28"/>
          <w:szCs w:val="28"/>
        </w:rPr>
        <w:t>.</w:t>
      </w:r>
    </w:p>
    <w:p w:rsidR="00302430" w:rsidRPr="008E6BD7" w:rsidRDefault="002C6619" w:rsidP="009D73D5">
      <w:pPr>
        <w:pStyle w:val="ListParagraph"/>
        <w:numPr>
          <w:ilvl w:val="0"/>
          <w:numId w:val="26"/>
        </w:numPr>
        <w:tabs>
          <w:tab w:val="left" w:pos="360"/>
        </w:tabs>
        <w:spacing w:line="480" w:lineRule="auto"/>
        <w:ind w:left="0" w:firstLine="0"/>
        <w:jc w:val="both"/>
        <w:rPr>
          <w:sz w:val="28"/>
          <w:szCs w:val="28"/>
        </w:rPr>
      </w:pPr>
      <w:r w:rsidRPr="008E6BD7">
        <w:rPr>
          <w:b/>
          <w:sz w:val="28"/>
          <w:szCs w:val="28"/>
        </w:rPr>
        <w:t>Background and Purpo</w:t>
      </w:r>
      <w:r w:rsidR="008B45EC" w:rsidRPr="008E6BD7">
        <w:rPr>
          <w:b/>
          <w:sz w:val="28"/>
          <w:szCs w:val="28"/>
        </w:rPr>
        <w:t>se of the Proposed Rule Amendments</w:t>
      </w:r>
      <w:r w:rsidRPr="008E6BD7">
        <w:rPr>
          <w:sz w:val="28"/>
          <w:szCs w:val="28"/>
        </w:rPr>
        <w:t xml:space="preserve">.  </w:t>
      </w:r>
      <w:r w:rsidR="00EB079E" w:rsidRPr="008E6BD7">
        <w:rPr>
          <w:sz w:val="28"/>
          <w:szCs w:val="28"/>
        </w:rPr>
        <w:t xml:space="preserve">Last year </w:t>
      </w:r>
      <w:r w:rsidR="00F903E7" w:rsidRPr="008E6BD7">
        <w:rPr>
          <w:sz w:val="28"/>
          <w:szCs w:val="28"/>
        </w:rPr>
        <w:t xml:space="preserve">the Court adopted amendments </w:t>
      </w:r>
      <w:r w:rsidR="00DA1BDB" w:rsidRPr="008E6BD7">
        <w:rPr>
          <w:sz w:val="28"/>
          <w:szCs w:val="28"/>
        </w:rPr>
        <w:t>to Rules</w:t>
      </w:r>
      <w:r w:rsidR="003D030C" w:rsidRPr="008E6BD7">
        <w:rPr>
          <w:sz w:val="28"/>
          <w:szCs w:val="28"/>
        </w:rPr>
        <w:t xml:space="preserve"> 4.2 and 7.2 </w:t>
      </w:r>
      <w:r w:rsidR="00DA1BDB" w:rsidRPr="008E6BD7">
        <w:rPr>
          <w:sz w:val="28"/>
          <w:szCs w:val="28"/>
        </w:rPr>
        <w:t xml:space="preserve">of </w:t>
      </w:r>
      <w:r w:rsidR="003D030C" w:rsidRPr="008E6BD7">
        <w:rPr>
          <w:sz w:val="28"/>
          <w:szCs w:val="28"/>
        </w:rPr>
        <w:t xml:space="preserve">the Rules of </w:t>
      </w:r>
      <w:r w:rsidR="00DA1BDB" w:rsidRPr="008E6BD7">
        <w:rPr>
          <w:sz w:val="28"/>
          <w:szCs w:val="28"/>
        </w:rPr>
        <w:t xml:space="preserve">Criminal Procedure that </w:t>
      </w:r>
      <w:r w:rsidR="008E76FE">
        <w:rPr>
          <w:sz w:val="28"/>
          <w:szCs w:val="28"/>
        </w:rPr>
        <w:t>selectively implemented</w:t>
      </w:r>
      <w:r w:rsidR="00DA1BDB" w:rsidRPr="008E6BD7">
        <w:rPr>
          <w:sz w:val="28"/>
          <w:szCs w:val="28"/>
        </w:rPr>
        <w:t xml:space="preserve"> the bail provisions of </w:t>
      </w:r>
      <w:r w:rsidR="00302430" w:rsidRPr="008E6BD7">
        <w:rPr>
          <w:sz w:val="28"/>
          <w:szCs w:val="28"/>
        </w:rPr>
        <w:t xml:space="preserve">Az Const. </w:t>
      </w:r>
      <w:r w:rsidR="006E0972" w:rsidRPr="008E6BD7">
        <w:rPr>
          <w:sz w:val="28"/>
          <w:szCs w:val="28"/>
        </w:rPr>
        <w:t>Art</w:t>
      </w:r>
      <w:r w:rsidR="00302430" w:rsidRPr="008E6BD7">
        <w:rPr>
          <w:sz w:val="28"/>
          <w:szCs w:val="28"/>
        </w:rPr>
        <w:t>.</w:t>
      </w:r>
      <w:r w:rsidR="006E0972" w:rsidRPr="008E6BD7">
        <w:rPr>
          <w:sz w:val="28"/>
          <w:szCs w:val="28"/>
        </w:rPr>
        <w:t xml:space="preserve"> 2</w:t>
      </w:r>
      <w:r w:rsidR="00302430" w:rsidRPr="008E6BD7">
        <w:rPr>
          <w:rFonts w:cstheme="minorHAnsi"/>
          <w:sz w:val="28"/>
          <w:szCs w:val="28"/>
        </w:rPr>
        <w:t>§</w:t>
      </w:r>
      <w:r w:rsidR="006E0972" w:rsidRPr="008E6BD7">
        <w:rPr>
          <w:sz w:val="28"/>
          <w:szCs w:val="28"/>
        </w:rPr>
        <w:t xml:space="preserve"> 22</w:t>
      </w:r>
      <w:r w:rsidR="00947FE3" w:rsidRPr="008E6BD7">
        <w:rPr>
          <w:sz w:val="28"/>
          <w:szCs w:val="28"/>
        </w:rPr>
        <w:t xml:space="preserve">. </w:t>
      </w:r>
      <w:r w:rsidR="007427C2" w:rsidRPr="008E6BD7">
        <w:rPr>
          <w:sz w:val="28"/>
          <w:szCs w:val="28"/>
        </w:rPr>
        <w:t>Those</w:t>
      </w:r>
      <w:r w:rsidR="006C46DA" w:rsidRPr="008E6BD7">
        <w:rPr>
          <w:sz w:val="28"/>
          <w:szCs w:val="28"/>
        </w:rPr>
        <w:t xml:space="preserve"> amendments</w:t>
      </w:r>
      <w:r w:rsidR="00AF2247" w:rsidRPr="008E6BD7">
        <w:rPr>
          <w:sz w:val="28"/>
          <w:szCs w:val="28"/>
        </w:rPr>
        <w:t xml:space="preserve"> </w:t>
      </w:r>
      <w:r w:rsidR="006C46DA" w:rsidRPr="008E6BD7">
        <w:rPr>
          <w:sz w:val="28"/>
          <w:szCs w:val="28"/>
        </w:rPr>
        <w:t>included the</w:t>
      </w:r>
      <w:r w:rsidR="0077629E" w:rsidRPr="008E6BD7">
        <w:rPr>
          <w:sz w:val="28"/>
          <w:szCs w:val="28"/>
        </w:rPr>
        <w:t xml:space="preserve"> </w:t>
      </w:r>
      <w:r w:rsidR="00302430" w:rsidRPr="008E6BD7">
        <w:rPr>
          <w:rFonts w:cstheme="minorHAnsi"/>
          <w:sz w:val="28"/>
          <w:szCs w:val="28"/>
        </w:rPr>
        <w:t xml:space="preserve">§ </w:t>
      </w:r>
      <w:r w:rsidR="00302430" w:rsidRPr="008E6BD7">
        <w:rPr>
          <w:sz w:val="28"/>
          <w:szCs w:val="28"/>
        </w:rPr>
        <w:t>22</w:t>
      </w:r>
      <w:r w:rsidR="007B5DF0" w:rsidRPr="008E6BD7">
        <w:rPr>
          <w:sz w:val="28"/>
          <w:szCs w:val="28"/>
        </w:rPr>
        <w:t xml:space="preserve">(A)(1) </w:t>
      </w:r>
      <w:r w:rsidR="0077629E" w:rsidRPr="008E6BD7">
        <w:rPr>
          <w:sz w:val="28"/>
          <w:szCs w:val="28"/>
        </w:rPr>
        <w:t>ex</w:t>
      </w:r>
      <w:r w:rsidR="00AF2247" w:rsidRPr="008E6BD7">
        <w:rPr>
          <w:sz w:val="28"/>
          <w:szCs w:val="28"/>
        </w:rPr>
        <w:t>ception to the right to bail of</w:t>
      </w:r>
      <w:r w:rsidR="0077629E" w:rsidRPr="008E6BD7">
        <w:rPr>
          <w:sz w:val="28"/>
          <w:szCs w:val="28"/>
        </w:rPr>
        <w:t xml:space="preserve"> defendants charged with sexual assault</w:t>
      </w:r>
      <w:r w:rsidR="007427C2" w:rsidRPr="008E6BD7">
        <w:rPr>
          <w:sz w:val="28"/>
          <w:szCs w:val="28"/>
        </w:rPr>
        <w:t xml:space="preserve">, which </w:t>
      </w:r>
      <w:r w:rsidR="00EB079E" w:rsidRPr="008E6BD7">
        <w:rPr>
          <w:sz w:val="28"/>
          <w:szCs w:val="28"/>
        </w:rPr>
        <w:t>had been</w:t>
      </w:r>
      <w:r w:rsidR="006C46DA" w:rsidRPr="008E6BD7">
        <w:rPr>
          <w:sz w:val="28"/>
          <w:szCs w:val="28"/>
        </w:rPr>
        <w:t xml:space="preserve"> upheld by the Arizona Court of A</w:t>
      </w:r>
      <w:r w:rsidR="007B5DF0" w:rsidRPr="008E6BD7">
        <w:rPr>
          <w:sz w:val="28"/>
          <w:szCs w:val="28"/>
        </w:rPr>
        <w:t xml:space="preserve">ppeals in </w:t>
      </w:r>
      <w:r w:rsidR="007B5DF0" w:rsidRPr="008E6BD7">
        <w:rPr>
          <w:i/>
          <w:sz w:val="28"/>
          <w:szCs w:val="28"/>
        </w:rPr>
        <w:t>State v. Wein</w:t>
      </w:r>
      <w:r w:rsidR="007B5DF0" w:rsidRPr="008E6BD7">
        <w:rPr>
          <w:sz w:val="28"/>
          <w:szCs w:val="28"/>
        </w:rPr>
        <w:t>, 242 Ariz. 352 (App. 2017)</w:t>
      </w:r>
      <w:r w:rsidR="0077629E" w:rsidRPr="008E6BD7">
        <w:rPr>
          <w:sz w:val="28"/>
          <w:szCs w:val="28"/>
        </w:rPr>
        <w:t xml:space="preserve">. </w:t>
      </w:r>
      <w:r w:rsidR="00947FE3" w:rsidRPr="008E6BD7">
        <w:rPr>
          <w:sz w:val="28"/>
          <w:szCs w:val="28"/>
        </w:rPr>
        <w:t xml:space="preserve">The </w:t>
      </w:r>
      <w:r w:rsidR="00EB079E" w:rsidRPr="008E6BD7">
        <w:rPr>
          <w:sz w:val="28"/>
          <w:szCs w:val="28"/>
        </w:rPr>
        <w:t xml:space="preserve">2017 </w:t>
      </w:r>
      <w:r w:rsidR="00947FE3" w:rsidRPr="008E6BD7">
        <w:rPr>
          <w:sz w:val="28"/>
          <w:szCs w:val="28"/>
        </w:rPr>
        <w:t xml:space="preserve">rule amendments </w:t>
      </w:r>
      <w:r w:rsidR="00E661FD" w:rsidRPr="008E6BD7">
        <w:rPr>
          <w:sz w:val="28"/>
          <w:szCs w:val="28"/>
        </w:rPr>
        <w:t xml:space="preserve">intentionally omitted </w:t>
      </w:r>
      <w:r w:rsidR="00AF376A" w:rsidRPr="008E6BD7">
        <w:rPr>
          <w:sz w:val="28"/>
          <w:szCs w:val="28"/>
        </w:rPr>
        <w:t xml:space="preserve">provisions of </w:t>
      </w:r>
      <w:r w:rsidR="00302430" w:rsidRPr="008E6BD7">
        <w:rPr>
          <w:rFonts w:cstheme="minorHAnsi"/>
          <w:sz w:val="28"/>
          <w:szCs w:val="28"/>
        </w:rPr>
        <w:t xml:space="preserve">§ </w:t>
      </w:r>
      <w:r w:rsidR="00EB079E" w:rsidRPr="008E6BD7">
        <w:rPr>
          <w:sz w:val="28"/>
          <w:szCs w:val="28"/>
        </w:rPr>
        <w:t>22</w:t>
      </w:r>
      <w:r w:rsidR="006E0972" w:rsidRPr="008E6BD7">
        <w:rPr>
          <w:sz w:val="28"/>
          <w:szCs w:val="28"/>
        </w:rPr>
        <w:t>(A)(1</w:t>
      </w:r>
      <w:r w:rsidR="00DA1BDB" w:rsidRPr="008E6BD7">
        <w:rPr>
          <w:sz w:val="28"/>
          <w:szCs w:val="28"/>
        </w:rPr>
        <w:t>)</w:t>
      </w:r>
      <w:r w:rsidR="006E0972" w:rsidRPr="008E6BD7">
        <w:rPr>
          <w:sz w:val="28"/>
          <w:szCs w:val="28"/>
        </w:rPr>
        <w:t xml:space="preserve"> </w:t>
      </w:r>
      <w:r w:rsidR="00947FE3" w:rsidRPr="008E6BD7">
        <w:rPr>
          <w:sz w:val="28"/>
          <w:szCs w:val="28"/>
        </w:rPr>
        <w:t xml:space="preserve">concerning </w:t>
      </w:r>
      <w:r w:rsidR="006E0972" w:rsidRPr="008E6BD7">
        <w:rPr>
          <w:sz w:val="28"/>
          <w:szCs w:val="28"/>
        </w:rPr>
        <w:t>sexual conduct</w:t>
      </w:r>
      <w:r w:rsidR="00947FE3" w:rsidRPr="008E6BD7">
        <w:rPr>
          <w:sz w:val="28"/>
          <w:szCs w:val="28"/>
        </w:rPr>
        <w:t xml:space="preserve"> with a minor and</w:t>
      </w:r>
      <w:r w:rsidR="006E0972" w:rsidRPr="008E6BD7">
        <w:rPr>
          <w:sz w:val="28"/>
          <w:szCs w:val="28"/>
        </w:rPr>
        <w:t xml:space="preserve"> child molestation</w:t>
      </w:r>
      <w:r w:rsidR="00947FE3" w:rsidRPr="008E6BD7">
        <w:rPr>
          <w:sz w:val="28"/>
          <w:szCs w:val="28"/>
        </w:rPr>
        <w:t xml:space="preserve"> under fifteen years of age</w:t>
      </w:r>
      <w:r w:rsidR="00EB079E" w:rsidRPr="008E6BD7">
        <w:rPr>
          <w:sz w:val="28"/>
          <w:szCs w:val="28"/>
        </w:rPr>
        <w:t xml:space="preserve"> because p</w:t>
      </w:r>
      <w:r w:rsidR="00947FE3" w:rsidRPr="008E6BD7">
        <w:rPr>
          <w:sz w:val="28"/>
          <w:szCs w:val="28"/>
        </w:rPr>
        <w:t>rior</w:t>
      </w:r>
      <w:r w:rsidR="00F903E7" w:rsidRPr="008E6BD7">
        <w:rPr>
          <w:sz w:val="28"/>
          <w:szCs w:val="28"/>
        </w:rPr>
        <w:t xml:space="preserve"> decisions </w:t>
      </w:r>
      <w:r w:rsidR="00947FE3" w:rsidRPr="008E6BD7">
        <w:rPr>
          <w:sz w:val="28"/>
          <w:szCs w:val="28"/>
        </w:rPr>
        <w:t xml:space="preserve">of this Court and the Court of Appeals </w:t>
      </w:r>
      <w:r w:rsidR="00EB079E" w:rsidRPr="008E6BD7">
        <w:rPr>
          <w:sz w:val="28"/>
          <w:szCs w:val="28"/>
        </w:rPr>
        <w:t xml:space="preserve">had </w:t>
      </w:r>
      <w:r w:rsidR="00947FE3" w:rsidRPr="008E6BD7">
        <w:rPr>
          <w:sz w:val="28"/>
          <w:szCs w:val="28"/>
        </w:rPr>
        <w:t>held</w:t>
      </w:r>
      <w:r w:rsidR="00F903E7" w:rsidRPr="008E6BD7">
        <w:rPr>
          <w:sz w:val="28"/>
          <w:szCs w:val="28"/>
        </w:rPr>
        <w:t xml:space="preserve"> that defendants charged with </w:t>
      </w:r>
      <w:r w:rsidR="00947FE3" w:rsidRPr="008E6BD7">
        <w:rPr>
          <w:sz w:val="28"/>
          <w:szCs w:val="28"/>
        </w:rPr>
        <w:t>these offenses</w:t>
      </w:r>
      <w:r w:rsidR="00F903E7" w:rsidRPr="008E6BD7">
        <w:rPr>
          <w:sz w:val="28"/>
          <w:szCs w:val="28"/>
        </w:rPr>
        <w:t xml:space="preserve"> ma</w:t>
      </w:r>
      <w:r w:rsidR="00E661FD" w:rsidRPr="008E6BD7">
        <w:rPr>
          <w:sz w:val="28"/>
          <w:szCs w:val="28"/>
        </w:rPr>
        <w:t>y not be denied bail without</w:t>
      </w:r>
      <w:r w:rsidR="00F903E7" w:rsidRPr="008E6BD7">
        <w:rPr>
          <w:sz w:val="28"/>
          <w:szCs w:val="28"/>
        </w:rPr>
        <w:t xml:space="preserve"> individualized judicial determinations </w:t>
      </w:r>
      <w:r w:rsidR="00947FE3" w:rsidRPr="008E6BD7">
        <w:rPr>
          <w:sz w:val="28"/>
          <w:szCs w:val="28"/>
        </w:rPr>
        <w:t>as provided in</w:t>
      </w:r>
      <w:r w:rsidR="00F903E7" w:rsidRPr="008E6BD7">
        <w:rPr>
          <w:sz w:val="28"/>
          <w:szCs w:val="28"/>
        </w:rPr>
        <w:t xml:space="preserve"> </w:t>
      </w:r>
      <w:r w:rsidR="00302430" w:rsidRPr="008E6BD7">
        <w:rPr>
          <w:rFonts w:cstheme="minorHAnsi"/>
          <w:sz w:val="28"/>
          <w:szCs w:val="28"/>
        </w:rPr>
        <w:t>§</w:t>
      </w:r>
      <w:r w:rsidR="00302430" w:rsidRPr="008E6BD7">
        <w:rPr>
          <w:sz w:val="28"/>
          <w:szCs w:val="28"/>
        </w:rPr>
        <w:t xml:space="preserve"> </w:t>
      </w:r>
      <w:r w:rsidR="00F903E7" w:rsidRPr="008E6BD7">
        <w:rPr>
          <w:sz w:val="28"/>
          <w:szCs w:val="28"/>
        </w:rPr>
        <w:t>22 (A)(3).</w:t>
      </w:r>
      <w:r w:rsidR="00D27C15">
        <w:rPr>
          <w:rStyle w:val="FootnoteReference"/>
          <w:sz w:val="28"/>
          <w:szCs w:val="28"/>
        </w:rPr>
        <w:footnoteReference w:id="1"/>
      </w:r>
      <w:r w:rsidR="00F903E7" w:rsidRPr="008E6BD7">
        <w:rPr>
          <w:sz w:val="28"/>
          <w:szCs w:val="28"/>
        </w:rPr>
        <w:t xml:space="preserve"> </w:t>
      </w:r>
    </w:p>
    <w:p w:rsidR="00255FD9" w:rsidRPr="00D24257" w:rsidRDefault="00302430" w:rsidP="00302430">
      <w:pPr>
        <w:tabs>
          <w:tab w:val="left" w:pos="360"/>
        </w:tabs>
        <w:spacing w:line="480" w:lineRule="auto"/>
        <w:jc w:val="both"/>
        <w:rPr>
          <w:sz w:val="28"/>
          <w:szCs w:val="28"/>
        </w:rPr>
      </w:pPr>
      <w:r>
        <w:rPr>
          <w:sz w:val="28"/>
          <w:szCs w:val="28"/>
        </w:rPr>
        <w:tab/>
      </w:r>
      <w:r w:rsidR="00E64E08">
        <w:rPr>
          <w:sz w:val="28"/>
          <w:szCs w:val="28"/>
        </w:rPr>
        <w:tab/>
      </w:r>
      <w:r w:rsidR="00D94D4F" w:rsidRPr="00302430">
        <w:rPr>
          <w:sz w:val="28"/>
          <w:szCs w:val="28"/>
        </w:rPr>
        <w:t xml:space="preserve">In </w:t>
      </w:r>
      <w:r w:rsidR="003C3EAF" w:rsidRPr="00302430">
        <w:rPr>
          <w:i/>
          <w:sz w:val="28"/>
          <w:szCs w:val="28"/>
        </w:rPr>
        <w:t>Wein/</w:t>
      </w:r>
      <w:r w:rsidR="00D94D4F" w:rsidRPr="00302430">
        <w:rPr>
          <w:i/>
          <w:sz w:val="28"/>
          <w:szCs w:val="28"/>
        </w:rPr>
        <w:t>Goodman</w:t>
      </w:r>
      <w:r w:rsidR="00D94D4F" w:rsidRPr="00302430">
        <w:rPr>
          <w:sz w:val="28"/>
          <w:szCs w:val="28"/>
        </w:rPr>
        <w:t xml:space="preserve"> </w:t>
      </w:r>
      <w:r w:rsidR="00B437BA" w:rsidRPr="00302430">
        <w:rPr>
          <w:sz w:val="28"/>
          <w:szCs w:val="28"/>
        </w:rPr>
        <w:t>this</w:t>
      </w:r>
      <w:r w:rsidR="00D94D4F" w:rsidRPr="00302430">
        <w:rPr>
          <w:sz w:val="28"/>
          <w:szCs w:val="28"/>
        </w:rPr>
        <w:t xml:space="preserve"> </w:t>
      </w:r>
      <w:r w:rsidR="007427C2" w:rsidRPr="00302430">
        <w:rPr>
          <w:sz w:val="28"/>
          <w:szCs w:val="28"/>
        </w:rPr>
        <w:t>C</w:t>
      </w:r>
      <w:r w:rsidR="00D31AB6" w:rsidRPr="00302430">
        <w:rPr>
          <w:sz w:val="28"/>
          <w:szCs w:val="28"/>
        </w:rPr>
        <w:t xml:space="preserve">ourt </w:t>
      </w:r>
      <w:r w:rsidR="00C00465" w:rsidRPr="00302430">
        <w:rPr>
          <w:sz w:val="28"/>
          <w:szCs w:val="28"/>
        </w:rPr>
        <w:t>reached the same</w:t>
      </w:r>
      <w:r w:rsidR="00724C2A" w:rsidRPr="00302430">
        <w:rPr>
          <w:sz w:val="28"/>
          <w:szCs w:val="28"/>
        </w:rPr>
        <w:t xml:space="preserve"> conclusion concerning the subsection(A)(1) categorical denial of the right to bail </w:t>
      </w:r>
      <w:r w:rsidR="00255FD9" w:rsidRPr="00302430">
        <w:rPr>
          <w:sz w:val="28"/>
          <w:szCs w:val="28"/>
        </w:rPr>
        <w:t>of defendants charged with sexual assault.</w:t>
      </w:r>
      <w:r w:rsidR="00B72802">
        <w:rPr>
          <w:rStyle w:val="FootnoteReference"/>
          <w:sz w:val="28"/>
          <w:szCs w:val="28"/>
        </w:rPr>
        <w:footnoteReference w:id="2"/>
      </w:r>
      <w:r w:rsidR="00B72802" w:rsidRPr="00D24257">
        <w:rPr>
          <w:sz w:val="28"/>
          <w:szCs w:val="28"/>
        </w:rPr>
        <w:t xml:space="preserve"> The Court clarified </w:t>
      </w:r>
      <w:r w:rsidR="009915AF" w:rsidRPr="00D24257">
        <w:rPr>
          <w:sz w:val="28"/>
          <w:szCs w:val="28"/>
        </w:rPr>
        <w:t>that the focus of the constitutional an</w:t>
      </w:r>
      <w:r w:rsidR="00C00465" w:rsidRPr="00D24257">
        <w:rPr>
          <w:sz w:val="28"/>
          <w:szCs w:val="28"/>
        </w:rPr>
        <w:t>a</w:t>
      </w:r>
      <w:r w:rsidR="009915AF" w:rsidRPr="00D24257">
        <w:rPr>
          <w:sz w:val="28"/>
          <w:szCs w:val="28"/>
        </w:rPr>
        <w:t>lysis of a categorical denial of the right t</w:t>
      </w:r>
      <w:r w:rsidR="00C00465" w:rsidRPr="00D24257">
        <w:rPr>
          <w:sz w:val="28"/>
          <w:szCs w:val="28"/>
        </w:rPr>
        <w:t>o bail must be on</w:t>
      </w:r>
      <w:r w:rsidR="009915AF" w:rsidRPr="00D24257">
        <w:rPr>
          <w:sz w:val="28"/>
          <w:szCs w:val="28"/>
        </w:rPr>
        <w:t xml:space="preserve"> </w:t>
      </w:r>
      <w:r w:rsidR="00C00465" w:rsidRPr="00D24257">
        <w:rPr>
          <w:sz w:val="28"/>
          <w:szCs w:val="28"/>
        </w:rPr>
        <w:t xml:space="preserve">whether the charge </w:t>
      </w:r>
      <w:r w:rsidR="009915AF" w:rsidRPr="00D24257">
        <w:rPr>
          <w:sz w:val="28"/>
          <w:szCs w:val="28"/>
        </w:rPr>
        <w:t>inherent</w:t>
      </w:r>
      <w:r w:rsidR="00C00465" w:rsidRPr="00D24257">
        <w:rPr>
          <w:sz w:val="28"/>
          <w:szCs w:val="28"/>
        </w:rPr>
        <w:t>ly predicts</w:t>
      </w:r>
      <w:r w:rsidR="009915AF" w:rsidRPr="00D24257">
        <w:rPr>
          <w:sz w:val="28"/>
          <w:szCs w:val="28"/>
        </w:rPr>
        <w:t xml:space="preserve"> that the defendant will commit a dangerous offense whil</w:t>
      </w:r>
      <w:r w:rsidR="00C00465" w:rsidRPr="00D24257">
        <w:rPr>
          <w:sz w:val="28"/>
          <w:szCs w:val="28"/>
        </w:rPr>
        <w:t>e</w:t>
      </w:r>
      <w:r w:rsidR="009915AF" w:rsidRPr="00D24257">
        <w:rPr>
          <w:sz w:val="28"/>
          <w:szCs w:val="28"/>
        </w:rPr>
        <w:t xml:space="preserve"> on pre-trial release rather than </w:t>
      </w:r>
      <w:r w:rsidR="00C00465" w:rsidRPr="00D24257">
        <w:rPr>
          <w:sz w:val="28"/>
          <w:szCs w:val="28"/>
        </w:rPr>
        <w:t xml:space="preserve">whether </w:t>
      </w:r>
      <w:r w:rsidR="009915AF" w:rsidRPr="00D24257">
        <w:rPr>
          <w:sz w:val="28"/>
          <w:szCs w:val="28"/>
        </w:rPr>
        <w:t xml:space="preserve">the </w:t>
      </w:r>
      <w:r w:rsidR="00C00465" w:rsidRPr="00D24257">
        <w:rPr>
          <w:sz w:val="28"/>
          <w:szCs w:val="28"/>
        </w:rPr>
        <w:t>offense charged is “dangerous</w:t>
      </w:r>
      <w:r w:rsidR="009915AF" w:rsidRPr="00D24257">
        <w:rPr>
          <w:sz w:val="28"/>
          <w:szCs w:val="28"/>
        </w:rPr>
        <w:t>.</w:t>
      </w:r>
      <w:r w:rsidR="00C00465" w:rsidRPr="00D24257">
        <w:rPr>
          <w:sz w:val="28"/>
          <w:szCs w:val="28"/>
        </w:rPr>
        <w:t>”</w:t>
      </w:r>
    </w:p>
    <w:p w:rsidR="0056402F" w:rsidRPr="00C93611" w:rsidRDefault="0056402F" w:rsidP="00C93611">
      <w:pPr>
        <w:pStyle w:val="ListParagraph"/>
        <w:tabs>
          <w:tab w:val="left" w:pos="0"/>
        </w:tabs>
        <w:jc w:val="both"/>
        <w:rPr>
          <w:sz w:val="28"/>
          <w:szCs w:val="28"/>
        </w:rPr>
      </w:pPr>
    </w:p>
    <w:p w:rsidR="00C173CB" w:rsidRDefault="00C173CB" w:rsidP="006433BC">
      <w:pPr>
        <w:pStyle w:val="ListParagraph"/>
        <w:tabs>
          <w:tab w:val="left" w:pos="0"/>
        </w:tabs>
        <w:ind w:right="810"/>
        <w:jc w:val="both"/>
        <w:rPr>
          <w:sz w:val="28"/>
          <w:szCs w:val="28"/>
        </w:rPr>
      </w:pPr>
      <w:r w:rsidRPr="00C173CB">
        <w:rPr>
          <w:sz w:val="28"/>
          <w:szCs w:val="28"/>
        </w:rPr>
        <w:t xml:space="preserve">We should have immediately explained that just as commission of sexual conduct with a minor under fifteen years of age is not always dangerous, it does not inherently demonstrate future dangerousness pending trial. See </w:t>
      </w:r>
      <w:r w:rsidRPr="00071FEE">
        <w:rPr>
          <w:i/>
          <w:sz w:val="28"/>
          <w:szCs w:val="28"/>
        </w:rPr>
        <w:t>Simpson II</w:t>
      </w:r>
      <w:r w:rsidRPr="00C173CB">
        <w:rPr>
          <w:sz w:val="28"/>
          <w:szCs w:val="28"/>
        </w:rPr>
        <w:t xml:space="preserve">, 241 Ariz. at 349 ¶ 27. We made that point later in the opinion. See id. ¶ 30 </w:t>
      </w:r>
      <w:r>
        <w:rPr>
          <w:sz w:val="28"/>
          <w:szCs w:val="28"/>
        </w:rPr>
        <w:t>(</w:t>
      </w:r>
      <w:r w:rsidRPr="00C173CB">
        <w:rPr>
          <w:sz w:val="28"/>
          <w:szCs w:val="28"/>
        </w:rPr>
        <w:t>“[T]he state may deny bail</w:t>
      </w:r>
      <w:r>
        <w:rPr>
          <w:sz w:val="28"/>
          <w:szCs w:val="28"/>
        </w:rPr>
        <w:t xml:space="preserve"> </w:t>
      </w:r>
      <w:r w:rsidRPr="00C173CB">
        <w:rPr>
          <w:sz w:val="28"/>
          <w:szCs w:val="28"/>
        </w:rPr>
        <w:t>categorically for crimes that inherently demonstrate future dangerousness” when the proof is evident or the presumption great, but “[w]hat it may not do, consistent with due process, is deny bail categorically for those accused of crimes that do not inherently predict future dangerousness.”)</w:t>
      </w:r>
      <w:r w:rsidR="00D94D4F">
        <w:rPr>
          <w:sz w:val="28"/>
          <w:szCs w:val="28"/>
        </w:rPr>
        <w:t>;</w:t>
      </w:r>
      <w:r w:rsidRPr="00C173CB">
        <w:rPr>
          <w:sz w:val="28"/>
          <w:szCs w:val="28"/>
        </w:rPr>
        <w:t xml:space="preserve"> see also </w:t>
      </w:r>
      <w:r w:rsidRPr="00071FEE">
        <w:rPr>
          <w:i/>
          <w:sz w:val="28"/>
          <w:szCs w:val="28"/>
        </w:rPr>
        <w:t>Morreno v. Hon. Brickner/State</w:t>
      </w:r>
      <w:r w:rsidRPr="00C173CB">
        <w:rPr>
          <w:sz w:val="28"/>
          <w:szCs w:val="28"/>
        </w:rPr>
        <w:t>, 790 Ariz. Adv. Rep. 24 ¶ 21 (May 2, 2018) (“The mere charge itself [in Simpson II] was not a convincing proxy for future dangerousness, and therefore not narrowly focused, because it swept in situations that are not predictive of future dangerousness.”).</w:t>
      </w:r>
      <w:r w:rsidR="0056402F">
        <w:rPr>
          <w:sz w:val="28"/>
          <w:szCs w:val="28"/>
        </w:rPr>
        <w:t xml:space="preserve"> </w:t>
      </w:r>
      <w:r w:rsidR="006F0C9E">
        <w:rPr>
          <w:rStyle w:val="FootnoteReference"/>
          <w:sz w:val="28"/>
          <w:szCs w:val="28"/>
        </w:rPr>
        <w:footnoteReference w:id="3"/>
      </w:r>
    </w:p>
    <w:p w:rsidR="00D94D4F" w:rsidRPr="00C173CB" w:rsidRDefault="00D94D4F" w:rsidP="00C93611">
      <w:pPr>
        <w:pStyle w:val="ListParagraph"/>
        <w:tabs>
          <w:tab w:val="left" w:pos="0"/>
        </w:tabs>
        <w:jc w:val="both"/>
        <w:rPr>
          <w:sz w:val="28"/>
          <w:szCs w:val="28"/>
        </w:rPr>
      </w:pPr>
    </w:p>
    <w:p w:rsidR="00314CE9" w:rsidRDefault="00302430" w:rsidP="007F435E">
      <w:pPr>
        <w:pStyle w:val="ListParagraph"/>
        <w:spacing w:line="480" w:lineRule="auto"/>
        <w:ind w:left="0"/>
        <w:jc w:val="both"/>
        <w:rPr>
          <w:sz w:val="28"/>
          <w:szCs w:val="28"/>
        </w:rPr>
      </w:pPr>
      <w:r>
        <w:rPr>
          <w:sz w:val="28"/>
          <w:szCs w:val="28"/>
        </w:rPr>
        <w:t>Therefore, petitioner propos</w:t>
      </w:r>
      <w:r w:rsidR="00D24257">
        <w:rPr>
          <w:sz w:val="28"/>
          <w:szCs w:val="28"/>
        </w:rPr>
        <w:t>es that the Court</w:t>
      </w:r>
      <w:r>
        <w:rPr>
          <w:sz w:val="28"/>
          <w:szCs w:val="28"/>
        </w:rPr>
        <w:t xml:space="preserve"> remove references to sexual assault from the bail rules to implement the </w:t>
      </w:r>
      <w:r w:rsidRPr="007F435E">
        <w:rPr>
          <w:i/>
          <w:sz w:val="28"/>
          <w:szCs w:val="28"/>
        </w:rPr>
        <w:t>Wein/Goodman</w:t>
      </w:r>
      <w:r>
        <w:rPr>
          <w:sz w:val="28"/>
          <w:szCs w:val="28"/>
        </w:rPr>
        <w:t xml:space="preserve"> decision.</w:t>
      </w:r>
    </w:p>
    <w:p w:rsidR="00302430" w:rsidRDefault="00302430" w:rsidP="00D27C15">
      <w:pPr>
        <w:pStyle w:val="ListParagraph"/>
        <w:ind w:left="0"/>
        <w:jc w:val="both"/>
        <w:rPr>
          <w:sz w:val="28"/>
          <w:szCs w:val="28"/>
        </w:rPr>
      </w:pPr>
    </w:p>
    <w:p w:rsidR="00314CE9" w:rsidRDefault="00034930" w:rsidP="00C93611">
      <w:pPr>
        <w:pStyle w:val="ListParagraph"/>
        <w:spacing w:line="480" w:lineRule="auto"/>
        <w:ind w:left="0" w:firstLine="720"/>
        <w:jc w:val="both"/>
        <w:rPr>
          <w:sz w:val="28"/>
          <w:szCs w:val="28"/>
        </w:rPr>
      </w:pPr>
      <w:hyperlink r:id="rId12" w:history="1">
        <w:r w:rsidR="00314CE9" w:rsidRPr="007277BC">
          <w:rPr>
            <w:rStyle w:val="Hyperlink"/>
            <w:sz w:val="28"/>
            <w:szCs w:val="28"/>
          </w:rPr>
          <w:t>Laws 2018, Chapter 115, HB 2245</w:t>
        </w:r>
      </w:hyperlink>
      <w:r w:rsidR="00314CE9">
        <w:rPr>
          <w:sz w:val="28"/>
          <w:szCs w:val="28"/>
        </w:rPr>
        <w:t xml:space="preserve"> amend</w:t>
      </w:r>
      <w:r w:rsidR="006F0C9E">
        <w:rPr>
          <w:sz w:val="28"/>
          <w:szCs w:val="28"/>
        </w:rPr>
        <w:t>s</w:t>
      </w:r>
      <w:r w:rsidR="00314CE9">
        <w:rPr>
          <w:sz w:val="28"/>
          <w:szCs w:val="28"/>
        </w:rPr>
        <w:t xml:space="preserve"> the provisions</w:t>
      </w:r>
      <w:r w:rsidR="00B653DE">
        <w:rPr>
          <w:sz w:val="28"/>
          <w:szCs w:val="28"/>
        </w:rPr>
        <w:t xml:space="preserve"> in A.R.S. </w:t>
      </w:r>
      <w:r w:rsidR="00B653DE">
        <w:rPr>
          <w:rFonts w:cstheme="minorHAnsi"/>
          <w:sz w:val="28"/>
          <w:szCs w:val="28"/>
        </w:rPr>
        <w:t>§</w:t>
      </w:r>
      <w:r w:rsidR="00B653DE">
        <w:rPr>
          <w:sz w:val="28"/>
          <w:szCs w:val="28"/>
        </w:rPr>
        <w:t xml:space="preserve"> 13-3961 </w:t>
      </w:r>
      <w:r w:rsidR="00283DA4">
        <w:rPr>
          <w:sz w:val="28"/>
          <w:szCs w:val="28"/>
        </w:rPr>
        <w:t xml:space="preserve">concerning the right to bail </w:t>
      </w:r>
      <w:r w:rsidR="00B653DE">
        <w:rPr>
          <w:sz w:val="28"/>
          <w:szCs w:val="28"/>
        </w:rPr>
        <w:t>for</w:t>
      </w:r>
      <w:r w:rsidR="00283DA4">
        <w:rPr>
          <w:sz w:val="28"/>
          <w:szCs w:val="28"/>
        </w:rPr>
        <w:t xml:space="preserve"> defe</w:t>
      </w:r>
      <w:r w:rsidR="00C93611">
        <w:rPr>
          <w:sz w:val="28"/>
          <w:szCs w:val="28"/>
        </w:rPr>
        <w:t>n</w:t>
      </w:r>
      <w:r w:rsidR="00283DA4">
        <w:rPr>
          <w:sz w:val="28"/>
          <w:szCs w:val="28"/>
        </w:rPr>
        <w:t>dants charged with sexual conduct with a minor and child molestation</w:t>
      </w:r>
      <w:r w:rsidR="007F435E">
        <w:rPr>
          <w:sz w:val="28"/>
          <w:szCs w:val="28"/>
        </w:rPr>
        <w:t xml:space="preserve"> determined to be unconstitutional</w:t>
      </w:r>
      <w:r w:rsidR="000D0786">
        <w:rPr>
          <w:sz w:val="28"/>
          <w:szCs w:val="28"/>
        </w:rPr>
        <w:t xml:space="preserve"> in </w:t>
      </w:r>
      <w:r w:rsidR="000D0786">
        <w:rPr>
          <w:i/>
          <w:sz w:val="28"/>
          <w:szCs w:val="28"/>
        </w:rPr>
        <w:t xml:space="preserve">Simpson II </w:t>
      </w:r>
      <w:r w:rsidR="000D0786">
        <w:rPr>
          <w:sz w:val="28"/>
          <w:szCs w:val="28"/>
        </w:rPr>
        <w:t xml:space="preserve">and </w:t>
      </w:r>
      <w:r w:rsidR="000D0786">
        <w:rPr>
          <w:i/>
          <w:sz w:val="28"/>
          <w:szCs w:val="28"/>
        </w:rPr>
        <w:t>Chantry</w:t>
      </w:r>
      <w:r w:rsidR="00E20195">
        <w:rPr>
          <w:sz w:val="28"/>
          <w:szCs w:val="28"/>
        </w:rPr>
        <w:t>. The</w:t>
      </w:r>
      <w:r w:rsidR="007F435E">
        <w:rPr>
          <w:sz w:val="28"/>
          <w:szCs w:val="28"/>
        </w:rPr>
        <w:t>se</w:t>
      </w:r>
      <w:r w:rsidR="00B653DE">
        <w:rPr>
          <w:sz w:val="28"/>
          <w:szCs w:val="28"/>
        </w:rPr>
        <w:t xml:space="preserve"> 2018 statutory</w:t>
      </w:r>
      <w:r w:rsidR="00E20195">
        <w:rPr>
          <w:sz w:val="28"/>
          <w:szCs w:val="28"/>
        </w:rPr>
        <w:t xml:space="preserve"> amendments </w:t>
      </w:r>
      <w:r w:rsidR="009F1E33">
        <w:rPr>
          <w:sz w:val="28"/>
          <w:szCs w:val="28"/>
        </w:rPr>
        <w:t>narrow</w:t>
      </w:r>
      <w:r w:rsidR="00E20195">
        <w:rPr>
          <w:sz w:val="28"/>
          <w:szCs w:val="28"/>
        </w:rPr>
        <w:t xml:space="preserve"> the exception to the right to bail </w:t>
      </w:r>
      <w:r w:rsidR="009F1E33">
        <w:rPr>
          <w:sz w:val="28"/>
          <w:szCs w:val="28"/>
        </w:rPr>
        <w:t>by basing the</w:t>
      </w:r>
      <w:r w:rsidR="00017F1C">
        <w:rPr>
          <w:sz w:val="28"/>
          <w:szCs w:val="28"/>
        </w:rPr>
        <w:t xml:space="preserve"> </w:t>
      </w:r>
      <w:r w:rsidR="009F1E33">
        <w:rPr>
          <w:sz w:val="28"/>
          <w:szCs w:val="28"/>
        </w:rPr>
        <w:t>exceptions on the relative age</w:t>
      </w:r>
      <w:r w:rsidR="00302430">
        <w:rPr>
          <w:sz w:val="28"/>
          <w:szCs w:val="28"/>
        </w:rPr>
        <w:t>s</w:t>
      </w:r>
      <w:r w:rsidR="009F1E33">
        <w:rPr>
          <w:sz w:val="28"/>
          <w:szCs w:val="28"/>
        </w:rPr>
        <w:t xml:space="preserve"> of the defendant and the victim</w:t>
      </w:r>
      <w:r w:rsidR="007F435E">
        <w:rPr>
          <w:sz w:val="28"/>
          <w:szCs w:val="28"/>
        </w:rPr>
        <w:t xml:space="preserve"> rather than the offense alone</w:t>
      </w:r>
      <w:r w:rsidR="00FD6F5E">
        <w:rPr>
          <w:sz w:val="28"/>
          <w:szCs w:val="28"/>
        </w:rPr>
        <w:t>.</w:t>
      </w:r>
      <w:r w:rsidR="000D0786">
        <w:rPr>
          <w:sz w:val="28"/>
          <w:szCs w:val="28"/>
        </w:rPr>
        <w:t xml:space="preserve"> They</w:t>
      </w:r>
      <w:r w:rsidR="00EA26D1">
        <w:rPr>
          <w:sz w:val="28"/>
          <w:szCs w:val="28"/>
        </w:rPr>
        <w:t xml:space="preserve"> </w:t>
      </w:r>
      <w:r w:rsidR="00231E49">
        <w:rPr>
          <w:sz w:val="28"/>
          <w:szCs w:val="28"/>
        </w:rPr>
        <w:t>define classes of</w:t>
      </w:r>
      <w:r w:rsidR="00AD24B2">
        <w:rPr>
          <w:sz w:val="28"/>
          <w:szCs w:val="28"/>
        </w:rPr>
        <w:t xml:space="preserve"> defendants designed to be limited to those</w:t>
      </w:r>
      <w:r w:rsidR="00231E49">
        <w:rPr>
          <w:sz w:val="28"/>
          <w:szCs w:val="28"/>
        </w:rPr>
        <w:t xml:space="preserve"> who present an inherent risk</w:t>
      </w:r>
      <w:r w:rsidR="00EA26D1">
        <w:rPr>
          <w:sz w:val="28"/>
          <w:szCs w:val="28"/>
        </w:rPr>
        <w:t xml:space="preserve"> of future dangerous</w:t>
      </w:r>
      <w:r w:rsidR="00231E49">
        <w:rPr>
          <w:sz w:val="28"/>
          <w:szCs w:val="28"/>
        </w:rPr>
        <w:t>ness</w:t>
      </w:r>
      <w:r w:rsidR="00EA26D1">
        <w:rPr>
          <w:sz w:val="28"/>
          <w:szCs w:val="28"/>
        </w:rPr>
        <w:t xml:space="preserve"> </w:t>
      </w:r>
      <w:r w:rsidR="00231E49">
        <w:rPr>
          <w:sz w:val="28"/>
          <w:szCs w:val="28"/>
        </w:rPr>
        <w:t xml:space="preserve">consistent with </w:t>
      </w:r>
      <w:r w:rsidR="00231E49" w:rsidRPr="008E1A35">
        <w:rPr>
          <w:i/>
          <w:sz w:val="28"/>
          <w:szCs w:val="28"/>
        </w:rPr>
        <w:t>Simpson II</w:t>
      </w:r>
      <w:r w:rsidR="00231E49">
        <w:rPr>
          <w:sz w:val="28"/>
          <w:szCs w:val="28"/>
        </w:rPr>
        <w:t>.</w:t>
      </w:r>
      <w:r w:rsidR="00231E49">
        <w:rPr>
          <w:rStyle w:val="FootnoteReference"/>
          <w:sz w:val="28"/>
          <w:szCs w:val="28"/>
        </w:rPr>
        <w:footnoteReference w:id="4"/>
      </w:r>
      <w:r w:rsidR="0070176C">
        <w:rPr>
          <w:sz w:val="28"/>
          <w:szCs w:val="28"/>
        </w:rPr>
        <w:t xml:space="preserve"> </w:t>
      </w:r>
    </w:p>
    <w:p w:rsidR="00BD01C9" w:rsidRDefault="00302430" w:rsidP="006433BC">
      <w:pPr>
        <w:pStyle w:val="ListParagraph"/>
        <w:spacing w:line="480" w:lineRule="auto"/>
        <w:ind w:left="0" w:firstLine="720"/>
        <w:jc w:val="both"/>
        <w:rPr>
          <w:sz w:val="28"/>
          <w:szCs w:val="28"/>
        </w:rPr>
      </w:pPr>
      <w:r>
        <w:rPr>
          <w:sz w:val="28"/>
          <w:szCs w:val="28"/>
        </w:rPr>
        <w:t>Arguably</w:t>
      </w:r>
      <w:r w:rsidR="0070176C">
        <w:rPr>
          <w:sz w:val="28"/>
          <w:szCs w:val="28"/>
        </w:rPr>
        <w:t>, the HB</w:t>
      </w:r>
      <w:r w:rsidR="00BD1C2B">
        <w:rPr>
          <w:sz w:val="28"/>
          <w:szCs w:val="28"/>
        </w:rPr>
        <w:t xml:space="preserve"> </w:t>
      </w:r>
      <w:r w:rsidR="0070176C">
        <w:rPr>
          <w:sz w:val="28"/>
          <w:szCs w:val="28"/>
        </w:rPr>
        <w:t>2245 amendments fall short of the rigorous requirements outlined in</w:t>
      </w:r>
      <w:r w:rsidR="0070176C" w:rsidRPr="007F435E">
        <w:rPr>
          <w:i/>
          <w:sz w:val="28"/>
          <w:szCs w:val="28"/>
        </w:rPr>
        <w:t xml:space="preserve"> </w:t>
      </w:r>
      <w:r w:rsidR="00B653DE" w:rsidRPr="007F435E">
        <w:rPr>
          <w:i/>
          <w:sz w:val="28"/>
          <w:szCs w:val="28"/>
        </w:rPr>
        <w:t>Wein/</w:t>
      </w:r>
      <w:r w:rsidR="0070176C" w:rsidRPr="007F435E">
        <w:rPr>
          <w:i/>
          <w:sz w:val="28"/>
          <w:szCs w:val="28"/>
        </w:rPr>
        <w:t xml:space="preserve">Goodman </w:t>
      </w:r>
      <w:r w:rsidR="0070176C">
        <w:rPr>
          <w:sz w:val="28"/>
          <w:szCs w:val="28"/>
        </w:rPr>
        <w:t>for a categorical denial of the right to bail. No procedures are provided to determine w</w:t>
      </w:r>
      <w:r w:rsidR="00FD57B8">
        <w:rPr>
          <w:sz w:val="28"/>
          <w:szCs w:val="28"/>
        </w:rPr>
        <w:t>hether</w:t>
      </w:r>
      <w:r w:rsidR="0070176C">
        <w:rPr>
          <w:sz w:val="28"/>
          <w:szCs w:val="28"/>
        </w:rPr>
        <w:t xml:space="preserve"> the </w:t>
      </w:r>
      <w:r w:rsidR="00FD57B8">
        <w:rPr>
          <w:sz w:val="28"/>
          <w:szCs w:val="28"/>
        </w:rPr>
        <w:t>particular defendant would pose a danger to the community while on release</w:t>
      </w:r>
      <w:r w:rsidR="0070176C">
        <w:rPr>
          <w:sz w:val="28"/>
          <w:szCs w:val="28"/>
        </w:rPr>
        <w:t>.</w:t>
      </w:r>
      <w:r w:rsidR="006F0C9E">
        <w:rPr>
          <w:rStyle w:val="FootnoteReference"/>
          <w:sz w:val="28"/>
          <w:szCs w:val="28"/>
        </w:rPr>
        <w:footnoteReference w:id="5"/>
      </w:r>
      <w:r w:rsidR="009D5502">
        <w:rPr>
          <w:sz w:val="28"/>
          <w:szCs w:val="28"/>
        </w:rPr>
        <w:t xml:space="preserve"> </w:t>
      </w:r>
      <w:r w:rsidR="00342034">
        <w:rPr>
          <w:sz w:val="28"/>
          <w:szCs w:val="28"/>
        </w:rPr>
        <w:t>Demo</w:t>
      </w:r>
      <w:r w:rsidR="00C93611">
        <w:rPr>
          <w:sz w:val="28"/>
          <w:szCs w:val="28"/>
        </w:rPr>
        <w:t>n</w:t>
      </w:r>
      <w:r w:rsidR="00342034">
        <w:rPr>
          <w:sz w:val="28"/>
          <w:szCs w:val="28"/>
        </w:rPr>
        <w:t xml:space="preserve">strating that any category of crime is </w:t>
      </w:r>
      <w:r w:rsidR="00334165">
        <w:rPr>
          <w:sz w:val="28"/>
          <w:szCs w:val="28"/>
        </w:rPr>
        <w:t>“’</w:t>
      </w:r>
      <w:r w:rsidR="00342034">
        <w:rPr>
          <w:sz w:val="28"/>
          <w:szCs w:val="28"/>
        </w:rPr>
        <w:t xml:space="preserve">a convincing </w:t>
      </w:r>
      <w:r w:rsidR="009D5502">
        <w:rPr>
          <w:sz w:val="28"/>
          <w:szCs w:val="28"/>
        </w:rPr>
        <w:t>proxy</w:t>
      </w:r>
      <w:r w:rsidR="00334165">
        <w:rPr>
          <w:sz w:val="28"/>
          <w:szCs w:val="28"/>
        </w:rPr>
        <w:t>’</w:t>
      </w:r>
      <w:r w:rsidR="009D5502">
        <w:rPr>
          <w:sz w:val="28"/>
          <w:szCs w:val="28"/>
        </w:rPr>
        <w:t xml:space="preserve"> for </w:t>
      </w:r>
      <w:r w:rsidR="00342034">
        <w:rPr>
          <w:sz w:val="28"/>
          <w:szCs w:val="28"/>
        </w:rPr>
        <w:t xml:space="preserve">future </w:t>
      </w:r>
      <w:r w:rsidR="009D5502">
        <w:rPr>
          <w:sz w:val="28"/>
          <w:szCs w:val="28"/>
        </w:rPr>
        <w:t>dangerous</w:t>
      </w:r>
      <w:r w:rsidR="00342034">
        <w:rPr>
          <w:sz w:val="28"/>
          <w:szCs w:val="28"/>
        </w:rPr>
        <w:t>ness</w:t>
      </w:r>
      <w:r w:rsidR="00334165">
        <w:rPr>
          <w:sz w:val="28"/>
          <w:szCs w:val="28"/>
        </w:rPr>
        <w:t>”</w:t>
      </w:r>
      <w:r w:rsidR="00342034">
        <w:rPr>
          <w:sz w:val="28"/>
          <w:szCs w:val="28"/>
        </w:rPr>
        <w:t xml:space="preserve"> </w:t>
      </w:r>
      <w:r w:rsidR="00334165">
        <w:rPr>
          <w:sz w:val="28"/>
          <w:szCs w:val="28"/>
        </w:rPr>
        <w:t>is a “difficult undertaking</w:t>
      </w:r>
      <w:r>
        <w:rPr>
          <w:sz w:val="28"/>
          <w:szCs w:val="28"/>
        </w:rPr>
        <w:t>,</w:t>
      </w:r>
      <w:r w:rsidR="00334165">
        <w:rPr>
          <w:sz w:val="28"/>
          <w:szCs w:val="28"/>
        </w:rPr>
        <w:t>”</w:t>
      </w:r>
      <w:r w:rsidR="00334165">
        <w:rPr>
          <w:rStyle w:val="FootnoteReference"/>
          <w:sz w:val="28"/>
          <w:szCs w:val="28"/>
        </w:rPr>
        <w:footnoteReference w:id="6"/>
      </w:r>
      <w:r w:rsidR="00334165">
        <w:rPr>
          <w:sz w:val="28"/>
          <w:szCs w:val="28"/>
        </w:rPr>
        <w:t xml:space="preserve"> and there is a paucity of relevant data</w:t>
      </w:r>
      <w:r w:rsidR="009D5502">
        <w:rPr>
          <w:sz w:val="28"/>
          <w:szCs w:val="28"/>
        </w:rPr>
        <w:t>.</w:t>
      </w:r>
      <w:r w:rsidR="00334165">
        <w:rPr>
          <w:rStyle w:val="FootnoteReference"/>
          <w:sz w:val="28"/>
          <w:szCs w:val="28"/>
        </w:rPr>
        <w:footnoteReference w:id="7"/>
      </w:r>
      <w:r w:rsidR="009D5502">
        <w:rPr>
          <w:sz w:val="28"/>
          <w:szCs w:val="28"/>
        </w:rPr>
        <w:t xml:space="preserve"> </w:t>
      </w:r>
      <w:r w:rsidR="00334165" w:rsidRPr="00334165">
        <w:rPr>
          <w:sz w:val="28"/>
          <w:szCs w:val="28"/>
        </w:rPr>
        <w:t xml:space="preserve">Ariz. Const. </w:t>
      </w:r>
      <w:r>
        <w:rPr>
          <w:sz w:val="28"/>
          <w:szCs w:val="28"/>
        </w:rPr>
        <w:t>A</w:t>
      </w:r>
      <w:r w:rsidR="00334165" w:rsidRPr="00334165">
        <w:rPr>
          <w:sz w:val="28"/>
          <w:szCs w:val="28"/>
        </w:rPr>
        <w:t xml:space="preserve">rt. 2, § </w:t>
      </w:r>
      <w:r w:rsidR="00334165">
        <w:rPr>
          <w:sz w:val="28"/>
          <w:szCs w:val="28"/>
        </w:rPr>
        <w:t>22(A)(3) and</w:t>
      </w:r>
      <w:r w:rsidR="00334165" w:rsidRPr="00334165">
        <w:rPr>
          <w:sz w:val="28"/>
          <w:szCs w:val="28"/>
        </w:rPr>
        <w:t xml:space="preserve"> A.R.S. § 13-3961(D)</w:t>
      </w:r>
      <w:r w:rsidR="00334165">
        <w:rPr>
          <w:sz w:val="28"/>
          <w:szCs w:val="28"/>
        </w:rPr>
        <w:t xml:space="preserve"> provide a</w:t>
      </w:r>
      <w:r w:rsidR="009D5502">
        <w:rPr>
          <w:sz w:val="28"/>
          <w:szCs w:val="28"/>
        </w:rPr>
        <w:t xml:space="preserve"> readily available alternative</w:t>
      </w:r>
      <w:r w:rsidR="00334165">
        <w:rPr>
          <w:sz w:val="28"/>
          <w:szCs w:val="28"/>
        </w:rPr>
        <w:t xml:space="preserve"> to categorical denial of the right to bail</w:t>
      </w:r>
      <w:r w:rsidR="009D5502" w:rsidRPr="009D5502">
        <w:rPr>
          <w:sz w:val="28"/>
          <w:szCs w:val="28"/>
        </w:rPr>
        <w:t xml:space="preserve"> “that would serve the state’s objective</w:t>
      </w:r>
      <w:r w:rsidR="009D5502">
        <w:rPr>
          <w:sz w:val="28"/>
          <w:szCs w:val="28"/>
        </w:rPr>
        <w:t xml:space="preserve"> </w:t>
      </w:r>
      <w:r w:rsidR="009D5502" w:rsidRPr="00C93611">
        <w:rPr>
          <w:sz w:val="28"/>
          <w:szCs w:val="28"/>
        </w:rPr>
        <w:t>equally well at less cost to individual liberty.”</w:t>
      </w:r>
      <w:r w:rsidR="0070176C" w:rsidRPr="00C93611">
        <w:rPr>
          <w:sz w:val="28"/>
          <w:szCs w:val="28"/>
        </w:rPr>
        <w:t xml:space="preserve"> </w:t>
      </w:r>
      <w:r w:rsidR="009D5502" w:rsidRPr="008E1A35">
        <w:rPr>
          <w:i/>
          <w:sz w:val="28"/>
          <w:szCs w:val="28"/>
        </w:rPr>
        <w:t>Simpson II</w:t>
      </w:r>
      <w:r w:rsidR="009D5502" w:rsidRPr="009D5502">
        <w:rPr>
          <w:sz w:val="28"/>
          <w:szCs w:val="28"/>
        </w:rPr>
        <w:t>, 241 Ariz. at 349 ¶ 28.</w:t>
      </w:r>
      <w:r w:rsidR="00BD1C2B">
        <w:rPr>
          <w:rStyle w:val="FootnoteReference"/>
          <w:sz w:val="28"/>
          <w:szCs w:val="28"/>
        </w:rPr>
        <w:footnoteReference w:id="8"/>
      </w:r>
      <w:r w:rsidR="00BD1C2B">
        <w:rPr>
          <w:sz w:val="28"/>
          <w:szCs w:val="28"/>
        </w:rPr>
        <w:t xml:space="preserve"> </w:t>
      </w:r>
    </w:p>
    <w:p w:rsidR="0044382A" w:rsidRDefault="008E1A35" w:rsidP="006433BC">
      <w:pPr>
        <w:pStyle w:val="ListParagraph"/>
        <w:spacing w:line="480" w:lineRule="auto"/>
        <w:ind w:left="0" w:firstLine="720"/>
        <w:jc w:val="both"/>
        <w:rPr>
          <w:sz w:val="28"/>
          <w:szCs w:val="28"/>
        </w:rPr>
      </w:pPr>
      <w:r>
        <w:rPr>
          <w:sz w:val="28"/>
          <w:szCs w:val="28"/>
        </w:rPr>
        <w:t xml:space="preserve">The Court may choose not to </w:t>
      </w:r>
      <w:r w:rsidR="00AD24B2">
        <w:rPr>
          <w:sz w:val="28"/>
          <w:szCs w:val="28"/>
        </w:rPr>
        <w:t xml:space="preserve">implement HB 2245 at this time through rule </w:t>
      </w:r>
      <w:r>
        <w:rPr>
          <w:sz w:val="28"/>
          <w:szCs w:val="28"/>
        </w:rPr>
        <w:t>amend</w:t>
      </w:r>
      <w:r w:rsidR="00AD24B2">
        <w:rPr>
          <w:sz w:val="28"/>
          <w:szCs w:val="28"/>
        </w:rPr>
        <w:t>ments.</w:t>
      </w:r>
      <w:r>
        <w:rPr>
          <w:sz w:val="28"/>
          <w:szCs w:val="28"/>
        </w:rPr>
        <w:t xml:space="preserve"> </w:t>
      </w:r>
      <w:r w:rsidR="00EC55AE">
        <w:rPr>
          <w:sz w:val="28"/>
          <w:szCs w:val="28"/>
        </w:rPr>
        <w:t>Th</w:t>
      </w:r>
      <w:r>
        <w:rPr>
          <w:sz w:val="28"/>
          <w:szCs w:val="28"/>
        </w:rPr>
        <w:t>ough the</w:t>
      </w:r>
      <w:r w:rsidR="00EC55AE">
        <w:rPr>
          <w:sz w:val="28"/>
          <w:szCs w:val="28"/>
        </w:rPr>
        <w:t xml:space="preserve"> current versions of </w:t>
      </w:r>
      <w:r w:rsidR="00EE042D" w:rsidRPr="00EE042D">
        <w:rPr>
          <w:sz w:val="28"/>
          <w:szCs w:val="28"/>
        </w:rPr>
        <w:t>Rules 4.2 and 7.2</w:t>
      </w:r>
      <w:r>
        <w:rPr>
          <w:sz w:val="28"/>
          <w:szCs w:val="28"/>
        </w:rPr>
        <w:t xml:space="preserve"> would not require the categorical treatment of the classes of defend</w:t>
      </w:r>
      <w:r w:rsidR="00156848">
        <w:rPr>
          <w:sz w:val="28"/>
          <w:szCs w:val="28"/>
        </w:rPr>
        <w:t xml:space="preserve">ants defined by </w:t>
      </w:r>
      <w:r w:rsidR="00EC55AE">
        <w:rPr>
          <w:sz w:val="28"/>
          <w:szCs w:val="28"/>
        </w:rPr>
        <w:t>the HB 2245 amendments</w:t>
      </w:r>
      <w:r w:rsidR="00156848">
        <w:rPr>
          <w:sz w:val="28"/>
          <w:szCs w:val="28"/>
        </w:rPr>
        <w:t>,</w:t>
      </w:r>
      <w:r w:rsidR="00EC55AE">
        <w:rPr>
          <w:sz w:val="28"/>
          <w:szCs w:val="28"/>
        </w:rPr>
        <w:t xml:space="preserve"> </w:t>
      </w:r>
      <w:r w:rsidR="00156848">
        <w:rPr>
          <w:sz w:val="28"/>
          <w:szCs w:val="28"/>
        </w:rPr>
        <w:t>p</w:t>
      </w:r>
      <w:r w:rsidR="000B792E">
        <w:rPr>
          <w:sz w:val="28"/>
          <w:szCs w:val="28"/>
        </w:rPr>
        <w:t xml:space="preserve">rosecutors may </w:t>
      </w:r>
      <w:r w:rsidR="00CA4F68">
        <w:rPr>
          <w:sz w:val="28"/>
          <w:szCs w:val="28"/>
        </w:rPr>
        <w:t xml:space="preserve">request denial of bail based on the new </w:t>
      </w:r>
      <w:r w:rsidR="00156848">
        <w:rPr>
          <w:sz w:val="28"/>
          <w:szCs w:val="28"/>
        </w:rPr>
        <w:t xml:space="preserve">statutory </w:t>
      </w:r>
    </w:p>
    <w:p w:rsidR="0044382A" w:rsidRDefault="0044382A">
      <w:pPr>
        <w:rPr>
          <w:sz w:val="28"/>
          <w:szCs w:val="28"/>
        </w:rPr>
      </w:pPr>
      <w:r>
        <w:rPr>
          <w:sz w:val="28"/>
          <w:szCs w:val="28"/>
        </w:rPr>
        <w:br w:type="page"/>
      </w:r>
    </w:p>
    <w:p w:rsidR="0070176C" w:rsidRPr="00C93611" w:rsidRDefault="00156848" w:rsidP="0044382A">
      <w:pPr>
        <w:pStyle w:val="ListParagraph"/>
        <w:spacing w:line="480" w:lineRule="auto"/>
        <w:ind w:left="0"/>
        <w:jc w:val="both"/>
        <w:rPr>
          <w:sz w:val="28"/>
          <w:szCs w:val="28"/>
        </w:rPr>
      </w:pPr>
      <w:r>
        <w:rPr>
          <w:sz w:val="28"/>
          <w:szCs w:val="28"/>
        </w:rPr>
        <w:t>provisions</w:t>
      </w:r>
      <w:r w:rsidR="00A42397">
        <w:rPr>
          <w:sz w:val="28"/>
          <w:szCs w:val="28"/>
        </w:rPr>
        <w:t>. On the other hand</w:t>
      </w:r>
      <w:r w:rsidR="00557235">
        <w:rPr>
          <w:sz w:val="28"/>
          <w:szCs w:val="28"/>
        </w:rPr>
        <w:t xml:space="preserve">, if the </w:t>
      </w:r>
      <w:r w:rsidR="00397051">
        <w:rPr>
          <w:sz w:val="28"/>
          <w:szCs w:val="28"/>
        </w:rPr>
        <w:t>Court adopts the</w:t>
      </w:r>
      <w:r w:rsidR="00557235">
        <w:rPr>
          <w:sz w:val="28"/>
          <w:szCs w:val="28"/>
        </w:rPr>
        <w:t xml:space="preserve"> amendments</w:t>
      </w:r>
      <w:r w:rsidR="00397051">
        <w:rPr>
          <w:sz w:val="28"/>
          <w:szCs w:val="28"/>
        </w:rPr>
        <w:t xml:space="preserve"> </w:t>
      </w:r>
      <w:r w:rsidR="00EE042D">
        <w:rPr>
          <w:sz w:val="28"/>
          <w:szCs w:val="28"/>
        </w:rPr>
        <w:t>shown in Appendix B</w:t>
      </w:r>
      <w:r w:rsidR="00A42397">
        <w:rPr>
          <w:sz w:val="28"/>
          <w:szCs w:val="28"/>
        </w:rPr>
        <w:t>,</w:t>
      </w:r>
      <w:r w:rsidR="00ED0ACF">
        <w:rPr>
          <w:sz w:val="28"/>
          <w:szCs w:val="28"/>
        </w:rPr>
        <w:t xml:space="preserve"> Rule 4.2 </w:t>
      </w:r>
      <w:r w:rsidR="00EE2A1C">
        <w:rPr>
          <w:sz w:val="28"/>
          <w:szCs w:val="28"/>
        </w:rPr>
        <w:t>would direct magistrates at initial appearances to categorically deny</w:t>
      </w:r>
      <w:r w:rsidR="00ED0ACF">
        <w:rPr>
          <w:sz w:val="28"/>
          <w:szCs w:val="28"/>
        </w:rPr>
        <w:t xml:space="preserve"> bail based on the new statutory criteria</w:t>
      </w:r>
      <w:r w:rsidR="00EB079E">
        <w:rPr>
          <w:sz w:val="28"/>
          <w:szCs w:val="28"/>
        </w:rPr>
        <w:t>,</w:t>
      </w:r>
      <w:r w:rsidR="00397051">
        <w:rPr>
          <w:sz w:val="28"/>
          <w:szCs w:val="28"/>
        </w:rPr>
        <w:t xml:space="preserve"> and</w:t>
      </w:r>
      <w:r w:rsidR="00ED0ACF">
        <w:rPr>
          <w:sz w:val="28"/>
          <w:szCs w:val="28"/>
        </w:rPr>
        <w:t xml:space="preserve"> Rule 7.2 would limit the issues for bail eligibility hearings to whether the proof is evident or the presumption is great in sexual conduct with a minor and </w:t>
      </w:r>
      <w:r w:rsidR="006E1C22">
        <w:rPr>
          <w:sz w:val="28"/>
          <w:szCs w:val="28"/>
        </w:rPr>
        <w:t>child molestation cases in which</w:t>
      </w:r>
      <w:r w:rsidR="00ED0ACF">
        <w:rPr>
          <w:sz w:val="28"/>
          <w:szCs w:val="28"/>
        </w:rPr>
        <w:t xml:space="preserve"> defendants and victims </w:t>
      </w:r>
      <w:r w:rsidR="006E1C22">
        <w:rPr>
          <w:sz w:val="28"/>
          <w:szCs w:val="28"/>
        </w:rPr>
        <w:t xml:space="preserve">meet the new statutory criteria. </w:t>
      </w:r>
      <w:r>
        <w:rPr>
          <w:sz w:val="28"/>
          <w:szCs w:val="28"/>
        </w:rPr>
        <w:t>Therefore</w:t>
      </w:r>
      <w:r w:rsidR="00EC55AE">
        <w:rPr>
          <w:sz w:val="28"/>
          <w:szCs w:val="28"/>
        </w:rPr>
        <w:t>,</w:t>
      </w:r>
      <w:r w:rsidR="001D016B">
        <w:rPr>
          <w:sz w:val="28"/>
          <w:szCs w:val="28"/>
        </w:rPr>
        <w:t xml:space="preserve"> </w:t>
      </w:r>
      <w:r w:rsidR="005C4F26">
        <w:rPr>
          <w:sz w:val="28"/>
          <w:szCs w:val="28"/>
        </w:rPr>
        <w:t xml:space="preserve">until the constitutionality of the amendments enacted by HB 2245 is clarified, </w:t>
      </w:r>
      <w:r w:rsidR="001D016B">
        <w:rPr>
          <w:sz w:val="28"/>
          <w:szCs w:val="28"/>
        </w:rPr>
        <w:t>petitioner recommends</w:t>
      </w:r>
      <w:r w:rsidR="00BF5DD0">
        <w:rPr>
          <w:sz w:val="28"/>
          <w:szCs w:val="28"/>
        </w:rPr>
        <w:t xml:space="preserve"> </w:t>
      </w:r>
      <w:r w:rsidR="00EC55AE">
        <w:rPr>
          <w:sz w:val="28"/>
          <w:szCs w:val="28"/>
        </w:rPr>
        <w:t>the Court adopt</w:t>
      </w:r>
      <w:r w:rsidR="00CA4F68">
        <w:rPr>
          <w:sz w:val="28"/>
          <w:szCs w:val="28"/>
        </w:rPr>
        <w:t xml:space="preserve"> only </w:t>
      </w:r>
      <w:r w:rsidR="001D016B">
        <w:rPr>
          <w:sz w:val="28"/>
          <w:szCs w:val="28"/>
        </w:rPr>
        <w:t xml:space="preserve">the amendments </w:t>
      </w:r>
      <w:r>
        <w:rPr>
          <w:sz w:val="28"/>
          <w:szCs w:val="28"/>
        </w:rPr>
        <w:t xml:space="preserve">deleting sexual assault </w:t>
      </w:r>
      <w:r w:rsidR="00BF5DD0">
        <w:rPr>
          <w:sz w:val="28"/>
          <w:szCs w:val="28"/>
        </w:rPr>
        <w:t>proposed</w:t>
      </w:r>
      <w:r w:rsidR="00EE042D">
        <w:rPr>
          <w:sz w:val="28"/>
          <w:szCs w:val="28"/>
        </w:rPr>
        <w:t xml:space="preserve"> in Appendix A</w:t>
      </w:r>
      <w:r w:rsidR="00BD1C2B" w:rsidRPr="00C93611">
        <w:rPr>
          <w:sz w:val="28"/>
          <w:szCs w:val="28"/>
        </w:rPr>
        <w:t xml:space="preserve"> </w:t>
      </w:r>
      <w:r w:rsidR="00BF5DD0">
        <w:rPr>
          <w:sz w:val="28"/>
          <w:szCs w:val="28"/>
        </w:rPr>
        <w:t>to</w:t>
      </w:r>
      <w:r w:rsidR="00CA4F68">
        <w:rPr>
          <w:sz w:val="28"/>
          <w:szCs w:val="28"/>
        </w:rPr>
        <w:t xml:space="preserve"> implement</w:t>
      </w:r>
      <w:r w:rsidR="001D016B">
        <w:rPr>
          <w:sz w:val="28"/>
          <w:szCs w:val="28"/>
        </w:rPr>
        <w:t xml:space="preserve"> the </w:t>
      </w:r>
      <w:r w:rsidR="00CA4F68" w:rsidRPr="00BF5DD0">
        <w:rPr>
          <w:i/>
          <w:sz w:val="28"/>
          <w:szCs w:val="28"/>
        </w:rPr>
        <w:t>Wein/</w:t>
      </w:r>
      <w:r w:rsidR="001D016B" w:rsidRPr="00BF5DD0">
        <w:rPr>
          <w:i/>
          <w:sz w:val="28"/>
          <w:szCs w:val="28"/>
        </w:rPr>
        <w:t>Goodman</w:t>
      </w:r>
      <w:r w:rsidR="005C4F26">
        <w:rPr>
          <w:sz w:val="28"/>
          <w:szCs w:val="28"/>
        </w:rPr>
        <w:t xml:space="preserve"> decision</w:t>
      </w:r>
      <w:r w:rsidR="00BD1C2B" w:rsidRPr="00C93611">
        <w:rPr>
          <w:sz w:val="28"/>
          <w:szCs w:val="28"/>
        </w:rPr>
        <w:t>.</w:t>
      </w:r>
    </w:p>
    <w:p w:rsidR="00D27C15" w:rsidRPr="00D27C15" w:rsidRDefault="00D27C15" w:rsidP="004F44DB">
      <w:pPr>
        <w:pStyle w:val="ListParagraph"/>
        <w:ind w:left="0"/>
        <w:jc w:val="both"/>
        <w:rPr>
          <w:i/>
          <w:sz w:val="28"/>
          <w:szCs w:val="28"/>
        </w:rPr>
      </w:pPr>
    </w:p>
    <w:p w:rsidR="002C6619" w:rsidRPr="006433BC" w:rsidRDefault="002C6619" w:rsidP="006433BC">
      <w:pPr>
        <w:pStyle w:val="ListParagraph"/>
        <w:numPr>
          <w:ilvl w:val="0"/>
          <w:numId w:val="26"/>
        </w:numPr>
        <w:tabs>
          <w:tab w:val="left" w:pos="360"/>
        </w:tabs>
        <w:spacing w:line="480" w:lineRule="auto"/>
        <w:ind w:left="0" w:firstLine="0"/>
        <w:jc w:val="both"/>
        <w:rPr>
          <w:sz w:val="28"/>
          <w:szCs w:val="28"/>
        </w:rPr>
      </w:pPr>
      <w:r w:rsidRPr="006433BC">
        <w:rPr>
          <w:b/>
          <w:sz w:val="28"/>
          <w:szCs w:val="28"/>
        </w:rPr>
        <w:t xml:space="preserve">Preliminary Comments. </w:t>
      </w:r>
      <w:r w:rsidRPr="006433BC">
        <w:rPr>
          <w:sz w:val="28"/>
          <w:szCs w:val="28"/>
        </w:rPr>
        <w:t xml:space="preserve"> This petition has not been sent to the court community for pre-filing comments because of its technical nature and due to the short period of time</w:t>
      </w:r>
      <w:r w:rsidR="00173F0A" w:rsidRPr="006433BC">
        <w:rPr>
          <w:sz w:val="28"/>
          <w:szCs w:val="28"/>
        </w:rPr>
        <w:t xml:space="preserve"> since the</w:t>
      </w:r>
      <w:r w:rsidRPr="006433BC">
        <w:rPr>
          <w:sz w:val="28"/>
          <w:szCs w:val="28"/>
        </w:rPr>
        <w:t xml:space="preserve"> enactment</w:t>
      </w:r>
      <w:r w:rsidR="00173F0A" w:rsidRPr="006433BC">
        <w:rPr>
          <w:sz w:val="28"/>
          <w:szCs w:val="28"/>
        </w:rPr>
        <w:t xml:space="preserve"> of the new statutory provisions</w:t>
      </w:r>
      <w:r w:rsidR="00A11D46" w:rsidRPr="006433BC">
        <w:rPr>
          <w:sz w:val="28"/>
          <w:szCs w:val="28"/>
        </w:rPr>
        <w:t xml:space="preserve"> and the issuance of the </w:t>
      </w:r>
      <w:r w:rsidR="00CA4F68" w:rsidRPr="00BF5DD0">
        <w:rPr>
          <w:i/>
          <w:sz w:val="28"/>
          <w:szCs w:val="28"/>
        </w:rPr>
        <w:t>Wein/</w:t>
      </w:r>
      <w:r w:rsidR="00A11D46" w:rsidRPr="00BF5DD0">
        <w:rPr>
          <w:i/>
          <w:sz w:val="28"/>
          <w:szCs w:val="28"/>
        </w:rPr>
        <w:t>Goodman</w:t>
      </w:r>
      <w:r w:rsidR="00A11D46" w:rsidRPr="006433BC">
        <w:rPr>
          <w:sz w:val="28"/>
          <w:szCs w:val="28"/>
        </w:rPr>
        <w:t xml:space="preserve"> decision</w:t>
      </w:r>
      <w:r w:rsidR="004F44DB">
        <w:rPr>
          <w:sz w:val="28"/>
          <w:szCs w:val="28"/>
        </w:rPr>
        <w:t>.</w:t>
      </w:r>
    </w:p>
    <w:p w:rsidR="002C6619" w:rsidRPr="006433BC" w:rsidRDefault="006433BC" w:rsidP="006433BC">
      <w:pPr>
        <w:tabs>
          <w:tab w:val="left" w:pos="360"/>
        </w:tabs>
        <w:spacing w:line="480" w:lineRule="auto"/>
        <w:jc w:val="both"/>
        <w:rPr>
          <w:sz w:val="28"/>
          <w:szCs w:val="28"/>
        </w:rPr>
      </w:pPr>
      <w:r w:rsidRPr="006433BC">
        <w:rPr>
          <w:b/>
          <w:sz w:val="28"/>
          <w:szCs w:val="28"/>
        </w:rPr>
        <w:t>III.</w:t>
      </w:r>
      <w:r>
        <w:rPr>
          <w:b/>
          <w:sz w:val="28"/>
          <w:szCs w:val="28"/>
        </w:rPr>
        <w:tab/>
      </w:r>
      <w:r w:rsidR="002C6619" w:rsidRPr="006433BC">
        <w:rPr>
          <w:b/>
          <w:sz w:val="28"/>
          <w:szCs w:val="28"/>
        </w:rPr>
        <w:t>Request for Emergency Adoption.</w:t>
      </w:r>
      <w:r w:rsidR="002C6619" w:rsidRPr="006433BC">
        <w:rPr>
          <w:sz w:val="28"/>
          <w:szCs w:val="28"/>
        </w:rPr>
        <w:t xml:space="preserve"> </w:t>
      </w:r>
      <w:r w:rsidR="00A11D46" w:rsidRPr="006433BC">
        <w:rPr>
          <w:sz w:val="28"/>
          <w:szCs w:val="28"/>
        </w:rPr>
        <w:t xml:space="preserve">The change in the categorical treatment of sexual assault cases should be made immediately effective </w:t>
      </w:r>
      <w:r w:rsidR="00CA4F68">
        <w:rPr>
          <w:sz w:val="28"/>
          <w:szCs w:val="28"/>
        </w:rPr>
        <w:t>based on</w:t>
      </w:r>
      <w:r w:rsidR="00A11D46" w:rsidRPr="006433BC">
        <w:rPr>
          <w:sz w:val="28"/>
          <w:szCs w:val="28"/>
        </w:rPr>
        <w:t xml:space="preserve"> the </w:t>
      </w:r>
      <w:r w:rsidR="00CA4F68" w:rsidRPr="00BF5DD0">
        <w:rPr>
          <w:i/>
          <w:sz w:val="28"/>
          <w:szCs w:val="28"/>
        </w:rPr>
        <w:t>Wein/</w:t>
      </w:r>
      <w:r w:rsidR="00A11D46" w:rsidRPr="00BF5DD0">
        <w:rPr>
          <w:i/>
          <w:sz w:val="28"/>
          <w:szCs w:val="28"/>
        </w:rPr>
        <w:t>Goodman</w:t>
      </w:r>
      <w:r w:rsidR="00A11D46" w:rsidRPr="006433BC">
        <w:rPr>
          <w:sz w:val="28"/>
          <w:szCs w:val="28"/>
        </w:rPr>
        <w:t xml:space="preserve"> decision.</w:t>
      </w:r>
      <w:r>
        <w:rPr>
          <w:sz w:val="28"/>
          <w:szCs w:val="28"/>
        </w:rPr>
        <w:t xml:space="preserve"> </w:t>
      </w:r>
      <w:r w:rsidR="00EC55AE">
        <w:rPr>
          <w:sz w:val="28"/>
          <w:szCs w:val="28"/>
        </w:rPr>
        <w:t xml:space="preserve">HB 2245 becomes effective on </w:t>
      </w:r>
      <w:r w:rsidR="00173F0A" w:rsidRPr="006433BC">
        <w:rPr>
          <w:sz w:val="28"/>
          <w:szCs w:val="28"/>
        </w:rPr>
        <w:t>August 3, 2018</w:t>
      </w:r>
      <w:r w:rsidR="002C6619" w:rsidRPr="006433BC">
        <w:rPr>
          <w:sz w:val="28"/>
          <w:szCs w:val="28"/>
        </w:rPr>
        <w:t xml:space="preserve">.  </w:t>
      </w:r>
      <w:r w:rsidR="00A11D46" w:rsidRPr="006433BC">
        <w:rPr>
          <w:sz w:val="28"/>
          <w:szCs w:val="28"/>
        </w:rPr>
        <w:t xml:space="preserve">If the </w:t>
      </w:r>
      <w:r w:rsidR="00B653DE">
        <w:rPr>
          <w:sz w:val="28"/>
          <w:szCs w:val="28"/>
        </w:rPr>
        <w:t>C</w:t>
      </w:r>
      <w:r w:rsidR="00A11D46" w:rsidRPr="006433BC">
        <w:rPr>
          <w:sz w:val="28"/>
          <w:szCs w:val="28"/>
        </w:rPr>
        <w:t xml:space="preserve">ourt chooses to adopt the rule amendments implementing </w:t>
      </w:r>
      <w:r w:rsidR="00B653DE">
        <w:rPr>
          <w:sz w:val="28"/>
          <w:szCs w:val="28"/>
        </w:rPr>
        <w:t>those</w:t>
      </w:r>
      <w:r w:rsidR="00A11D46" w:rsidRPr="006433BC">
        <w:rPr>
          <w:sz w:val="28"/>
          <w:szCs w:val="28"/>
        </w:rPr>
        <w:t xml:space="preserve"> changes</w:t>
      </w:r>
      <w:r w:rsidR="00B653DE">
        <w:rPr>
          <w:sz w:val="28"/>
          <w:szCs w:val="28"/>
        </w:rPr>
        <w:t>,</w:t>
      </w:r>
      <w:r w:rsidR="00A11D46" w:rsidRPr="006433BC">
        <w:rPr>
          <w:sz w:val="28"/>
          <w:szCs w:val="28"/>
        </w:rPr>
        <w:t xml:space="preserve"> p</w:t>
      </w:r>
      <w:r w:rsidR="002C6619" w:rsidRPr="006433BC">
        <w:rPr>
          <w:sz w:val="28"/>
          <w:szCs w:val="28"/>
        </w:rPr>
        <w:t xml:space="preserve">etitioner </w:t>
      </w:r>
      <w:r w:rsidR="00397051">
        <w:rPr>
          <w:sz w:val="28"/>
          <w:szCs w:val="28"/>
        </w:rPr>
        <w:t>recommends</w:t>
      </w:r>
      <w:r w:rsidR="002C6619" w:rsidRPr="006433BC">
        <w:rPr>
          <w:sz w:val="28"/>
          <w:szCs w:val="28"/>
        </w:rPr>
        <w:t xml:space="preserve"> expedited adoption </w:t>
      </w:r>
      <w:r w:rsidR="00660A1B" w:rsidRPr="006433BC">
        <w:rPr>
          <w:sz w:val="28"/>
          <w:szCs w:val="28"/>
        </w:rPr>
        <w:t xml:space="preserve">before </w:t>
      </w:r>
      <w:r w:rsidR="00BF5DD0">
        <w:rPr>
          <w:sz w:val="28"/>
          <w:szCs w:val="28"/>
        </w:rPr>
        <w:t xml:space="preserve">the </w:t>
      </w:r>
      <w:r w:rsidR="00B653DE">
        <w:rPr>
          <w:sz w:val="28"/>
          <w:szCs w:val="28"/>
        </w:rPr>
        <w:t>effective</w:t>
      </w:r>
      <w:r w:rsidR="00660A1B" w:rsidRPr="006433BC">
        <w:rPr>
          <w:sz w:val="28"/>
          <w:szCs w:val="28"/>
        </w:rPr>
        <w:t xml:space="preserve"> date </w:t>
      </w:r>
      <w:r w:rsidR="002C6619" w:rsidRPr="006433BC">
        <w:rPr>
          <w:sz w:val="28"/>
          <w:szCs w:val="28"/>
        </w:rPr>
        <w:t>with a formal comment period to follow, as permitted by Supreme Court Rule 28(G</w:t>
      </w:r>
      <w:r w:rsidR="004F44DB">
        <w:rPr>
          <w:sz w:val="28"/>
          <w:szCs w:val="28"/>
        </w:rPr>
        <w:t>).</w:t>
      </w:r>
    </w:p>
    <w:p w:rsidR="002C6619" w:rsidRPr="00955A09" w:rsidRDefault="002C6619" w:rsidP="002C6619">
      <w:pPr>
        <w:ind w:firstLine="720"/>
        <w:jc w:val="both"/>
        <w:rPr>
          <w:sz w:val="28"/>
          <w:szCs w:val="28"/>
        </w:rPr>
      </w:pPr>
      <w:r w:rsidRPr="00955A09">
        <w:rPr>
          <w:sz w:val="28"/>
          <w:szCs w:val="28"/>
        </w:rPr>
        <w:t xml:space="preserve">RESPECTFULLY SUBMITTED this </w:t>
      </w:r>
      <w:r>
        <w:rPr>
          <w:sz w:val="28"/>
          <w:szCs w:val="28"/>
        </w:rPr>
        <w:t xml:space="preserve">____ </w:t>
      </w:r>
      <w:r w:rsidRPr="00955A09">
        <w:rPr>
          <w:sz w:val="28"/>
          <w:szCs w:val="28"/>
        </w:rPr>
        <w:t xml:space="preserve">day of </w:t>
      </w:r>
      <w:r>
        <w:rPr>
          <w:sz w:val="28"/>
          <w:szCs w:val="28"/>
        </w:rPr>
        <w:t>____________, 201</w:t>
      </w:r>
      <w:r w:rsidR="00AD57D9">
        <w:rPr>
          <w:sz w:val="28"/>
          <w:szCs w:val="28"/>
        </w:rPr>
        <w:t>8</w:t>
      </w:r>
      <w:r>
        <w:rPr>
          <w:sz w:val="28"/>
          <w:szCs w:val="28"/>
        </w:rPr>
        <w:t>.</w:t>
      </w:r>
    </w:p>
    <w:p w:rsidR="002C6619" w:rsidRPr="00955A09" w:rsidRDefault="002C6619" w:rsidP="002C6619">
      <w:pPr>
        <w:jc w:val="both"/>
        <w:rPr>
          <w:sz w:val="28"/>
          <w:szCs w:val="28"/>
        </w:rPr>
      </w:pPr>
    </w:p>
    <w:p w:rsidR="002C6619" w:rsidRDefault="002C6619" w:rsidP="002C6619">
      <w:pPr>
        <w:ind w:left="2880" w:firstLine="720"/>
        <w:jc w:val="both"/>
        <w:rPr>
          <w:sz w:val="28"/>
          <w:szCs w:val="28"/>
        </w:rPr>
      </w:pPr>
    </w:p>
    <w:p w:rsidR="002C6619" w:rsidRDefault="002C6619" w:rsidP="002C6619">
      <w:pPr>
        <w:ind w:left="2880" w:firstLine="720"/>
        <w:jc w:val="both"/>
        <w:rPr>
          <w:sz w:val="28"/>
          <w:szCs w:val="28"/>
        </w:rPr>
      </w:pPr>
    </w:p>
    <w:p w:rsidR="002C6619" w:rsidRPr="00955A09" w:rsidRDefault="002C6619" w:rsidP="002C6619">
      <w:pPr>
        <w:ind w:left="2880" w:firstLine="720"/>
        <w:jc w:val="both"/>
        <w:rPr>
          <w:sz w:val="28"/>
          <w:szCs w:val="28"/>
        </w:rPr>
      </w:pPr>
      <w:r w:rsidRPr="00955A09">
        <w:rPr>
          <w:sz w:val="28"/>
          <w:szCs w:val="28"/>
        </w:rPr>
        <w:t>By____________________________________</w:t>
      </w:r>
    </w:p>
    <w:p w:rsidR="002C6619" w:rsidRPr="00955A09" w:rsidRDefault="002C6619" w:rsidP="00693C4A">
      <w:pPr>
        <w:tabs>
          <w:tab w:val="left" w:pos="3600"/>
        </w:tabs>
        <w:jc w:val="both"/>
        <w:rPr>
          <w:sz w:val="28"/>
          <w:szCs w:val="28"/>
        </w:rPr>
      </w:pPr>
      <w:r>
        <w:rPr>
          <w:sz w:val="28"/>
          <w:szCs w:val="28"/>
        </w:rPr>
        <w:tab/>
      </w:r>
      <w:r w:rsidRPr="00955A09">
        <w:rPr>
          <w:sz w:val="28"/>
          <w:szCs w:val="28"/>
        </w:rPr>
        <w:t xml:space="preserve">David K. Byers, </w:t>
      </w:r>
      <w:r>
        <w:rPr>
          <w:sz w:val="28"/>
          <w:szCs w:val="28"/>
        </w:rPr>
        <w:t xml:space="preserve">Administrative </w:t>
      </w:r>
      <w:r w:rsidRPr="00955A09">
        <w:rPr>
          <w:sz w:val="28"/>
          <w:szCs w:val="28"/>
        </w:rPr>
        <w:t>Director</w:t>
      </w:r>
    </w:p>
    <w:p w:rsidR="002C6619" w:rsidRPr="00955A09" w:rsidRDefault="002C6619" w:rsidP="00693C4A">
      <w:pPr>
        <w:tabs>
          <w:tab w:val="left" w:pos="3600"/>
        </w:tabs>
        <w:jc w:val="both"/>
        <w:rPr>
          <w:sz w:val="28"/>
          <w:szCs w:val="28"/>
        </w:rPr>
      </w:pPr>
      <w:r>
        <w:rPr>
          <w:sz w:val="28"/>
          <w:szCs w:val="28"/>
        </w:rPr>
        <w:tab/>
      </w:r>
      <w:r w:rsidRPr="00955A09">
        <w:rPr>
          <w:sz w:val="28"/>
          <w:szCs w:val="28"/>
        </w:rPr>
        <w:t>Administrative Office of the Courts</w:t>
      </w:r>
    </w:p>
    <w:p w:rsidR="002C6619" w:rsidRPr="00955A09" w:rsidRDefault="002C6619" w:rsidP="00A62797">
      <w:pPr>
        <w:tabs>
          <w:tab w:val="left" w:pos="3600"/>
        </w:tabs>
        <w:jc w:val="both"/>
        <w:rPr>
          <w:sz w:val="28"/>
          <w:szCs w:val="28"/>
        </w:rPr>
      </w:pPr>
      <w:r w:rsidRPr="00955A09">
        <w:rPr>
          <w:sz w:val="28"/>
          <w:szCs w:val="28"/>
        </w:rPr>
        <w:tab/>
        <w:t>1501 W. Washington</w:t>
      </w:r>
      <w:r>
        <w:rPr>
          <w:sz w:val="28"/>
          <w:szCs w:val="28"/>
        </w:rPr>
        <w:t xml:space="preserve"> Street, </w:t>
      </w:r>
      <w:r w:rsidRPr="00955A09">
        <w:rPr>
          <w:sz w:val="28"/>
          <w:szCs w:val="28"/>
        </w:rPr>
        <w:t>S</w:t>
      </w:r>
      <w:r>
        <w:rPr>
          <w:sz w:val="28"/>
          <w:szCs w:val="28"/>
        </w:rPr>
        <w:t>ui</w:t>
      </w:r>
      <w:r w:rsidRPr="00955A09">
        <w:rPr>
          <w:sz w:val="28"/>
          <w:szCs w:val="28"/>
        </w:rPr>
        <w:t>t</w:t>
      </w:r>
      <w:r>
        <w:rPr>
          <w:sz w:val="28"/>
          <w:szCs w:val="28"/>
        </w:rPr>
        <w:t>e 411</w:t>
      </w:r>
    </w:p>
    <w:p w:rsidR="002C6619" w:rsidRDefault="002C6619" w:rsidP="00A62797">
      <w:pPr>
        <w:tabs>
          <w:tab w:val="left" w:pos="3600"/>
        </w:tabs>
        <w:rPr>
          <w:sz w:val="28"/>
          <w:szCs w:val="28"/>
        </w:rPr>
      </w:pPr>
      <w:r>
        <w:rPr>
          <w:sz w:val="28"/>
          <w:szCs w:val="28"/>
        </w:rPr>
        <w:tab/>
      </w:r>
      <w:r w:rsidRPr="00955A09">
        <w:rPr>
          <w:sz w:val="28"/>
          <w:szCs w:val="28"/>
        </w:rPr>
        <w:t>Phoenix, AZ 85007</w:t>
      </w:r>
    </w:p>
    <w:p w:rsidR="002C6619" w:rsidRDefault="002C6619" w:rsidP="00A62797">
      <w:pPr>
        <w:tabs>
          <w:tab w:val="left" w:pos="3600"/>
        </w:tabs>
        <w:rPr>
          <w:sz w:val="28"/>
          <w:szCs w:val="28"/>
        </w:rPr>
      </w:pPr>
      <w:r>
        <w:rPr>
          <w:sz w:val="28"/>
          <w:szCs w:val="28"/>
        </w:rPr>
        <w:tab/>
        <w:t>(602) 452- 3301</w:t>
      </w:r>
    </w:p>
    <w:p w:rsidR="00C93611" w:rsidRDefault="003D030C" w:rsidP="00A62797">
      <w:pPr>
        <w:tabs>
          <w:tab w:val="left" w:pos="3600"/>
        </w:tabs>
        <w:jc w:val="both"/>
        <w:rPr>
          <w:sz w:val="28"/>
          <w:szCs w:val="28"/>
        </w:rPr>
      </w:pPr>
      <w:r>
        <w:rPr>
          <w:sz w:val="28"/>
          <w:szCs w:val="28"/>
        </w:rPr>
        <w:tab/>
      </w:r>
      <w:hyperlink r:id="rId13" w:history="1">
        <w:r w:rsidR="00C93611" w:rsidRPr="002F74A4">
          <w:rPr>
            <w:rStyle w:val="Hyperlink"/>
            <w:sz w:val="28"/>
            <w:szCs w:val="28"/>
          </w:rPr>
          <w:t>Projects2@courts.az.gov</w:t>
        </w:r>
      </w:hyperlink>
    </w:p>
    <w:p w:rsidR="006433BC" w:rsidRDefault="006433BC">
      <w:pPr>
        <w:rPr>
          <w:sz w:val="28"/>
          <w:szCs w:val="28"/>
        </w:rPr>
      </w:pPr>
    </w:p>
    <w:p w:rsidR="00C93611" w:rsidRDefault="00C93611">
      <w:pPr>
        <w:rPr>
          <w:sz w:val="28"/>
          <w:szCs w:val="28"/>
        </w:rPr>
      </w:pPr>
      <w:r>
        <w:rPr>
          <w:sz w:val="28"/>
          <w:szCs w:val="28"/>
        </w:rPr>
        <w:br w:type="page"/>
      </w:r>
    </w:p>
    <w:p w:rsidR="00E64E08" w:rsidRPr="00567D70" w:rsidRDefault="00E64E08" w:rsidP="00E64E08">
      <w:pPr>
        <w:ind w:right="90"/>
        <w:jc w:val="center"/>
        <w:rPr>
          <w:rFonts w:ascii="Times New Roman" w:hAnsi="Times New Roman" w:cs="Times New Roman"/>
          <w:b/>
          <w:sz w:val="24"/>
          <w:szCs w:val="24"/>
        </w:rPr>
      </w:pPr>
      <w:r>
        <w:rPr>
          <w:rFonts w:ascii="Times New Roman" w:hAnsi="Times New Roman" w:cs="Times New Roman"/>
          <w:b/>
          <w:sz w:val="24"/>
          <w:szCs w:val="24"/>
        </w:rPr>
        <w:t>Appendix A</w:t>
      </w:r>
    </w:p>
    <w:p w:rsidR="00E64E08" w:rsidRPr="00894C83" w:rsidRDefault="00E64E08" w:rsidP="00E64E08">
      <w:pPr>
        <w:rPr>
          <w:rFonts w:ascii="Times New Roman" w:hAnsi="Times New Roman" w:cs="Times New Roman"/>
          <w:sz w:val="24"/>
          <w:szCs w:val="24"/>
        </w:rPr>
      </w:pPr>
    </w:p>
    <w:p w:rsidR="00E64E08" w:rsidRPr="003D030C" w:rsidRDefault="00E64E08" w:rsidP="00E64E08">
      <w:pPr>
        <w:rPr>
          <w:rFonts w:ascii="Times New Roman" w:hAnsi="Times New Roman" w:cs="Times New Roman"/>
          <w:b/>
          <w:bCs/>
          <w:sz w:val="24"/>
          <w:szCs w:val="24"/>
        </w:rPr>
      </w:pPr>
      <w:r w:rsidRPr="003D030C">
        <w:rPr>
          <w:rFonts w:ascii="Times New Roman" w:hAnsi="Times New Roman" w:cs="Times New Roman"/>
          <w:b/>
          <w:bCs/>
          <w:sz w:val="24"/>
          <w:szCs w:val="24"/>
        </w:rPr>
        <w:t>Arizona Rules of Criminal Procedure</w:t>
      </w:r>
    </w:p>
    <w:p w:rsidR="00E64E08" w:rsidRDefault="00E64E08" w:rsidP="00E64E08">
      <w:pPr>
        <w:rPr>
          <w:rFonts w:ascii="Times New Roman" w:hAnsi="Times New Roman" w:cs="Times New Roman"/>
          <w:sz w:val="24"/>
          <w:szCs w:val="24"/>
        </w:rPr>
      </w:pPr>
    </w:p>
    <w:p w:rsidR="00E64E08" w:rsidRPr="003D030C" w:rsidRDefault="00E64E08" w:rsidP="00E64E08">
      <w:pPr>
        <w:rPr>
          <w:rFonts w:ascii="Times New Roman" w:hAnsi="Times New Roman" w:cs="Times New Roman"/>
          <w:b/>
          <w:bCs/>
          <w:color w:val="000000"/>
          <w:sz w:val="24"/>
          <w:szCs w:val="24"/>
        </w:rPr>
      </w:pPr>
      <w:r>
        <w:rPr>
          <w:rFonts w:ascii="Times New Roman" w:hAnsi="Times New Roman" w:cs="Times New Roman"/>
          <w:b/>
          <w:bCs/>
          <w:sz w:val="24"/>
          <w:szCs w:val="24"/>
        </w:rPr>
        <w:t>Rule 4.2. Initial Appearance</w:t>
      </w:r>
    </w:p>
    <w:p w:rsidR="00E64E08" w:rsidRPr="003D030C" w:rsidRDefault="00E64E08" w:rsidP="00E64E08">
      <w:pPr>
        <w:pStyle w:val="Default"/>
        <w:numPr>
          <w:ilvl w:val="0"/>
          <w:numId w:val="24"/>
        </w:numPr>
        <w:spacing w:after="214"/>
      </w:pPr>
    </w:p>
    <w:p w:rsidR="00E64E08" w:rsidRPr="003D030C" w:rsidRDefault="00E64E08" w:rsidP="00E64E08">
      <w:pPr>
        <w:pStyle w:val="Default"/>
        <w:numPr>
          <w:ilvl w:val="0"/>
          <w:numId w:val="24"/>
        </w:numPr>
        <w:tabs>
          <w:tab w:val="left" w:pos="360"/>
        </w:tabs>
        <w:spacing w:after="214"/>
      </w:pPr>
      <w:r w:rsidRPr="003D030C">
        <w:rPr>
          <w:b/>
          <w:bCs/>
        </w:rPr>
        <w:t>(a)</w:t>
      </w:r>
      <w:r>
        <w:rPr>
          <w:b/>
          <w:bCs/>
        </w:rPr>
        <w:tab/>
      </w:r>
      <w:r w:rsidRPr="003D030C">
        <w:rPr>
          <w:b/>
          <w:bCs/>
        </w:rPr>
        <w:t xml:space="preserve">Generally. </w:t>
      </w:r>
      <w:r w:rsidRPr="003D030C">
        <w:t>At an initial a</w:t>
      </w:r>
      <w:r>
        <w:t>ppearance, the magistrate must:</w:t>
      </w:r>
    </w:p>
    <w:p w:rsidR="00E64E08" w:rsidRPr="004C22BF" w:rsidRDefault="00E64E08" w:rsidP="00E64E08">
      <w:pPr>
        <w:pStyle w:val="Default"/>
        <w:numPr>
          <w:ilvl w:val="0"/>
          <w:numId w:val="24"/>
        </w:numPr>
        <w:spacing w:after="214"/>
        <w:ind w:left="360"/>
      </w:pPr>
      <w:r w:rsidRPr="003D030C">
        <w:rPr>
          <w:bCs/>
        </w:rPr>
        <w:t xml:space="preserve">(1) </w:t>
      </w:r>
      <w:r>
        <w:rPr>
          <w:bCs/>
        </w:rPr>
        <w:t>-</w:t>
      </w:r>
      <w:r w:rsidRPr="003D030C">
        <w:t xml:space="preserve"> </w:t>
      </w:r>
      <w:r w:rsidRPr="003D030C">
        <w:rPr>
          <w:bCs/>
        </w:rPr>
        <w:t>(</w:t>
      </w:r>
      <w:r>
        <w:rPr>
          <w:bCs/>
        </w:rPr>
        <w:t>7</w:t>
      </w:r>
      <w:r w:rsidRPr="003D030C">
        <w:rPr>
          <w:bCs/>
        </w:rPr>
        <w:t>)</w:t>
      </w:r>
      <w:r w:rsidRPr="003D030C">
        <w:rPr>
          <w:b/>
          <w:bCs/>
        </w:rPr>
        <w:t xml:space="preserve"> [No change]</w:t>
      </w:r>
    </w:p>
    <w:p w:rsidR="00E64E08" w:rsidRPr="003D030C" w:rsidRDefault="00E64E08" w:rsidP="00E64E08">
      <w:pPr>
        <w:pStyle w:val="Default"/>
        <w:numPr>
          <w:ilvl w:val="0"/>
          <w:numId w:val="24"/>
        </w:numPr>
        <w:spacing w:after="214"/>
        <w:ind w:left="360"/>
      </w:pPr>
      <w:r w:rsidRPr="003D030C">
        <w:rPr>
          <w:bCs/>
        </w:rPr>
        <w:t>(8)</w:t>
      </w:r>
      <w:r w:rsidRPr="003D030C">
        <w:rPr>
          <w:b/>
          <w:bCs/>
        </w:rPr>
        <w:t xml:space="preserve"> </w:t>
      </w:r>
      <w:r w:rsidRPr="003D030C">
        <w:t>determine whether probable cause exists to believe</w:t>
      </w:r>
      <w:r>
        <w:t>:</w:t>
      </w:r>
    </w:p>
    <w:p w:rsidR="00E64E08" w:rsidRPr="004C22BF" w:rsidRDefault="00E64E08" w:rsidP="00E64E08">
      <w:pPr>
        <w:ind w:left="720"/>
        <w:rPr>
          <w:rFonts w:ascii="Times New Roman" w:hAnsi="Times New Roman" w:cs="Times New Roman"/>
          <w:sz w:val="24"/>
          <w:szCs w:val="24"/>
        </w:rPr>
      </w:pPr>
      <w:r w:rsidRPr="004C22BF">
        <w:rPr>
          <w:rFonts w:ascii="Times New Roman" w:hAnsi="Times New Roman" w:cs="Times New Roman"/>
          <w:sz w:val="24"/>
          <w:szCs w:val="24"/>
        </w:rPr>
        <w:t>(A</w:t>
      </w:r>
      <w:r>
        <w:rPr>
          <w:rFonts w:ascii="Times New Roman" w:hAnsi="Times New Roman" w:cs="Times New Roman"/>
          <w:sz w:val="24"/>
          <w:szCs w:val="24"/>
        </w:rPr>
        <w:t xml:space="preserve">) </w:t>
      </w:r>
      <w:r w:rsidRPr="004C22BF">
        <w:rPr>
          <w:rFonts w:ascii="Times New Roman" w:hAnsi="Times New Roman" w:cs="Times New Roman"/>
          <w:sz w:val="24"/>
          <w:szCs w:val="24"/>
        </w:rPr>
        <w:t>the defendant committed a capital offense</w:t>
      </w:r>
      <w:r w:rsidRPr="00567D70">
        <w:rPr>
          <w:rFonts w:ascii="Times New Roman" w:hAnsi="Times New Roman" w:cs="Times New Roman"/>
          <w:sz w:val="24"/>
          <w:szCs w:val="24"/>
        </w:rPr>
        <w:t xml:space="preserve">, </w:t>
      </w:r>
      <w:r w:rsidRPr="00567D70">
        <w:rPr>
          <w:rFonts w:ascii="Times New Roman" w:hAnsi="Times New Roman" w:cs="Times New Roman"/>
          <w:strike/>
          <w:sz w:val="24"/>
          <w:szCs w:val="24"/>
        </w:rPr>
        <w:t>a sexual assault,</w:t>
      </w:r>
      <w:r w:rsidRPr="004C22BF">
        <w:rPr>
          <w:rFonts w:ascii="Times New Roman" w:hAnsi="Times New Roman" w:cs="Times New Roman"/>
          <w:sz w:val="24"/>
          <w:szCs w:val="24"/>
        </w:rPr>
        <w:t xml:space="preserve"> or any felony offense committed while the person was on pretrial release for a separate felony charge; or</w:t>
      </w:r>
    </w:p>
    <w:p w:rsidR="00E64E08" w:rsidRPr="004C22BF" w:rsidRDefault="00E64E08" w:rsidP="00E64E08">
      <w:pPr>
        <w:ind w:left="720"/>
        <w:rPr>
          <w:rFonts w:ascii="Times New Roman" w:hAnsi="Times New Roman" w:cs="Times New Roman"/>
          <w:sz w:val="24"/>
          <w:szCs w:val="24"/>
        </w:rPr>
      </w:pPr>
    </w:p>
    <w:p w:rsidR="00E64E08" w:rsidRPr="004C22BF" w:rsidRDefault="00E64E08" w:rsidP="00E64E08">
      <w:pPr>
        <w:ind w:left="720"/>
        <w:rPr>
          <w:rFonts w:ascii="Times New Roman" w:hAnsi="Times New Roman" w:cs="Times New Roman"/>
          <w:sz w:val="24"/>
          <w:szCs w:val="24"/>
        </w:rPr>
      </w:pPr>
      <w:r w:rsidRPr="004C22BF">
        <w:rPr>
          <w:rFonts w:ascii="Times New Roman" w:hAnsi="Times New Roman" w:cs="Times New Roman"/>
          <w:sz w:val="24"/>
          <w:szCs w:val="24"/>
        </w:rPr>
        <w:t>(</w:t>
      </w:r>
      <w:r>
        <w:rPr>
          <w:rFonts w:ascii="Times New Roman" w:hAnsi="Times New Roman" w:cs="Times New Roman"/>
          <w:sz w:val="24"/>
          <w:szCs w:val="24"/>
        </w:rPr>
        <w:t>B) [</w:t>
      </w:r>
      <w:r w:rsidRPr="004C22BF">
        <w:rPr>
          <w:rFonts w:ascii="Times New Roman" w:hAnsi="Times New Roman" w:cs="Times New Roman"/>
          <w:b/>
          <w:sz w:val="24"/>
          <w:szCs w:val="24"/>
        </w:rPr>
        <w:t>No change</w:t>
      </w:r>
      <w:r>
        <w:rPr>
          <w:rFonts w:ascii="Times New Roman" w:hAnsi="Times New Roman" w:cs="Times New Roman"/>
          <w:sz w:val="24"/>
          <w:szCs w:val="24"/>
        </w:rPr>
        <w:t>]</w:t>
      </w:r>
    </w:p>
    <w:p w:rsidR="00E64E08" w:rsidRDefault="00E64E08" w:rsidP="00E64E08">
      <w:pPr>
        <w:rPr>
          <w:rFonts w:ascii="Times New Roman" w:hAnsi="Times New Roman" w:cs="Times New Roman"/>
          <w:sz w:val="24"/>
          <w:szCs w:val="24"/>
        </w:rPr>
      </w:pPr>
    </w:p>
    <w:p w:rsidR="00E64E08" w:rsidRDefault="00E64E08" w:rsidP="00E64E08">
      <w:pPr>
        <w:ind w:left="360"/>
        <w:rPr>
          <w:rFonts w:ascii="Times New Roman" w:hAnsi="Times New Roman" w:cs="Times New Roman"/>
          <w:sz w:val="24"/>
          <w:szCs w:val="24"/>
        </w:rPr>
      </w:pPr>
      <w:r w:rsidRPr="00C50189">
        <w:rPr>
          <w:rFonts w:ascii="Times New Roman" w:hAnsi="Times New Roman" w:cs="Times New Roman"/>
          <w:sz w:val="24"/>
          <w:szCs w:val="24"/>
        </w:rPr>
        <w:t xml:space="preserve">(9) </w:t>
      </w:r>
      <w:r>
        <w:rPr>
          <w:rFonts w:ascii="Times New Roman" w:hAnsi="Times New Roman" w:cs="Times New Roman"/>
          <w:sz w:val="24"/>
          <w:szCs w:val="24"/>
        </w:rPr>
        <w:t xml:space="preserve">- </w:t>
      </w:r>
      <w:r w:rsidRPr="00C50189">
        <w:rPr>
          <w:rFonts w:ascii="Times New Roman" w:hAnsi="Times New Roman" w:cs="Times New Roman"/>
          <w:sz w:val="24"/>
          <w:szCs w:val="24"/>
        </w:rPr>
        <w:t xml:space="preserve">(11) </w:t>
      </w:r>
      <w:r>
        <w:rPr>
          <w:rFonts w:ascii="Times New Roman" w:hAnsi="Times New Roman" w:cs="Times New Roman"/>
          <w:sz w:val="24"/>
          <w:szCs w:val="24"/>
        </w:rPr>
        <w:t>[</w:t>
      </w:r>
      <w:r w:rsidRPr="004C657C">
        <w:rPr>
          <w:rFonts w:ascii="Times New Roman" w:hAnsi="Times New Roman" w:cs="Times New Roman"/>
          <w:b/>
          <w:sz w:val="24"/>
          <w:szCs w:val="24"/>
        </w:rPr>
        <w:t>No change</w:t>
      </w:r>
      <w:r>
        <w:rPr>
          <w:rFonts w:ascii="Times New Roman" w:hAnsi="Times New Roman" w:cs="Times New Roman"/>
          <w:sz w:val="24"/>
          <w:szCs w:val="24"/>
        </w:rPr>
        <w:t>]</w:t>
      </w:r>
    </w:p>
    <w:p w:rsidR="00E64E08" w:rsidRDefault="00E64E08" w:rsidP="00E64E08">
      <w:pPr>
        <w:rPr>
          <w:rFonts w:ascii="Times New Roman" w:hAnsi="Times New Roman" w:cs="Times New Roman"/>
          <w:sz w:val="24"/>
          <w:szCs w:val="24"/>
        </w:rPr>
      </w:pPr>
    </w:p>
    <w:p w:rsidR="00E64E08" w:rsidRDefault="00E64E08" w:rsidP="00E64E08">
      <w:pPr>
        <w:rPr>
          <w:rFonts w:ascii="Times New Roman" w:hAnsi="Times New Roman" w:cs="Times New Roman"/>
          <w:sz w:val="24"/>
          <w:szCs w:val="24"/>
        </w:rPr>
      </w:pPr>
    </w:p>
    <w:p w:rsidR="00E64E08" w:rsidRPr="003D030C" w:rsidRDefault="00E64E08" w:rsidP="00E64E08">
      <w:pPr>
        <w:pStyle w:val="Default"/>
      </w:pPr>
      <w:r>
        <w:rPr>
          <w:b/>
          <w:bCs/>
        </w:rPr>
        <w:t>Rule 7.2. Right to Release</w:t>
      </w:r>
    </w:p>
    <w:p w:rsidR="00E64E08" w:rsidRDefault="00E64E08" w:rsidP="00E64E08">
      <w:pPr>
        <w:rPr>
          <w:rFonts w:ascii="Times New Roman" w:hAnsi="Times New Roman" w:cs="Times New Roman"/>
          <w:sz w:val="24"/>
          <w:szCs w:val="24"/>
        </w:rPr>
      </w:pPr>
    </w:p>
    <w:p w:rsidR="00E64E08" w:rsidRPr="003D030C" w:rsidRDefault="00E64E08" w:rsidP="00E64E08">
      <w:pPr>
        <w:pStyle w:val="Default"/>
      </w:pPr>
      <w:r w:rsidRPr="003D030C">
        <w:rPr>
          <w:b/>
          <w:bCs/>
        </w:rPr>
        <w:t xml:space="preserve">(a) [No change] </w:t>
      </w:r>
    </w:p>
    <w:p w:rsidR="00E64E08" w:rsidRPr="003D030C" w:rsidRDefault="00E64E08" w:rsidP="00E64E08">
      <w:pPr>
        <w:pStyle w:val="Default"/>
        <w:rPr>
          <w:b/>
          <w:bCs/>
        </w:rPr>
      </w:pPr>
    </w:p>
    <w:p w:rsidR="00E64E08" w:rsidRPr="003D030C" w:rsidRDefault="00E64E08" w:rsidP="00E64E08">
      <w:pPr>
        <w:pStyle w:val="Default"/>
        <w:rPr>
          <w:b/>
          <w:bCs/>
        </w:rPr>
      </w:pPr>
      <w:r w:rsidRPr="003D030C">
        <w:rPr>
          <w:b/>
          <w:bCs/>
        </w:rPr>
        <w:t>(b) Before Conviction: Defendants Charged with an</w:t>
      </w:r>
      <w:r>
        <w:rPr>
          <w:b/>
          <w:bCs/>
        </w:rPr>
        <w:t xml:space="preserve"> Offense Not Eligible for Bail.</w:t>
      </w:r>
    </w:p>
    <w:p w:rsidR="00E64E08" w:rsidRPr="003D030C" w:rsidRDefault="00E64E08" w:rsidP="00E64E08">
      <w:pPr>
        <w:pStyle w:val="Default"/>
        <w:rPr>
          <w:b/>
          <w:bCs/>
        </w:rPr>
      </w:pPr>
    </w:p>
    <w:p w:rsidR="00E64E08" w:rsidRPr="003D030C" w:rsidRDefault="00E64E08" w:rsidP="00E64E08">
      <w:pPr>
        <w:pStyle w:val="Default"/>
        <w:ind w:firstLine="360"/>
      </w:pPr>
      <w:r w:rsidRPr="00C93611">
        <w:rPr>
          <w:bCs/>
        </w:rPr>
        <w:t xml:space="preserve">(1) </w:t>
      </w:r>
      <w:r w:rsidRPr="00C93611">
        <w:rPr>
          <w:bCs/>
          <w:i/>
          <w:iCs/>
        </w:rPr>
        <w:t>Not Eligible Based on Commission of a Specified Felony or Any Felony While on Pretrial Release.</w:t>
      </w:r>
      <w:r w:rsidRPr="003D030C">
        <w:rPr>
          <w:b/>
          <w:bCs/>
          <w:i/>
          <w:iCs/>
        </w:rPr>
        <w:t xml:space="preserve"> </w:t>
      </w:r>
      <w:r w:rsidRPr="003D030C">
        <w:t>A defendant must not be released if the court finds the proof is evident or the presumption great that the defendant committed:</w:t>
      </w:r>
    </w:p>
    <w:p w:rsidR="00E64E08" w:rsidRPr="003D030C" w:rsidRDefault="00E64E08" w:rsidP="00E64E08">
      <w:pPr>
        <w:pStyle w:val="Default"/>
      </w:pPr>
    </w:p>
    <w:p w:rsidR="00E64E08" w:rsidRPr="00CE18FA" w:rsidRDefault="00E64E08" w:rsidP="00E64E08">
      <w:pPr>
        <w:pStyle w:val="Default"/>
        <w:ind w:left="720"/>
      </w:pPr>
      <w:r w:rsidRPr="00C93611">
        <w:rPr>
          <w:bCs/>
        </w:rPr>
        <w:t>(A)</w:t>
      </w:r>
      <w:r w:rsidRPr="003D030C">
        <w:rPr>
          <w:b/>
          <w:bCs/>
        </w:rPr>
        <w:t xml:space="preserve"> </w:t>
      </w:r>
      <w:r w:rsidRPr="003D030C">
        <w:t>a capital offense</w:t>
      </w:r>
      <w:r w:rsidRPr="003D030C">
        <w:rPr>
          <w:u w:val="single"/>
        </w:rPr>
        <w:t>;</w:t>
      </w:r>
      <w:r w:rsidRPr="003D030C">
        <w:t xml:space="preserve"> </w:t>
      </w:r>
      <w:r w:rsidRPr="00614572">
        <w:rPr>
          <w:strike/>
        </w:rPr>
        <w:t xml:space="preserve">or a sexual assault; </w:t>
      </w:r>
      <w:r w:rsidRPr="00CE18FA">
        <w:rPr>
          <w:strike/>
        </w:rPr>
        <w:t xml:space="preserve">or </w:t>
      </w:r>
    </w:p>
    <w:p w:rsidR="00E64E08" w:rsidRPr="00C93611" w:rsidRDefault="00E64E08" w:rsidP="00E64E08">
      <w:pPr>
        <w:pStyle w:val="Default"/>
        <w:ind w:left="720"/>
        <w:rPr>
          <w:bCs/>
        </w:rPr>
      </w:pPr>
    </w:p>
    <w:p w:rsidR="00E64E08" w:rsidRPr="004C22BF" w:rsidRDefault="00E64E08" w:rsidP="00E64E08">
      <w:pPr>
        <w:ind w:left="720"/>
        <w:rPr>
          <w:rFonts w:ascii="Times New Roman" w:hAnsi="Times New Roman" w:cs="Times New Roman"/>
          <w:sz w:val="24"/>
          <w:szCs w:val="24"/>
        </w:rPr>
      </w:pPr>
      <w:r w:rsidRPr="004C22BF">
        <w:rPr>
          <w:rFonts w:ascii="Times New Roman" w:hAnsi="Times New Roman" w:cs="Times New Roman"/>
          <w:sz w:val="24"/>
          <w:szCs w:val="24"/>
        </w:rPr>
        <w:t>(</w:t>
      </w:r>
      <w:r>
        <w:rPr>
          <w:rFonts w:ascii="Times New Roman" w:hAnsi="Times New Roman" w:cs="Times New Roman"/>
          <w:sz w:val="24"/>
          <w:szCs w:val="24"/>
        </w:rPr>
        <w:t>B) [</w:t>
      </w:r>
      <w:r w:rsidRPr="004C22BF">
        <w:rPr>
          <w:rFonts w:ascii="Times New Roman" w:hAnsi="Times New Roman" w:cs="Times New Roman"/>
          <w:b/>
          <w:sz w:val="24"/>
          <w:szCs w:val="24"/>
        </w:rPr>
        <w:t>No change</w:t>
      </w:r>
      <w:r>
        <w:rPr>
          <w:rFonts w:ascii="Times New Roman" w:hAnsi="Times New Roman" w:cs="Times New Roman"/>
          <w:sz w:val="24"/>
          <w:szCs w:val="24"/>
        </w:rPr>
        <w:t>]</w:t>
      </w:r>
    </w:p>
    <w:p w:rsidR="00E64E08" w:rsidRDefault="00E64E08" w:rsidP="00E64E08">
      <w:pPr>
        <w:rPr>
          <w:rFonts w:ascii="Times New Roman" w:hAnsi="Times New Roman" w:cs="Times New Roman"/>
          <w:sz w:val="24"/>
          <w:szCs w:val="24"/>
        </w:rPr>
      </w:pPr>
    </w:p>
    <w:p w:rsidR="00E64E08" w:rsidRPr="004C22BF" w:rsidRDefault="00E64E08" w:rsidP="00E64E08">
      <w:pPr>
        <w:pStyle w:val="Default"/>
        <w:numPr>
          <w:ilvl w:val="0"/>
          <w:numId w:val="24"/>
        </w:numPr>
        <w:spacing w:after="214"/>
        <w:ind w:left="360"/>
      </w:pPr>
      <w:r w:rsidRPr="003D030C">
        <w:rPr>
          <w:bCs/>
        </w:rPr>
        <w:t>(</w:t>
      </w:r>
      <w:r>
        <w:rPr>
          <w:bCs/>
        </w:rPr>
        <w:t>2</w:t>
      </w:r>
      <w:r w:rsidRPr="003D030C">
        <w:rPr>
          <w:bCs/>
        </w:rPr>
        <w:t xml:space="preserve">) </w:t>
      </w:r>
      <w:r>
        <w:rPr>
          <w:bCs/>
        </w:rPr>
        <w:t>-</w:t>
      </w:r>
      <w:r w:rsidRPr="003D030C">
        <w:t xml:space="preserve"> </w:t>
      </w:r>
      <w:r w:rsidRPr="003D030C">
        <w:rPr>
          <w:bCs/>
        </w:rPr>
        <w:t>(</w:t>
      </w:r>
      <w:r>
        <w:rPr>
          <w:bCs/>
        </w:rPr>
        <w:t>4</w:t>
      </w:r>
      <w:r w:rsidRPr="003D030C">
        <w:rPr>
          <w:bCs/>
        </w:rPr>
        <w:t>)</w:t>
      </w:r>
      <w:r w:rsidRPr="003D030C">
        <w:rPr>
          <w:b/>
          <w:bCs/>
        </w:rPr>
        <w:t xml:space="preserve"> [No change]</w:t>
      </w:r>
    </w:p>
    <w:p w:rsidR="00E64E08" w:rsidRDefault="00E64E08" w:rsidP="00E64E08">
      <w:pPr>
        <w:rPr>
          <w:rFonts w:ascii="Times New Roman" w:hAnsi="Times New Roman" w:cs="Times New Roman"/>
          <w:sz w:val="24"/>
          <w:szCs w:val="24"/>
        </w:rPr>
      </w:pPr>
      <w:r w:rsidRPr="00567D70">
        <w:rPr>
          <w:rFonts w:ascii="Times New Roman" w:hAnsi="Times New Roman" w:cs="Times New Roman"/>
          <w:b/>
          <w:sz w:val="24"/>
          <w:szCs w:val="24"/>
        </w:rPr>
        <w:t>(c</w:t>
      </w:r>
      <w:r w:rsidRPr="00AD5122">
        <w:rPr>
          <w:rFonts w:ascii="Times New Roman" w:hAnsi="Times New Roman" w:cs="Times New Roman"/>
          <w:b/>
          <w:sz w:val="24"/>
          <w:szCs w:val="24"/>
        </w:rPr>
        <w:t>) - (d</w:t>
      </w:r>
      <w:r w:rsidRPr="00567D70">
        <w:rPr>
          <w:rFonts w:ascii="Times New Roman" w:hAnsi="Times New Roman" w:cs="Times New Roman"/>
          <w:b/>
          <w:sz w:val="24"/>
          <w:szCs w:val="24"/>
        </w:rPr>
        <w:t>)</w:t>
      </w:r>
      <w:r>
        <w:rPr>
          <w:rFonts w:ascii="Times New Roman" w:hAnsi="Times New Roman" w:cs="Times New Roman"/>
          <w:sz w:val="24"/>
          <w:szCs w:val="24"/>
        </w:rPr>
        <w:t xml:space="preserve"> [</w:t>
      </w:r>
      <w:r w:rsidRPr="00567D70">
        <w:rPr>
          <w:rFonts w:ascii="Times New Roman" w:hAnsi="Times New Roman" w:cs="Times New Roman"/>
          <w:b/>
          <w:sz w:val="24"/>
          <w:szCs w:val="24"/>
        </w:rPr>
        <w:t>No change</w:t>
      </w:r>
      <w:r>
        <w:rPr>
          <w:rFonts w:ascii="Times New Roman" w:hAnsi="Times New Roman" w:cs="Times New Roman"/>
          <w:sz w:val="24"/>
          <w:szCs w:val="24"/>
        </w:rPr>
        <w:t>]</w:t>
      </w:r>
    </w:p>
    <w:p w:rsidR="00E64E08" w:rsidRDefault="00E64E08">
      <w:pPr>
        <w:rPr>
          <w:rFonts w:ascii="Times New Roman" w:hAnsi="Times New Roman" w:cs="Times New Roman"/>
          <w:sz w:val="24"/>
          <w:szCs w:val="24"/>
        </w:rPr>
      </w:pPr>
      <w:r>
        <w:rPr>
          <w:rFonts w:ascii="Times New Roman" w:hAnsi="Times New Roman" w:cs="Times New Roman"/>
          <w:sz w:val="24"/>
          <w:szCs w:val="24"/>
        </w:rPr>
        <w:br w:type="page"/>
      </w:r>
    </w:p>
    <w:p w:rsidR="00E64E08" w:rsidRPr="003D030C" w:rsidRDefault="00E64E08" w:rsidP="00E64E08">
      <w:pPr>
        <w:rPr>
          <w:rFonts w:ascii="Times New Roman" w:hAnsi="Times New Roman" w:cs="Times New Roman"/>
          <w:sz w:val="24"/>
          <w:szCs w:val="24"/>
        </w:rPr>
      </w:pPr>
    </w:p>
    <w:p w:rsidR="003D030C" w:rsidRPr="003D030C" w:rsidRDefault="00333816" w:rsidP="00C93611">
      <w:pPr>
        <w:jc w:val="center"/>
        <w:rPr>
          <w:rFonts w:ascii="Times New Roman" w:hAnsi="Times New Roman" w:cs="Times New Roman"/>
          <w:b/>
          <w:bCs/>
          <w:sz w:val="24"/>
          <w:szCs w:val="24"/>
        </w:rPr>
      </w:pPr>
      <w:r>
        <w:rPr>
          <w:rFonts w:ascii="Times New Roman" w:hAnsi="Times New Roman" w:cs="Times New Roman"/>
          <w:b/>
          <w:bCs/>
          <w:sz w:val="24"/>
          <w:szCs w:val="24"/>
        </w:rPr>
        <w:t>Appendix B</w:t>
      </w:r>
    </w:p>
    <w:p w:rsidR="003D030C" w:rsidRPr="003D030C" w:rsidRDefault="003D030C" w:rsidP="002C6619">
      <w:pPr>
        <w:rPr>
          <w:rFonts w:ascii="Times New Roman" w:hAnsi="Times New Roman" w:cs="Times New Roman"/>
          <w:b/>
          <w:bCs/>
          <w:sz w:val="24"/>
          <w:szCs w:val="24"/>
        </w:rPr>
      </w:pPr>
    </w:p>
    <w:p w:rsidR="003D030C" w:rsidRPr="003D030C" w:rsidRDefault="003D030C" w:rsidP="002C6619">
      <w:pPr>
        <w:rPr>
          <w:rFonts w:ascii="Times New Roman" w:hAnsi="Times New Roman" w:cs="Times New Roman"/>
          <w:b/>
          <w:bCs/>
          <w:sz w:val="24"/>
          <w:szCs w:val="24"/>
        </w:rPr>
      </w:pPr>
      <w:r w:rsidRPr="003D030C">
        <w:rPr>
          <w:rFonts w:ascii="Times New Roman" w:hAnsi="Times New Roman" w:cs="Times New Roman"/>
          <w:b/>
          <w:bCs/>
          <w:sz w:val="24"/>
          <w:szCs w:val="24"/>
        </w:rPr>
        <w:t>Arizona Rules of Criminal Procedure</w:t>
      </w:r>
    </w:p>
    <w:p w:rsidR="003D030C" w:rsidRPr="003D030C" w:rsidRDefault="003D030C" w:rsidP="002C6619">
      <w:pPr>
        <w:rPr>
          <w:rFonts w:ascii="Times New Roman" w:hAnsi="Times New Roman" w:cs="Times New Roman"/>
          <w:b/>
          <w:bCs/>
          <w:sz w:val="24"/>
          <w:szCs w:val="24"/>
        </w:rPr>
      </w:pPr>
    </w:p>
    <w:p w:rsidR="003C2028" w:rsidRPr="003D030C" w:rsidRDefault="003C2028" w:rsidP="002C6619">
      <w:pPr>
        <w:rPr>
          <w:rFonts w:ascii="Times New Roman" w:hAnsi="Times New Roman" w:cs="Times New Roman"/>
          <w:b/>
          <w:bCs/>
          <w:color w:val="000000"/>
          <w:sz w:val="24"/>
          <w:szCs w:val="24"/>
        </w:rPr>
      </w:pPr>
      <w:r w:rsidRPr="003D030C">
        <w:rPr>
          <w:rFonts w:ascii="Times New Roman" w:hAnsi="Times New Roman" w:cs="Times New Roman"/>
          <w:b/>
          <w:bCs/>
          <w:sz w:val="24"/>
          <w:szCs w:val="24"/>
        </w:rPr>
        <w:t xml:space="preserve">Rule 4.2. Initial Appearance </w:t>
      </w:r>
    </w:p>
    <w:p w:rsidR="002C6619" w:rsidRPr="003D030C" w:rsidRDefault="002C6619" w:rsidP="002C6619">
      <w:pPr>
        <w:pStyle w:val="Default"/>
        <w:numPr>
          <w:ilvl w:val="0"/>
          <w:numId w:val="24"/>
        </w:numPr>
        <w:spacing w:after="214"/>
      </w:pPr>
    </w:p>
    <w:p w:rsidR="0079729F" w:rsidRPr="003D030C" w:rsidRDefault="003C2028" w:rsidP="002C6619">
      <w:pPr>
        <w:pStyle w:val="Default"/>
        <w:numPr>
          <w:ilvl w:val="0"/>
          <w:numId w:val="24"/>
        </w:numPr>
        <w:spacing w:after="214"/>
      </w:pPr>
      <w:r w:rsidRPr="003D030C">
        <w:rPr>
          <w:b/>
          <w:bCs/>
        </w:rPr>
        <w:t xml:space="preserve">(a) Generally. </w:t>
      </w:r>
      <w:r w:rsidRPr="003D030C">
        <w:t xml:space="preserve">At an initial appearance, the magistrate must: </w:t>
      </w:r>
    </w:p>
    <w:p w:rsidR="003C2028" w:rsidRPr="003D030C" w:rsidRDefault="003C2028" w:rsidP="003D030C">
      <w:pPr>
        <w:pStyle w:val="Default"/>
        <w:numPr>
          <w:ilvl w:val="0"/>
          <w:numId w:val="24"/>
        </w:numPr>
        <w:spacing w:after="214"/>
        <w:ind w:left="360"/>
      </w:pPr>
      <w:r w:rsidRPr="003D030C">
        <w:rPr>
          <w:bCs/>
        </w:rPr>
        <w:t xml:space="preserve">(1) </w:t>
      </w:r>
      <w:r w:rsidR="0079729F" w:rsidRPr="003D030C">
        <w:t xml:space="preserve">- </w:t>
      </w:r>
      <w:r w:rsidRPr="003D030C">
        <w:rPr>
          <w:bCs/>
        </w:rPr>
        <w:t>(7)</w:t>
      </w:r>
      <w:r w:rsidRPr="003D030C">
        <w:rPr>
          <w:b/>
          <w:bCs/>
        </w:rPr>
        <w:t xml:space="preserve"> </w:t>
      </w:r>
      <w:r w:rsidR="0079729F" w:rsidRPr="003D030C">
        <w:rPr>
          <w:b/>
          <w:bCs/>
        </w:rPr>
        <w:t>[No change]</w:t>
      </w:r>
    </w:p>
    <w:p w:rsidR="009E5909" w:rsidRPr="003D030C" w:rsidRDefault="003C2028">
      <w:pPr>
        <w:pStyle w:val="Default"/>
        <w:ind w:left="360"/>
      </w:pPr>
      <w:r w:rsidRPr="003D030C">
        <w:rPr>
          <w:bCs/>
        </w:rPr>
        <w:t>(8)</w:t>
      </w:r>
      <w:r w:rsidRPr="003D030C">
        <w:rPr>
          <w:b/>
          <w:bCs/>
        </w:rPr>
        <w:t xml:space="preserve"> </w:t>
      </w:r>
      <w:r w:rsidRPr="003D030C">
        <w:t>determine whether pro</w:t>
      </w:r>
      <w:r w:rsidR="00E045C9" w:rsidRPr="003D030C">
        <w:t>bable cause exists to believe</w:t>
      </w:r>
      <w:r w:rsidR="00E045C9" w:rsidRPr="003D030C">
        <w:rPr>
          <w:strike/>
        </w:rPr>
        <w:t xml:space="preserve">: </w:t>
      </w:r>
      <w:r w:rsidRPr="003D030C">
        <w:rPr>
          <w:b/>
          <w:bCs/>
          <w:strike/>
        </w:rPr>
        <w:t>(A)</w:t>
      </w:r>
      <w:r w:rsidRPr="003D030C">
        <w:rPr>
          <w:b/>
          <w:bCs/>
        </w:rPr>
        <w:t xml:space="preserve"> </w:t>
      </w:r>
      <w:r w:rsidRPr="003D030C">
        <w:t>the defendant committed</w:t>
      </w:r>
      <w:r w:rsidR="00E045C9" w:rsidRPr="003D030C">
        <w:rPr>
          <w:u w:val="single"/>
        </w:rPr>
        <w:t>:</w:t>
      </w:r>
      <w:r w:rsidRPr="003D030C">
        <w:rPr>
          <w:u w:val="single"/>
        </w:rPr>
        <w:t xml:space="preserve"> </w:t>
      </w:r>
    </w:p>
    <w:p w:rsidR="009E5909" w:rsidRPr="003D030C" w:rsidRDefault="009E5909" w:rsidP="003D030C">
      <w:pPr>
        <w:pStyle w:val="Default"/>
        <w:ind w:left="360"/>
        <w:rPr>
          <w:b/>
          <w:bCs/>
        </w:rPr>
      </w:pPr>
    </w:p>
    <w:p w:rsidR="009E5909" w:rsidRPr="005C4F26" w:rsidRDefault="009840BF" w:rsidP="005C4F26">
      <w:pPr>
        <w:pStyle w:val="Default"/>
        <w:ind w:firstLine="720"/>
        <w:rPr>
          <w:strike/>
          <w:u w:val="single"/>
        </w:rPr>
      </w:pPr>
      <w:r w:rsidRPr="003D030C">
        <w:rPr>
          <w:bCs/>
          <w:u w:val="single"/>
        </w:rPr>
        <w:t>(A</w:t>
      </w:r>
      <w:r w:rsidR="009E5909" w:rsidRPr="003D030C">
        <w:rPr>
          <w:bCs/>
          <w:u w:val="single"/>
        </w:rPr>
        <w:t>)</w:t>
      </w:r>
      <w:r w:rsidR="009E5909" w:rsidRPr="003D030C">
        <w:rPr>
          <w:b/>
          <w:bCs/>
          <w:u w:val="single"/>
        </w:rPr>
        <w:t xml:space="preserve"> </w:t>
      </w:r>
      <w:r w:rsidR="009E5909" w:rsidRPr="003D030C">
        <w:t>a capital offense</w:t>
      </w:r>
      <w:r w:rsidR="009E5909" w:rsidRPr="003D030C">
        <w:rPr>
          <w:u w:val="single"/>
        </w:rPr>
        <w:t>;</w:t>
      </w:r>
      <w:r w:rsidR="009E5909" w:rsidRPr="005C4F26">
        <w:rPr>
          <w:strike/>
          <w:u w:val="single"/>
        </w:rPr>
        <w:t xml:space="preserve">  </w:t>
      </w:r>
      <w:r w:rsidR="009E5909" w:rsidRPr="005C4F26">
        <w:rPr>
          <w:strike/>
        </w:rPr>
        <w:t>a sexual assault</w:t>
      </w:r>
      <w:r w:rsidR="009E5909" w:rsidRPr="005C4F26">
        <w:rPr>
          <w:strike/>
          <w:u w:val="single"/>
        </w:rPr>
        <w:t>;</w:t>
      </w:r>
      <w:r w:rsidR="009E5909" w:rsidRPr="005C4F26">
        <w:rPr>
          <w:strike/>
        </w:rPr>
        <w:t xml:space="preserve"> </w:t>
      </w:r>
      <w:r w:rsidR="00E045C9" w:rsidRPr="005C4F26">
        <w:rPr>
          <w:strike/>
        </w:rPr>
        <w:t>or</w:t>
      </w:r>
    </w:p>
    <w:p w:rsidR="009E5909" w:rsidRPr="003D030C" w:rsidRDefault="009E5909">
      <w:pPr>
        <w:pStyle w:val="Default"/>
        <w:ind w:firstLine="720"/>
        <w:rPr>
          <w:b/>
          <w:bCs/>
          <w:u w:val="single"/>
        </w:rPr>
      </w:pPr>
    </w:p>
    <w:p w:rsidR="009E5909" w:rsidRPr="003D030C" w:rsidRDefault="005C4F26" w:rsidP="00C93611">
      <w:pPr>
        <w:pStyle w:val="Default"/>
        <w:ind w:left="360" w:firstLine="360"/>
        <w:rPr>
          <w:u w:val="single"/>
        </w:rPr>
      </w:pPr>
      <w:r>
        <w:rPr>
          <w:bCs/>
          <w:u w:val="single"/>
        </w:rPr>
        <w:t>(B</w:t>
      </w:r>
      <w:r w:rsidR="009E5909" w:rsidRPr="003D030C">
        <w:rPr>
          <w:bCs/>
          <w:u w:val="single"/>
        </w:rPr>
        <w:t>)</w:t>
      </w:r>
      <w:r w:rsidR="009E5909" w:rsidRPr="003D030C">
        <w:rPr>
          <w:b/>
          <w:bCs/>
          <w:u w:val="single"/>
        </w:rPr>
        <w:t xml:space="preserve"> </w:t>
      </w:r>
      <w:r w:rsidR="009E5909" w:rsidRPr="003D030C">
        <w:t>any felony offense</w:t>
      </w:r>
      <w:r w:rsidR="009E5909" w:rsidRPr="003D030C">
        <w:rPr>
          <w:u w:val="single"/>
        </w:rPr>
        <w:t xml:space="preserve"> </w:t>
      </w:r>
      <w:r w:rsidR="00E045C9" w:rsidRPr="003D030C">
        <w:rPr>
          <w:strike/>
        </w:rPr>
        <w:t xml:space="preserve">committed </w:t>
      </w:r>
      <w:r w:rsidR="009E5909" w:rsidRPr="003D030C">
        <w:t xml:space="preserve">while the </w:t>
      </w:r>
      <w:r w:rsidR="00E045C9" w:rsidRPr="003D030C">
        <w:t>person</w:t>
      </w:r>
      <w:r w:rsidR="009E5909" w:rsidRPr="003D030C">
        <w:t xml:space="preserve"> was on pretrial release for a separate felony charge</w:t>
      </w:r>
      <w:r w:rsidR="0080378D" w:rsidRPr="003D030C">
        <w:t>.</w:t>
      </w:r>
      <w:r w:rsidR="009E5909" w:rsidRPr="003D030C">
        <w:rPr>
          <w:u w:val="single"/>
        </w:rPr>
        <w:t>;</w:t>
      </w:r>
    </w:p>
    <w:p w:rsidR="009E5909" w:rsidRPr="003D030C" w:rsidRDefault="009E5909" w:rsidP="00C93611">
      <w:pPr>
        <w:pStyle w:val="Default"/>
        <w:ind w:firstLine="720"/>
        <w:rPr>
          <w:u w:val="single"/>
        </w:rPr>
      </w:pPr>
    </w:p>
    <w:p w:rsidR="009E5909" w:rsidRPr="003D030C" w:rsidRDefault="005C4F26" w:rsidP="00C93611">
      <w:pPr>
        <w:pStyle w:val="Default"/>
        <w:ind w:firstLine="720"/>
        <w:rPr>
          <w:u w:val="single"/>
        </w:rPr>
      </w:pPr>
      <w:r>
        <w:rPr>
          <w:u w:val="single"/>
        </w:rPr>
        <w:t>(C</w:t>
      </w:r>
      <w:r w:rsidR="009E5909" w:rsidRPr="003D030C">
        <w:rPr>
          <w:u w:val="single"/>
        </w:rPr>
        <w:t>) sexual conduct with a minor under either of the following circumstances:</w:t>
      </w:r>
    </w:p>
    <w:p w:rsidR="009E5909" w:rsidRPr="003D030C" w:rsidRDefault="009E5909" w:rsidP="003D030C">
      <w:pPr>
        <w:pStyle w:val="Default"/>
        <w:ind w:firstLine="720"/>
        <w:rPr>
          <w:u w:val="single"/>
        </w:rPr>
      </w:pPr>
    </w:p>
    <w:p w:rsidR="009E5909" w:rsidRPr="003D030C" w:rsidRDefault="009E5909">
      <w:pPr>
        <w:pStyle w:val="Default"/>
        <w:ind w:left="720" w:firstLine="360"/>
        <w:rPr>
          <w:u w:val="single"/>
        </w:rPr>
      </w:pPr>
      <w:r w:rsidRPr="003D030C">
        <w:rPr>
          <w:u w:val="single"/>
        </w:rPr>
        <w:t>(</w:t>
      </w:r>
      <w:r w:rsidR="003D030C" w:rsidRPr="003D030C">
        <w:rPr>
          <w:u w:val="single"/>
        </w:rPr>
        <w:t>i</w:t>
      </w:r>
      <w:r w:rsidRPr="003D030C">
        <w:rPr>
          <w:u w:val="single"/>
        </w:rPr>
        <w:t>)  at the time of the offense, the person was at least eighteen years of age and the victim was under thirteen years of age.</w:t>
      </w:r>
    </w:p>
    <w:p w:rsidR="009E5909" w:rsidRPr="003D030C" w:rsidRDefault="009E5909">
      <w:pPr>
        <w:pStyle w:val="Default"/>
        <w:ind w:firstLine="1080"/>
        <w:rPr>
          <w:u w:val="single"/>
        </w:rPr>
      </w:pPr>
    </w:p>
    <w:p w:rsidR="009E5909" w:rsidRPr="003D030C" w:rsidRDefault="009E5909">
      <w:pPr>
        <w:pStyle w:val="Default"/>
        <w:ind w:left="720" w:firstLine="360"/>
        <w:rPr>
          <w:u w:val="single"/>
        </w:rPr>
      </w:pPr>
      <w:r w:rsidRPr="003D030C">
        <w:rPr>
          <w:u w:val="single"/>
        </w:rPr>
        <w:t>(</w:t>
      </w:r>
      <w:r w:rsidR="003D030C" w:rsidRPr="003D030C">
        <w:rPr>
          <w:u w:val="single"/>
        </w:rPr>
        <w:t>ii</w:t>
      </w:r>
      <w:r w:rsidRPr="003D030C">
        <w:rPr>
          <w:u w:val="single"/>
        </w:rPr>
        <w:t>)  at the time of the offense, the victim was thirteen or fourteen years of age and the person was at least ten</w:t>
      </w:r>
      <w:r w:rsidR="00E045C9" w:rsidRPr="003D030C">
        <w:rPr>
          <w:u w:val="single"/>
        </w:rPr>
        <w:t xml:space="preserve"> years older than the victim;</w:t>
      </w:r>
    </w:p>
    <w:p w:rsidR="009E5909" w:rsidRPr="003D030C" w:rsidRDefault="009E5909">
      <w:pPr>
        <w:pStyle w:val="Default"/>
        <w:ind w:left="720"/>
        <w:rPr>
          <w:u w:val="single"/>
        </w:rPr>
      </w:pPr>
    </w:p>
    <w:p w:rsidR="009E5909" w:rsidRPr="003D030C" w:rsidRDefault="005C4F26" w:rsidP="003D030C">
      <w:pPr>
        <w:pStyle w:val="Default"/>
        <w:ind w:left="720"/>
        <w:rPr>
          <w:u w:val="single"/>
        </w:rPr>
      </w:pPr>
      <w:r>
        <w:rPr>
          <w:u w:val="single"/>
        </w:rPr>
        <w:t>(D</w:t>
      </w:r>
      <w:r w:rsidR="009E5909" w:rsidRPr="003D030C">
        <w:rPr>
          <w:u w:val="single"/>
        </w:rPr>
        <w:t>) molestation of a child under either of the following circumstances:</w:t>
      </w:r>
    </w:p>
    <w:p w:rsidR="009E5909" w:rsidRPr="003D030C" w:rsidRDefault="009E5909" w:rsidP="009E5909">
      <w:pPr>
        <w:pStyle w:val="Default"/>
        <w:rPr>
          <w:u w:val="single"/>
        </w:rPr>
      </w:pPr>
    </w:p>
    <w:p w:rsidR="009E5909" w:rsidRPr="003D030C" w:rsidRDefault="009E5909" w:rsidP="003D030C">
      <w:pPr>
        <w:pStyle w:val="Default"/>
        <w:ind w:left="720" w:firstLine="360"/>
        <w:rPr>
          <w:u w:val="single"/>
        </w:rPr>
      </w:pPr>
      <w:r w:rsidRPr="003D030C">
        <w:rPr>
          <w:u w:val="single"/>
        </w:rPr>
        <w:t>(</w:t>
      </w:r>
      <w:r w:rsidR="003D030C" w:rsidRPr="003D030C">
        <w:rPr>
          <w:u w:val="single"/>
        </w:rPr>
        <w:t>i</w:t>
      </w:r>
      <w:r w:rsidRPr="003D030C">
        <w:rPr>
          <w:u w:val="single"/>
        </w:rPr>
        <w:t>)  at the time of the offense, the person was at least eighteen years of age and the victim was under thirteen years of age.</w:t>
      </w:r>
    </w:p>
    <w:p w:rsidR="009E5909" w:rsidRPr="003D030C" w:rsidRDefault="009E5909" w:rsidP="003D030C">
      <w:pPr>
        <w:pStyle w:val="Default"/>
        <w:ind w:left="720" w:firstLine="360"/>
        <w:rPr>
          <w:u w:val="single"/>
        </w:rPr>
      </w:pPr>
    </w:p>
    <w:p w:rsidR="009E5909" w:rsidRPr="003D030C" w:rsidRDefault="009E5909" w:rsidP="003D030C">
      <w:pPr>
        <w:pStyle w:val="Default"/>
        <w:ind w:left="720" w:firstLine="360"/>
        <w:rPr>
          <w:u w:val="single"/>
        </w:rPr>
      </w:pPr>
      <w:r w:rsidRPr="003D030C">
        <w:rPr>
          <w:u w:val="single"/>
        </w:rPr>
        <w:t>(</w:t>
      </w:r>
      <w:r w:rsidR="003D030C" w:rsidRPr="003D030C">
        <w:rPr>
          <w:u w:val="single"/>
        </w:rPr>
        <w:t>ii</w:t>
      </w:r>
      <w:r w:rsidRPr="003D030C">
        <w:rPr>
          <w:u w:val="single"/>
        </w:rPr>
        <w:t>)  at the time of the offense, the victim was thirteen or fourteen years of age and the person was at least ten years older than the victim</w:t>
      </w:r>
      <w:r w:rsidR="003C2028" w:rsidRPr="003D030C">
        <w:rPr>
          <w:u w:val="single"/>
        </w:rPr>
        <w:t>; or</w:t>
      </w:r>
    </w:p>
    <w:p w:rsidR="003C2028" w:rsidRPr="003D030C" w:rsidRDefault="003C2028" w:rsidP="009E5909">
      <w:pPr>
        <w:pStyle w:val="Default"/>
        <w:ind w:left="720"/>
      </w:pPr>
      <w:r w:rsidRPr="003D030C">
        <w:t xml:space="preserve"> </w:t>
      </w:r>
    </w:p>
    <w:p w:rsidR="003C2028" w:rsidRPr="003D030C" w:rsidRDefault="003C2028" w:rsidP="00C93611">
      <w:pPr>
        <w:pStyle w:val="Default"/>
        <w:ind w:left="360" w:firstLine="360"/>
      </w:pPr>
      <w:r w:rsidRPr="003D030C">
        <w:rPr>
          <w:bCs/>
          <w:strike/>
        </w:rPr>
        <w:t>(B</w:t>
      </w:r>
      <w:r w:rsidRPr="00C93611">
        <w:rPr>
          <w:bCs/>
          <w:strike/>
          <w:u w:val="single"/>
        </w:rPr>
        <w:t>)</w:t>
      </w:r>
      <w:r w:rsidR="005C4F26">
        <w:rPr>
          <w:bCs/>
          <w:u w:val="single"/>
        </w:rPr>
        <w:t>(E</w:t>
      </w:r>
      <w:r w:rsidR="009840BF" w:rsidRPr="00C93611">
        <w:rPr>
          <w:bCs/>
          <w:u w:val="single"/>
        </w:rPr>
        <w:t>)</w:t>
      </w:r>
      <w:r w:rsidRPr="003D030C">
        <w:rPr>
          <w:b/>
          <w:bCs/>
        </w:rPr>
        <w:t xml:space="preserve"> </w:t>
      </w:r>
      <w:r w:rsidRPr="003D030C">
        <w:rPr>
          <w:strike/>
        </w:rPr>
        <w:t>the defendant committed</w:t>
      </w:r>
      <w:r w:rsidRPr="003D030C">
        <w:t xml:space="preserve"> a felony for which release on bail is prohibited because the defendant poses a substantial danger and no conditions of release will reasonably assure the safety of the victim, any other person, or the community based on the considerations provided in Rule 7.2(b)(3); </w:t>
      </w:r>
    </w:p>
    <w:p w:rsidR="009840BF" w:rsidRDefault="009840BF" w:rsidP="009840BF">
      <w:pPr>
        <w:pStyle w:val="Default"/>
        <w:rPr>
          <w:b/>
          <w:bCs/>
        </w:rPr>
      </w:pPr>
    </w:p>
    <w:p w:rsidR="00CE18FA" w:rsidRDefault="00CE18FA" w:rsidP="00C93611">
      <w:pPr>
        <w:pStyle w:val="Default"/>
        <w:ind w:firstLine="360"/>
        <w:rPr>
          <w:bCs/>
        </w:rPr>
      </w:pPr>
      <w:r w:rsidRPr="00C93611">
        <w:rPr>
          <w:bCs/>
        </w:rPr>
        <w:t>(9) if the court determines that the defendant is not eligible for bail based on a determination under (a)(8)</w:t>
      </w:r>
      <w:r w:rsidRPr="00C93611">
        <w:rPr>
          <w:bCs/>
          <w:strike/>
        </w:rPr>
        <w:t>(A) or (B)</w:t>
      </w:r>
      <w:r w:rsidRPr="00C93611">
        <w:rPr>
          <w:bCs/>
        </w:rPr>
        <w:t>, schedule a bail eligibility hearing in superior court as required under Rule 7.2(b)(4).</w:t>
      </w:r>
    </w:p>
    <w:p w:rsidR="00CE18FA" w:rsidRPr="00CE18FA" w:rsidRDefault="00CE18FA" w:rsidP="00CE18FA">
      <w:pPr>
        <w:pStyle w:val="Default"/>
        <w:ind w:left="360"/>
        <w:rPr>
          <w:bCs/>
        </w:rPr>
      </w:pPr>
    </w:p>
    <w:p w:rsidR="003C2028" w:rsidRPr="003D030C" w:rsidRDefault="003C2028" w:rsidP="00CE18FA">
      <w:pPr>
        <w:pStyle w:val="Default"/>
        <w:ind w:left="360"/>
        <w:rPr>
          <w:color w:val="auto"/>
        </w:rPr>
      </w:pPr>
      <w:r w:rsidRPr="003D030C">
        <w:rPr>
          <w:bCs/>
        </w:rPr>
        <w:t>(</w:t>
      </w:r>
      <w:r w:rsidR="00CE18FA">
        <w:rPr>
          <w:bCs/>
        </w:rPr>
        <w:t>10</w:t>
      </w:r>
      <w:r w:rsidRPr="003D030C">
        <w:rPr>
          <w:color w:val="auto"/>
        </w:rPr>
        <w:t xml:space="preserve"> </w:t>
      </w:r>
      <w:r w:rsidR="00CE18FA">
        <w:rPr>
          <w:color w:val="auto"/>
        </w:rPr>
        <w:t>and</w:t>
      </w:r>
      <w:r w:rsidR="009840BF" w:rsidRPr="003D030C">
        <w:rPr>
          <w:color w:val="auto"/>
        </w:rPr>
        <w:t xml:space="preserve"> </w:t>
      </w:r>
      <w:r w:rsidRPr="003D030C">
        <w:rPr>
          <w:bCs/>
          <w:color w:val="auto"/>
        </w:rPr>
        <w:t>11)</w:t>
      </w:r>
      <w:r w:rsidRPr="003D030C">
        <w:rPr>
          <w:b/>
          <w:bCs/>
          <w:color w:val="auto"/>
        </w:rPr>
        <w:t xml:space="preserve"> </w:t>
      </w:r>
      <w:r w:rsidR="009840BF" w:rsidRPr="003D030C">
        <w:rPr>
          <w:b/>
          <w:color w:val="auto"/>
        </w:rPr>
        <w:t>[No change]</w:t>
      </w:r>
    </w:p>
    <w:p w:rsidR="009840BF" w:rsidRPr="003D030C" w:rsidRDefault="009840BF" w:rsidP="003C2028">
      <w:pPr>
        <w:rPr>
          <w:rFonts w:ascii="Times New Roman" w:hAnsi="Times New Roman" w:cs="Times New Roman"/>
          <w:b/>
          <w:bCs/>
          <w:sz w:val="24"/>
          <w:szCs w:val="24"/>
        </w:rPr>
      </w:pPr>
    </w:p>
    <w:p w:rsidR="003C2028" w:rsidRDefault="003C2028">
      <w:pPr>
        <w:rPr>
          <w:rFonts w:ascii="Times New Roman" w:hAnsi="Times New Roman" w:cs="Times New Roman"/>
          <w:b/>
          <w:bCs/>
          <w:sz w:val="24"/>
          <w:szCs w:val="24"/>
        </w:rPr>
      </w:pPr>
      <w:r w:rsidRPr="003D030C">
        <w:rPr>
          <w:rFonts w:ascii="Times New Roman" w:hAnsi="Times New Roman" w:cs="Times New Roman"/>
          <w:b/>
          <w:bCs/>
          <w:sz w:val="24"/>
          <w:szCs w:val="24"/>
        </w:rPr>
        <w:t xml:space="preserve">(b) and (c) [No change] </w:t>
      </w:r>
    </w:p>
    <w:p w:rsidR="00CE18FA" w:rsidRDefault="00CE18FA" w:rsidP="003C2028">
      <w:pPr>
        <w:rPr>
          <w:rFonts w:ascii="Times New Roman" w:hAnsi="Times New Roman" w:cs="Times New Roman"/>
          <w:b/>
          <w:bCs/>
          <w:sz w:val="24"/>
          <w:szCs w:val="24"/>
        </w:rPr>
      </w:pPr>
    </w:p>
    <w:p w:rsidR="0031043A" w:rsidRPr="003D030C" w:rsidRDefault="0031043A" w:rsidP="0031043A">
      <w:pPr>
        <w:pStyle w:val="Default"/>
      </w:pPr>
      <w:r w:rsidRPr="003D030C">
        <w:rPr>
          <w:b/>
          <w:bCs/>
        </w:rPr>
        <w:t xml:space="preserve">Rule 7.2. Right to Release </w:t>
      </w:r>
    </w:p>
    <w:p w:rsidR="00241CED" w:rsidRPr="003D030C" w:rsidRDefault="00241CED" w:rsidP="0031043A">
      <w:pPr>
        <w:pStyle w:val="Default"/>
        <w:rPr>
          <w:b/>
          <w:bCs/>
        </w:rPr>
      </w:pPr>
    </w:p>
    <w:p w:rsidR="0031043A" w:rsidRPr="003D030C" w:rsidRDefault="0031043A" w:rsidP="0031043A">
      <w:pPr>
        <w:pStyle w:val="Default"/>
      </w:pPr>
      <w:r w:rsidRPr="003D030C">
        <w:rPr>
          <w:b/>
          <w:bCs/>
        </w:rPr>
        <w:t xml:space="preserve">(a) [No change] </w:t>
      </w:r>
    </w:p>
    <w:p w:rsidR="00241CED" w:rsidRPr="003D030C" w:rsidRDefault="00241CED" w:rsidP="0031043A">
      <w:pPr>
        <w:pStyle w:val="Default"/>
        <w:rPr>
          <w:b/>
          <w:bCs/>
        </w:rPr>
      </w:pPr>
    </w:p>
    <w:p w:rsidR="0031043A" w:rsidRPr="003D030C" w:rsidRDefault="0031043A" w:rsidP="0031043A">
      <w:pPr>
        <w:pStyle w:val="Default"/>
        <w:rPr>
          <w:b/>
          <w:bCs/>
        </w:rPr>
      </w:pPr>
      <w:r w:rsidRPr="003D030C">
        <w:rPr>
          <w:b/>
          <w:bCs/>
        </w:rPr>
        <w:t xml:space="preserve">(b) Before Conviction: Defendants Charged with an Offense Not Eligible for Bail. </w:t>
      </w:r>
    </w:p>
    <w:p w:rsidR="0031043A" w:rsidRPr="003D030C" w:rsidRDefault="0031043A" w:rsidP="0031043A">
      <w:pPr>
        <w:pStyle w:val="Default"/>
        <w:rPr>
          <w:b/>
          <w:bCs/>
        </w:rPr>
      </w:pPr>
    </w:p>
    <w:p w:rsidR="0031043A" w:rsidRPr="003D030C" w:rsidRDefault="0031043A" w:rsidP="00C93611">
      <w:pPr>
        <w:pStyle w:val="Default"/>
        <w:ind w:firstLine="360"/>
      </w:pPr>
      <w:r w:rsidRPr="00C93611">
        <w:rPr>
          <w:bCs/>
        </w:rPr>
        <w:t xml:space="preserve">(1) </w:t>
      </w:r>
      <w:r w:rsidRPr="00C93611">
        <w:rPr>
          <w:bCs/>
          <w:i/>
          <w:iCs/>
        </w:rPr>
        <w:t>Not Eligible Based on Commission of a Specified Felony or Any Felony While on Pretrial Release.</w:t>
      </w:r>
      <w:r w:rsidRPr="003D030C">
        <w:rPr>
          <w:b/>
          <w:bCs/>
          <w:i/>
          <w:iCs/>
        </w:rPr>
        <w:t xml:space="preserve"> </w:t>
      </w:r>
      <w:r w:rsidRPr="003D030C">
        <w:t>A defendant must not be released if the court finds the proof is evident or the presumption great that the defendant committed:</w:t>
      </w:r>
    </w:p>
    <w:p w:rsidR="0031043A" w:rsidRPr="003D030C" w:rsidRDefault="0031043A" w:rsidP="0031043A">
      <w:pPr>
        <w:pStyle w:val="Default"/>
      </w:pPr>
      <w:r w:rsidRPr="003D030C">
        <w:t xml:space="preserve"> </w:t>
      </w:r>
    </w:p>
    <w:p w:rsidR="0031043A" w:rsidRPr="00CE18FA" w:rsidRDefault="0031043A" w:rsidP="00614572">
      <w:pPr>
        <w:pStyle w:val="Default"/>
        <w:ind w:left="720"/>
      </w:pPr>
      <w:r w:rsidRPr="00C93611">
        <w:rPr>
          <w:bCs/>
        </w:rPr>
        <w:t>(A)</w:t>
      </w:r>
      <w:r w:rsidRPr="003D030C">
        <w:rPr>
          <w:b/>
          <w:bCs/>
        </w:rPr>
        <w:t xml:space="preserve"> </w:t>
      </w:r>
      <w:r w:rsidRPr="003D030C">
        <w:t>a capital offense</w:t>
      </w:r>
      <w:r w:rsidR="00FC5293" w:rsidRPr="003D030C">
        <w:rPr>
          <w:u w:val="single"/>
        </w:rPr>
        <w:t>;</w:t>
      </w:r>
      <w:r w:rsidRPr="003D030C">
        <w:t xml:space="preserve"> </w:t>
      </w:r>
      <w:r w:rsidRPr="00614572">
        <w:rPr>
          <w:strike/>
        </w:rPr>
        <w:t xml:space="preserve">or a sexual assault; </w:t>
      </w:r>
      <w:r w:rsidRPr="00CE18FA">
        <w:rPr>
          <w:strike/>
        </w:rPr>
        <w:t xml:space="preserve">or </w:t>
      </w:r>
    </w:p>
    <w:p w:rsidR="0031043A" w:rsidRPr="00C93611" w:rsidRDefault="0031043A" w:rsidP="00C93611">
      <w:pPr>
        <w:pStyle w:val="Default"/>
        <w:ind w:left="720"/>
        <w:rPr>
          <w:bCs/>
        </w:rPr>
      </w:pPr>
    </w:p>
    <w:p w:rsidR="000F417C" w:rsidRPr="00CE18FA" w:rsidRDefault="00FC5293" w:rsidP="00C93611">
      <w:pPr>
        <w:pStyle w:val="Default"/>
        <w:ind w:left="360" w:firstLine="360"/>
      </w:pPr>
      <w:r w:rsidRPr="00C93611">
        <w:rPr>
          <w:bCs/>
        </w:rPr>
        <w:t>(B)</w:t>
      </w:r>
      <w:r w:rsidR="0031043A" w:rsidRPr="00C93611">
        <w:rPr>
          <w:bCs/>
        </w:rPr>
        <w:t xml:space="preserve"> </w:t>
      </w:r>
      <w:r w:rsidR="0031043A" w:rsidRPr="00CE18FA">
        <w:t>any felony offense while the defendant was on pretrial release for a separate felony charge</w:t>
      </w:r>
      <w:r w:rsidR="0031043A" w:rsidRPr="00CE18FA">
        <w:rPr>
          <w:strike/>
        </w:rPr>
        <w:t>.</w:t>
      </w:r>
      <w:r w:rsidRPr="00CE18FA">
        <w:t>;</w:t>
      </w:r>
    </w:p>
    <w:p w:rsidR="000F417C" w:rsidRPr="00CE18FA" w:rsidRDefault="000F417C" w:rsidP="0031043A">
      <w:pPr>
        <w:pStyle w:val="Default"/>
      </w:pPr>
    </w:p>
    <w:p w:rsidR="00241CED" w:rsidRPr="003D030C" w:rsidRDefault="009E5909" w:rsidP="00C93611">
      <w:pPr>
        <w:pStyle w:val="Default"/>
        <w:ind w:left="720"/>
        <w:rPr>
          <w:u w:val="single"/>
        </w:rPr>
      </w:pPr>
      <w:r w:rsidRPr="00C93611">
        <w:rPr>
          <w:u w:val="single"/>
        </w:rPr>
        <w:t>(</w:t>
      </w:r>
      <w:r w:rsidR="00614572">
        <w:rPr>
          <w:u w:val="single"/>
        </w:rPr>
        <w:t>C</w:t>
      </w:r>
      <w:r w:rsidR="000F417C" w:rsidRPr="003D030C">
        <w:rPr>
          <w:b/>
          <w:u w:val="single"/>
        </w:rPr>
        <w:t>)</w:t>
      </w:r>
      <w:r w:rsidR="0031043A" w:rsidRPr="003D030C">
        <w:rPr>
          <w:u w:val="single"/>
        </w:rPr>
        <w:t xml:space="preserve"> </w:t>
      </w:r>
      <w:r w:rsidR="00241CED" w:rsidRPr="003D030C">
        <w:rPr>
          <w:u w:val="single"/>
        </w:rPr>
        <w:t>sexual conduct with a minor under either of the following circumstances:</w:t>
      </w:r>
    </w:p>
    <w:p w:rsidR="00241CED" w:rsidRPr="003D030C" w:rsidRDefault="00241CED" w:rsidP="00241CED">
      <w:pPr>
        <w:pStyle w:val="Default"/>
        <w:rPr>
          <w:u w:val="single"/>
        </w:rPr>
      </w:pPr>
    </w:p>
    <w:p w:rsidR="00241CED" w:rsidRPr="003D030C" w:rsidRDefault="00241CED" w:rsidP="00C93611">
      <w:pPr>
        <w:pStyle w:val="Default"/>
        <w:ind w:left="720" w:firstLine="360"/>
        <w:rPr>
          <w:u w:val="single"/>
        </w:rPr>
      </w:pPr>
      <w:r w:rsidRPr="00C93611">
        <w:rPr>
          <w:u w:val="single"/>
        </w:rPr>
        <w:t>(</w:t>
      </w:r>
      <w:r w:rsidR="00CE18FA" w:rsidRPr="00C93611">
        <w:rPr>
          <w:u w:val="single"/>
        </w:rPr>
        <w:t>i</w:t>
      </w:r>
      <w:r w:rsidRPr="00C93611">
        <w:rPr>
          <w:u w:val="single"/>
        </w:rPr>
        <w:t>)</w:t>
      </w:r>
      <w:r w:rsidRPr="003D030C">
        <w:rPr>
          <w:u w:val="single"/>
        </w:rPr>
        <w:t xml:space="preserve">  at the time of the offense, the person was at least eighteen years of age and the victim </w:t>
      </w:r>
      <w:r w:rsidR="00FC5293" w:rsidRPr="003D030C">
        <w:rPr>
          <w:u w:val="single"/>
        </w:rPr>
        <w:t>was under thirteen years of age.</w:t>
      </w:r>
    </w:p>
    <w:p w:rsidR="00241CED" w:rsidRPr="003D030C" w:rsidRDefault="00241CED" w:rsidP="00C93611">
      <w:pPr>
        <w:pStyle w:val="Default"/>
        <w:ind w:left="720" w:firstLine="360"/>
        <w:rPr>
          <w:u w:val="single"/>
        </w:rPr>
      </w:pPr>
    </w:p>
    <w:p w:rsidR="00241CED" w:rsidRPr="003D030C" w:rsidRDefault="00241CED" w:rsidP="00C93611">
      <w:pPr>
        <w:pStyle w:val="Default"/>
        <w:ind w:left="720" w:firstLine="360"/>
        <w:rPr>
          <w:u w:val="single"/>
        </w:rPr>
      </w:pPr>
      <w:r w:rsidRPr="00C93611">
        <w:rPr>
          <w:u w:val="single"/>
        </w:rPr>
        <w:t>(</w:t>
      </w:r>
      <w:r w:rsidR="00CE18FA" w:rsidRPr="00C93611">
        <w:rPr>
          <w:u w:val="single"/>
        </w:rPr>
        <w:t>ii</w:t>
      </w:r>
      <w:r w:rsidRPr="00C93611">
        <w:rPr>
          <w:u w:val="single"/>
        </w:rPr>
        <w:t>)</w:t>
      </w:r>
      <w:r w:rsidRPr="003D030C">
        <w:rPr>
          <w:u w:val="single"/>
        </w:rPr>
        <w:t>  at the time of the offense, the victim was thirteen or fourteen years of age and the person was at least t</w:t>
      </w:r>
      <w:r w:rsidR="00FC5293" w:rsidRPr="003D030C">
        <w:rPr>
          <w:u w:val="single"/>
        </w:rPr>
        <w:t>en years older than the victim; or</w:t>
      </w:r>
    </w:p>
    <w:p w:rsidR="00241CED" w:rsidRPr="003D030C" w:rsidRDefault="00241CED" w:rsidP="00241CED">
      <w:pPr>
        <w:pStyle w:val="Default"/>
        <w:rPr>
          <w:u w:val="single"/>
        </w:rPr>
      </w:pPr>
    </w:p>
    <w:p w:rsidR="00241CED" w:rsidRPr="003D030C" w:rsidRDefault="00614572" w:rsidP="00C93611">
      <w:pPr>
        <w:pStyle w:val="Default"/>
        <w:ind w:left="720"/>
        <w:rPr>
          <w:u w:val="single"/>
        </w:rPr>
      </w:pPr>
      <w:r>
        <w:rPr>
          <w:u w:val="single"/>
        </w:rPr>
        <w:t>(D</w:t>
      </w:r>
      <w:r w:rsidR="00241CED" w:rsidRPr="00C93611">
        <w:rPr>
          <w:u w:val="single"/>
        </w:rPr>
        <w:t>)</w:t>
      </w:r>
      <w:r w:rsidR="00241CED" w:rsidRPr="003D030C">
        <w:rPr>
          <w:u w:val="single"/>
        </w:rPr>
        <w:t xml:space="preserve"> molestation of a child under either of the following circumstances:</w:t>
      </w:r>
    </w:p>
    <w:p w:rsidR="00241CED" w:rsidRPr="003D030C" w:rsidRDefault="00241CED" w:rsidP="00241CED">
      <w:pPr>
        <w:pStyle w:val="Default"/>
        <w:rPr>
          <w:u w:val="single"/>
        </w:rPr>
      </w:pPr>
    </w:p>
    <w:p w:rsidR="00241CED" w:rsidRPr="00CE18FA" w:rsidRDefault="00241CED" w:rsidP="00C93611">
      <w:pPr>
        <w:pStyle w:val="Default"/>
        <w:ind w:left="720" w:firstLine="360"/>
        <w:rPr>
          <w:u w:val="single"/>
        </w:rPr>
      </w:pPr>
      <w:r w:rsidRPr="00C93611">
        <w:rPr>
          <w:u w:val="single"/>
        </w:rPr>
        <w:t>(</w:t>
      </w:r>
      <w:r w:rsidR="00CE18FA" w:rsidRPr="00C93611">
        <w:rPr>
          <w:u w:val="single"/>
        </w:rPr>
        <w:t>i</w:t>
      </w:r>
      <w:r w:rsidRPr="00C93611">
        <w:rPr>
          <w:u w:val="single"/>
        </w:rPr>
        <w:t>)</w:t>
      </w:r>
      <w:r w:rsidRPr="00CE18FA">
        <w:rPr>
          <w:u w:val="single"/>
        </w:rPr>
        <w:t>  at the time of the offense, the person was at least eighteen years of age and the victim was under thirteen years of age.</w:t>
      </w:r>
    </w:p>
    <w:p w:rsidR="00241CED" w:rsidRPr="00CE18FA" w:rsidRDefault="00241CED" w:rsidP="00C93611">
      <w:pPr>
        <w:pStyle w:val="Default"/>
        <w:ind w:left="720" w:firstLine="360"/>
        <w:rPr>
          <w:u w:val="single"/>
        </w:rPr>
      </w:pPr>
    </w:p>
    <w:p w:rsidR="0031043A" w:rsidRPr="003D030C" w:rsidRDefault="00241CED" w:rsidP="00C93611">
      <w:pPr>
        <w:pStyle w:val="Default"/>
        <w:ind w:left="720" w:firstLine="360"/>
        <w:rPr>
          <w:u w:val="single"/>
        </w:rPr>
      </w:pPr>
      <w:r w:rsidRPr="00C93611">
        <w:rPr>
          <w:u w:val="single"/>
        </w:rPr>
        <w:t>(</w:t>
      </w:r>
      <w:r w:rsidR="00CE18FA" w:rsidRPr="00C93611">
        <w:rPr>
          <w:u w:val="single"/>
        </w:rPr>
        <w:t>ii</w:t>
      </w:r>
      <w:r w:rsidRPr="00C93611">
        <w:rPr>
          <w:u w:val="single"/>
        </w:rPr>
        <w:t>)</w:t>
      </w:r>
      <w:r w:rsidRPr="00CE18FA">
        <w:rPr>
          <w:u w:val="single"/>
        </w:rPr>
        <w:t xml:space="preserve">  at the time of the offense, </w:t>
      </w:r>
      <w:r w:rsidR="007E3DDB">
        <w:rPr>
          <w:u w:val="single"/>
        </w:rPr>
        <w:t>t</w:t>
      </w:r>
      <w:r w:rsidRPr="00CE18FA">
        <w:rPr>
          <w:u w:val="single"/>
        </w:rPr>
        <w:t>he victim was thirteen or fourteen years of age and the person</w:t>
      </w:r>
      <w:r w:rsidRPr="003D030C">
        <w:rPr>
          <w:u w:val="single"/>
        </w:rPr>
        <w:t xml:space="preserve"> was at least ten years older than the victim.</w:t>
      </w:r>
    </w:p>
    <w:p w:rsidR="0031043A" w:rsidRPr="003D030C" w:rsidRDefault="0031043A" w:rsidP="0031043A">
      <w:pPr>
        <w:pStyle w:val="Default"/>
        <w:rPr>
          <w:b/>
          <w:bCs/>
        </w:rPr>
      </w:pPr>
    </w:p>
    <w:p w:rsidR="0031043A" w:rsidRPr="003D030C" w:rsidRDefault="0031043A" w:rsidP="00C93611">
      <w:pPr>
        <w:pStyle w:val="Default"/>
        <w:ind w:left="360"/>
      </w:pPr>
      <w:r w:rsidRPr="00C93611">
        <w:rPr>
          <w:bCs/>
        </w:rPr>
        <w:t xml:space="preserve">(2) </w:t>
      </w:r>
      <w:r w:rsidRPr="00CE18FA">
        <w:t xml:space="preserve">- </w:t>
      </w:r>
      <w:r w:rsidRPr="00C93611">
        <w:rPr>
          <w:bCs/>
        </w:rPr>
        <w:t xml:space="preserve">(4) </w:t>
      </w:r>
      <w:r w:rsidR="000F417C" w:rsidRPr="00C93611">
        <w:rPr>
          <w:bCs/>
        </w:rPr>
        <w:t>[</w:t>
      </w:r>
      <w:r w:rsidR="000F417C" w:rsidRPr="003D030C">
        <w:rPr>
          <w:b/>
          <w:bCs/>
        </w:rPr>
        <w:t>No change]</w:t>
      </w:r>
    </w:p>
    <w:p w:rsidR="0031043A" w:rsidRPr="003D030C" w:rsidRDefault="0031043A" w:rsidP="0031043A">
      <w:pPr>
        <w:pStyle w:val="Default"/>
        <w:rPr>
          <w:color w:val="auto"/>
        </w:rPr>
      </w:pPr>
    </w:p>
    <w:p w:rsidR="00C50189" w:rsidRDefault="0031043A" w:rsidP="0031043A">
      <w:pPr>
        <w:rPr>
          <w:rFonts w:ascii="Times New Roman" w:hAnsi="Times New Roman" w:cs="Times New Roman"/>
          <w:b/>
          <w:bCs/>
          <w:sz w:val="24"/>
          <w:szCs w:val="24"/>
        </w:rPr>
      </w:pPr>
      <w:r w:rsidRPr="003D030C">
        <w:rPr>
          <w:rFonts w:ascii="Times New Roman" w:hAnsi="Times New Roman" w:cs="Times New Roman"/>
          <w:b/>
          <w:bCs/>
          <w:sz w:val="24"/>
          <w:szCs w:val="24"/>
        </w:rPr>
        <w:t>(c) – (d) [No change]</w:t>
      </w:r>
    </w:p>
    <w:p w:rsidR="00C50189" w:rsidRDefault="00C50189">
      <w:pPr>
        <w:rPr>
          <w:rFonts w:ascii="Times New Roman" w:hAnsi="Times New Roman" w:cs="Times New Roman"/>
          <w:b/>
          <w:bCs/>
          <w:sz w:val="24"/>
          <w:szCs w:val="24"/>
        </w:rPr>
      </w:pPr>
    </w:p>
    <w:sectPr w:rsidR="00C50189" w:rsidSect="006433BC">
      <w:headerReference w:type="even" r:id="rId14"/>
      <w:headerReference w:type="default" r:id="rId15"/>
      <w:footerReference w:type="even" r:id="rId16"/>
      <w:footerReference w:type="default" r:id="rId17"/>
      <w:headerReference w:type="first" r:id="rId18"/>
      <w:footerReference w:type="first" r:id="rId19"/>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930" w:rsidRDefault="00034930" w:rsidP="00D27C15">
      <w:r>
        <w:separator/>
      </w:r>
    </w:p>
  </w:endnote>
  <w:endnote w:type="continuationSeparator" w:id="0">
    <w:p w:rsidR="00034930" w:rsidRDefault="00034930" w:rsidP="00D2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0E3" w:rsidRDefault="008E6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226194"/>
      <w:docPartObj>
        <w:docPartGallery w:val="Page Numbers (Bottom of Page)"/>
        <w:docPartUnique/>
      </w:docPartObj>
    </w:sdtPr>
    <w:sdtEndPr>
      <w:rPr>
        <w:noProof/>
      </w:rPr>
    </w:sdtEndPr>
    <w:sdtContent>
      <w:p w:rsidR="008E60E3" w:rsidRDefault="008E60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60E3" w:rsidRDefault="008E6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0E3" w:rsidRDefault="008E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930" w:rsidRDefault="00034930" w:rsidP="00D27C15">
      <w:r>
        <w:separator/>
      </w:r>
    </w:p>
  </w:footnote>
  <w:footnote w:type="continuationSeparator" w:id="0">
    <w:p w:rsidR="00034930" w:rsidRDefault="00034930" w:rsidP="00D27C15">
      <w:r>
        <w:continuationSeparator/>
      </w:r>
    </w:p>
  </w:footnote>
  <w:footnote w:id="1">
    <w:p w:rsidR="00D27C15" w:rsidRPr="003B0FB5" w:rsidRDefault="00D27C15" w:rsidP="00D27C15">
      <w:pPr>
        <w:pStyle w:val="FootnoteText"/>
        <w:rPr>
          <w:sz w:val="28"/>
          <w:szCs w:val="28"/>
        </w:rPr>
      </w:pPr>
      <w:r w:rsidRPr="004C01E3">
        <w:rPr>
          <w:rStyle w:val="FootnoteReference"/>
          <w:sz w:val="28"/>
          <w:szCs w:val="28"/>
        </w:rPr>
        <w:footnoteRef/>
      </w:r>
      <w:r w:rsidRPr="004C01E3">
        <w:rPr>
          <w:sz w:val="28"/>
          <w:szCs w:val="28"/>
        </w:rPr>
        <w:t xml:space="preserve"> </w:t>
      </w:r>
      <w:r w:rsidRPr="003B0FB5">
        <w:rPr>
          <w:i/>
          <w:sz w:val="28"/>
          <w:szCs w:val="28"/>
        </w:rPr>
        <w:t>Simpson v. Miller</w:t>
      </w:r>
      <w:r w:rsidRPr="003B0FB5">
        <w:rPr>
          <w:sz w:val="28"/>
          <w:szCs w:val="28"/>
        </w:rPr>
        <w:t xml:space="preserve">, 241 Ariz. 341, 387 P.3d 1270, 1278 ¶31 (2017); </w:t>
      </w:r>
      <w:r w:rsidRPr="003B0FB5">
        <w:rPr>
          <w:i/>
          <w:sz w:val="28"/>
          <w:szCs w:val="28"/>
        </w:rPr>
        <w:t>Chantry v. Astrowsky</w:t>
      </w:r>
      <w:r w:rsidRPr="003B0FB5">
        <w:rPr>
          <w:sz w:val="28"/>
          <w:szCs w:val="28"/>
        </w:rPr>
        <w:t>, 242 Ariz. 355 (App. 2017).</w:t>
      </w:r>
    </w:p>
  </w:footnote>
  <w:footnote w:id="2">
    <w:p w:rsidR="00B72802" w:rsidRPr="003B0FB5" w:rsidRDefault="00B72802">
      <w:pPr>
        <w:pStyle w:val="FootnoteText"/>
        <w:rPr>
          <w:sz w:val="28"/>
          <w:szCs w:val="28"/>
        </w:rPr>
      </w:pPr>
      <w:r w:rsidRPr="003B0FB5">
        <w:rPr>
          <w:rStyle w:val="FootnoteReference"/>
          <w:sz w:val="28"/>
          <w:szCs w:val="28"/>
        </w:rPr>
        <w:footnoteRef/>
      </w:r>
      <w:r w:rsidRPr="003B0FB5">
        <w:rPr>
          <w:sz w:val="28"/>
          <w:szCs w:val="28"/>
        </w:rPr>
        <w:t xml:space="preserve"> </w:t>
      </w:r>
      <w:r w:rsidR="006F0C9E" w:rsidRPr="003B0FB5">
        <w:rPr>
          <w:i/>
          <w:sz w:val="28"/>
          <w:szCs w:val="28"/>
        </w:rPr>
        <w:t>State v. Hon. Wein/</w:t>
      </w:r>
      <w:r w:rsidRPr="003B0FB5">
        <w:rPr>
          <w:i/>
          <w:sz w:val="28"/>
          <w:szCs w:val="28"/>
        </w:rPr>
        <w:t>Goodman</w:t>
      </w:r>
      <w:r w:rsidRPr="003B0FB5">
        <w:rPr>
          <w:sz w:val="28"/>
          <w:szCs w:val="28"/>
        </w:rPr>
        <w:t xml:space="preserve"> No. CR-17-0221-PR ¶ 37</w:t>
      </w:r>
    </w:p>
  </w:footnote>
  <w:footnote w:id="3">
    <w:p w:rsidR="006F0C9E" w:rsidRPr="003B0FB5" w:rsidRDefault="006F0C9E">
      <w:pPr>
        <w:pStyle w:val="FootnoteText"/>
        <w:rPr>
          <w:sz w:val="28"/>
          <w:szCs w:val="28"/>
        </w:rPr>
      </w:pPr>
      <w:r w:rsidRPr="003B0FB5">
        <w:rPr>
          <w:rStyle w:val="FootnoteReference"/>
          <w:sz w:val="28"/>
          <w:szCs w:val="28"/>
        </w:rPr>
        <w:footnoteRef/>
      </w:r>
      <w:r w:rsidRPr="003B0FB5">
        <w:rPr>
          <w:sz w:val="28"/>
          <w:szCs w:val="28"/>
        </w:rPr>
        <w:t xml:space="preserve"> Wein/Goodman ¶ 31</w:t>
      </w:r>
    </w:p>
  </w:footnote>
  <w:footnote w:id="4">
    <w:p w:rsidR="00231E49" w:rsidRPr="003B0FB5" w:rsidRDefault="00231E49">
      <w:pPr>
        <w:pStyle w:val="FootnoteText"/>
        <w:rPr>
          <w:sz w:val="28"/>
          <w:szCs w:val="28"/>
        </w:rPr>
      </w:pPr>
      <w:r w:rsidRPr="003B0FB5">
        <w:rPr>
          <w:rStyle w:val="FootnoteReference"/>
          <w:sz w:val="28"/>
          <w:szCs w:val="28"/>
        </w:rPr>
        <w:footnoteRef/>
      </w:r>
      <w:r w:rsidRPr="003B0FB5">
        <w:rPr>
          <w:sz w:val="28"/>
          <w:szCs w:val="28"/>
        </w:rPr>
        <w:t xml:space="preserve"> </w:t>
      </w:r>
      <w:r w:rsidR="00CA4F68" w:rsidRPr="003B0FB5">
        <w:rPr>
          <w:sz w:val="28"/>
          <w:szCs w:val="28"/>
        </w:rPr>
        <w:t xml:space="preserve">Video of </w:t>
      </w:r>
      <w:hyperlink r:id="rId1" w:history="1">
        <w:r w:rsidR="008E1A35" w:rsidRPr="003B0FB5">
          <w:rPr>
            <w:rStyle w:val="Hyperlink"/>
            <w:sz w:val="28"/>
            <w:szCs w:val="28"/>
          </w:rPr>
          <w:t>Senate Judici</w:t>
        </w:r>
        <w:r w:rsidRPr="003B0FB5">
          <w:rPr>
            <w:rStyle w:val="Hyperlink"/>
            <w:sz w:val="28"/>
            <w:szCs w:val="28"/>
          </w:rPr>
          <w:t>ary Committee 03/15/2018, HB2245 - prohibited bail; sexual conduct; molestation</w:t>
        </w:r>
      </w:hyperlink>
    </w:p>
  </w:footnote>
  <w:footnote w:id="5">
    <w:p w:rsidR="006F0C9E" w:rsidRPr="003B0FB5" w:rsidRDefault="006F0C9E">
      <w:pPr>
        <w:pStyle w:val="FootnoteText"/>
        <w:rPr>
          <w:sz w:val="28"/>
          <w:szCs w:val="28"/>
        </w:rPr>
      </w:pPr>
      <w:r w:rsidRPr="003B0FB5">
        <w:rPr>
          <w:rStyle w:val="FootnoteReference"/>
          <w:sz w:val="28"/>
          <w:szCs w:val="28"/>
        </w:rPr>
        <w:footnoteRef/>
      </w:r>
      <w:r w:rsidRPr="003B0FB5">
        <w:rPr>
          <w:sz w:val="28"/>
          <w:szCs w:val="28"/>
        </w:rPr>
        <w:t xml:space="preserve"> </w:t>
      </w:r>
      <w:r w:rsidR="00CA4F68" w:rsidRPr="003B0FB5">
        <w:rPr>
          <w:i/>
          <w:sz w:val="28"/>
          <w:szCs w:val="28"/>
        </w:rPr>
        <w:t>Wein/</w:t>
      </w:r>
      <w:r w:rsidRPr="003B0FB5">
        <w:rPr>
          <w:i/>
          <w:sz w:val="28"/>
          <w:szCs w:val="28"/>
        </w:rPr>
        <w:t>Goodman</w:t>
      </w:r>
      <w:r w:rsidRPr="003B0FB5">
        <w:rPr>
          <w:sz w:val="28"/>
          <w:szCs w:val="28"/>
        </w:rPr>
        <w:t xml:space="preserve"> ¶ 23</w:t>
      </w:r>
    </w:p>
  </w:footnote>
  <w:footnote w:id="6">
    <w:p w:rsidR="00334165" w:rsidRPr="003B0FB5" w:rsidRDefault="00334165">
      <w:pPr>
        <w:pStyle w:val="FootnoteText"/>
        <w:rPr>
          <w:sz w:val="28"/>
          <w:szCs w:val="28"/>
        </w:rPr>
      </w:pPr>
      <w:r w:rsidRPr="003B0FB5">
        <w:rPr>
          <w:rStyle w:val="FootnoteReference"/>
          <w:sz w:val="28"/>
          <w:szCs w:val="28"/>
        </w:rPr>
        <w:footnoteRef/>
      </w:r>
      <w:r w:rsidRPr="003B0FB5">
        <w:rPr>
          <w:sz w:val="28"/>
          <w:szCs w:val="28"/>
        </w:rPr>
        <w:t xml:space="preserve"> </w:t>
      </w:r>
      <w:r w:rsidR="00CA4F68" w:rsidRPr="003B0FB5">
        <w:rPr>
          <w:i/>
          <w:sz w:val="28"/>
          <w:szCs w:val="28"/>
        </w:rPr>
        <w:t>Wein/</w:t>
      </w:r>
      <w:r w:rsidRPr="003B0FB5">
        <w:rPr>
          <w:i/>
          <w:sz w:val="28"/>
          <w:szCs w:val="28"/>
        </w:rPr>
        <w:t xml:space="preserve">Goodman </w:t>
      </w:r>
      <w:r w:rsidRPr="003B0FB5">
        <w:rPr>
          <w:sz w:val="28"/>
          <w:szCs w:val="28"/>
        </w:rPr>
        <w:t>¶ 24</w:t>
      </w:r>
    </w:p>
  </w:footnote>
  <w:footnote w:id="7">
    <w:p w:rsidR="00334165" w:rsidRPr="003B0FB5" w:rsidRDefault="00334165">
      <w:pPr>
        <w:pStyle w:val="FootnoteText"/>
        <w:rPr>
          <w:sz w:val="28"/>
          <w:szCs w:val="28"/>
        </w:rPr>
      </w:pPr>
      <w:r w:rsidRPr="003B0FB5">
        <w:rPr>
          <w:rStyle w:val="FootnoteReference"/>
          <w:sz w:val="28"/>
          <w:szCs w:val="28"/>
        </w:rPr>
        <w:footnoteRef/>
      </w:r>
      <w:r w:rsidRPr="003B0FB5">
        <w:rPr>
          <w:sz w:val="28"/>
          <w:szCs w:val="28"/>
        </w:rPr>
        <w:t xml:space="preserve"> </w:t>
      </w:r>
      <w:r w:rsidR="00CA4F68" w:rsidRPr="003B0FB5">
        <w:rPr>
          <w:i/>
          <w:sz w:val="28"/>
          <w:szCs w:val="28"/>
        </w:rPr>
        <w:t>Wein/</w:t>
      </w:r>
      <w:r w:rsidRPr="003B0FB5">
        <w:rPr>
          <w:i/>
          <w:sz w:val="28"/>
          <w:szCs w:val="28"/>
        </w:rPr>
        <w:t>Goodman</w:t>
      </w:r>
      <w:r w:rsidRPr="003B0FB5">
        <w:rPr>
          <w:sz w:val="28"/>
          <w:szCs w:val="28"/>
        </w:rPr>
        <w:t xml:space="preserve"> ¶ 25</w:t>
      </w:r>
    </w:p>
  </w:footnote>
  <w:footnote w:id="8">
    <w:p w:rsidR="00BD1C2B" w:rsidRPr="003B0FB5" w:rsidRDefault="00BD1C2B">
      <w:pPr>
        <w:pStyle w:val="FootnoteText"/>
        <w:rPr>
          <w:sz w:val="28"/>
          <w:szCs w:val="28"/>
        </w:rPr>
      </w:pPr>
      <w:r w:rsidRPr="003B0FB5">
        <w:rPr>
          <w:rStyle w:val="FootnoteReference"/>
          <w:sz w:val="28"/>
          <w:szCs w:val="28"/>
        </w:rPr>
        <w:footnoteRef/>
      </w:r>
      <w:r w:rsidRPr="003B0FB5">
        <w:rPr>
          <w:sz w:val="28"/>
          <w:szCs w:val="28"/>
        </w:rPr>
        <w:t xml:space="preserve"> </w:t>
      </w:r>
      <w:r w:rsidR="00CA4F68" w:rsidRPr="003B0FB5">
        <w:rPr>
          <w:i/>
          <w:sz w:val="28"/>
          <w:szCs w:val="28"/>
        </w:rPr>
        <w:t>Wein/</w:t>
      </w:r>
      <w:r w:rsidRPr="003B0FB5">
        <w:rPr>
          <w:i/>
          <w:sz w:val="28"/>
          <w:szCs w:val="28"/>
        </w:rPr>
        <w:t>Goodman</w:t>
      </w:r>
      <w:r w:rsidR="001A6962" w:rsidRPr="003B0FB5">
        <w:rPr>
          <w:sz w:val="28"/>
          <w:szCs w:val="28"/>
        </w:rPr>
        <w:t xml:space="preserve"> </w:t>
      </w:r>
      <w:r w:rsidRPr="003B0FB5">
        <w:rPr>
          <w:sz w:val="28"/>
          <w:szCs w:val="28"/>
        </w:rPr>
        <w:t>¶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0E3" w:rsidRDefault="008E6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0E3" w:rsidRDefault="008E6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0E3" w:rsidRDefault="008E6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FCD5A24"/>
    <w:multiLevelType w:val="hybridMultilevel"/>
    <w:tmpl w:val="4E323BB4"/>
    <w:lvl w:ilvl="0" w:tplc="AB08C89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E630028"/>
    <w:multiLevelType w:val="hybridMultilevel"/>
    <w:tmpl w:val="18DCF0A2"/>
    <w:lvl w:ilvl="0" w:tplc="A894A24E">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C85FEB"/>
    <w:multiLevelType w:val="hybridMultilevel"/>
    <w:tmpl w:val="044AD056"/>
    <w:lvl w:ilvl="0" w:tplc="7F5A3E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9A07D67"/>
    <w:multiLevelType w:val="hybridMultilevel"/>
    <w:tmpl w:val="CAD27B4E"/>
    <w:lvl w:ilvl="0" w:tplc="DBF29086">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E67464"/>
    <w:multiLevelType w:val="hybridMultilevel"/>
    <w:tmpl w:val="4C73E3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5"/>
  </w:num>
  <w:num w:numId="5">
    <w:abstractNumId w:val="13"/>
  </w:num>
  <w:num w:numId="6">
    <w:abstractNumId w:val="16"/>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3"/>
  </w:num>
  <w:num w:numId="21">
    <w:abstractNumId w:val="18"/>
  </w:num>
  <w:num w:numId="22">
    <w:abstractNumId w:val="11"/>
  </w:num>
  <w:num w:numId="23">
    <w:abstractNumId w:val="27"/>
  </w:num>
  <w:num w:numId="24">
    <w:abstractNumId w:val="26"/>
  </w:num>
  <w:num w:numId="25">
    <w:abstractNumId w:val="21"/>
  </w:num>
  <w:num w:numId="26">
    <w:abstractNumId w:val="20"/>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3A"/>
    <w:rsid w:val="00017F1C"/>
    <w:rsid w:val="00034930"/>
    <w:rsid w:val="00044E93"/>
    <w:rsid w:val="00071FEE"/>
    <w:rsid w:val="000A337E"/>
    <w:rsid w:val="000B4B4E"/>
    <w:rsid w:val="000B792E"/>
    <w:rsid w:val="000D0786"/>
    <w:rsid w:val="000F417C"/>
    <w:rsid w:val="000F4D3E"/>
    <w:rsid w:val="0010149A"/>
    <w:rsid w:val="00116A2E"/>
    <w:rsid w:val="00156848"/>
    <w:rsid w:val="00173F0A"/>
    <w:rsid w:val="001A6962"/>
    <w:rsid w:val="001D016B"/>
    <w:rsid w:val="001D4F14"/>
    <w:rsid w:val="00201B53"/>
    <w:rsid w:val="00231E49"/>
    <w:rsid w:val="00241CED"/>
    <w:rsid w:val="00255FD9"/>
    <w:rsid w:val="00283DA4"/>
    <w:rsid w:val="0029663C"/>
    <w:rsid w:val="002A02FD"/>
    <w:rsid w:val="002C4179"/>
    <w:rsid w:val="002C6619"/>
    <w:rsid w:val="00302430"/>
    <w:rsid w:val="0031043A"/>
    <w:rsid w:val="00314CE9"/>
    <w:rsid w:val="00325392"/>
    <w:rsid w:val="00333816"/>
    <w:rsid w:val="00334165"/>
    <w:rsid w:val="00342034"/>
    <w:rsid w:val="00375A55"/>
    <w:rsid w:val="00391535"/>
    <w:rsid w:val="00397051"/>
    <w:rsid w:val="003B0FB5"/>
    <w:rsid w:val="003C2028"/>
    <w:rsid w:val="003C3EAF"/>
    <w:rsid w:val="003D030C"/>
    <w:rsid w:val="003E221B"/>
    <w:rsid w:val="0044382A"/>
    <w:rsid w:val="004C22BF"/>
    <w:rsid w:val="004C657C"/>
    <w:rsid w:val="004F415B"/>
    <w:rsid w:val="004F44DB"/>
    <w:rsid w:val="00557235"/>
    <w:rsid w:val="0056402F"/>
    <w:rsid w:val="00567D70"/>
    <w:rsid w:val="005B5E1D"/>
    <w:rsid w:val="005C4F26"/>
    <w:rsid w:val="00614572"/>
    <w:rsid w:val="006433BC"/>
    <w:rsid w:val="00645252"/>
    <w:rsid w:val="00660A1B"/>
    <w:rsid w:val="00693C4A"/>
    <w:rsid w:val="00694661"/>
    <w:rsid w:val="006962D6"/>
    <w:rsid w:val="006C46DA"/>
    <w:rsid w:val="006D104A"/>
    <w:rsid w:val="006D3D74"/>
    <w:rsid w:val="006E0972"/>
    <w:rsid w:val="006E1C22"/>
    <w:rsid w:val="006F0C9E"/>
    <w:rsid w:val="0070176C"/>
    <w:rsid w:val="00703D0A"/>
    <w:rsid w:val="00724C2A"/>
    <w:rsid w:val="007427C2"/>
    <w:rsid w:val="0077629E"/>
    <w:rsid w:val="0079729F"/>
    <w:rsid w:val="007B3265"/>
    <w:rsid w:val="007B5DF0"/>
    <w:rsid w:val="007E3DDB"/>
    <w:rsid w:val="007F435E"/>
    <w:rsid w:val="007F5F22"/>
    <w:rsid w:val="0080378D"/>
    <w:rsid w:val="008272D5"/>
    <w:rsid w:val="00871D0B"/>
    <w:rsid w:val="0089482F"/>
    <w:rsid w:val="00894C83"/>
    <w:rsid w:val="008B45EC"/>
    <w:rsid w:val="008E1A35"/>
    <w:rsid w:val="008E60E3"/>
    <w:rsid w:val="008E6BD7"/>
    <w:rsid w:val="008E76FE"/>
    <w:rsid w:val="00924B63"/>
    <w:rsid w:val="00943AFE"/>
    <w:rsid w:val="00947FE3"/>
    <w:rsid w:val="009840BF"/>
    <w:rsid w:val="009915AF"/>
    <w:rsid w:val="00997134"/>
    <w:rsid w:val="009D5502"/>
    <w:rsid w:val="009D73D5"/>
    <w:rsid w:val="009E5909"/>
    <w:rsid w:val="009F1E33"/>
    <w:rsid w:val="00A11D46"/>
    <w:rsid w:val="00A42397"/>
    <w:rsid w:val="00A62797"/>
    <w:rsid w:val="00A9204E"/>
    <w:rsid w:val="00AD24B2"/>
    <w:rsid w:val="00AD5122"/>
    <w:rsid w:val="00AD57D9"/>
    <w:rsid w:val="00AE5CA2"/>
    <w:rsid w:val="00AF2247"/>
    <w:rsid w:val="00AF376A"/>
    <w:rsid w:val="00B437BA"/>
    <w:rsid w:val="00B653DE"/>
    <w:rsid w:val="00B72802"/>
    <w:rsid w:val="00B92A4E"/>
    <w:rsid w:val="00BC721B"/>
    <w:rsid w:val="00BD01C9"/>
    <w:rsid w:val="00BD1C2B"/>
    <w:rsid w:val="00BF5DD0"/>
    <w:rsid w:val="00C00465"/>
    <w:rsid w:val="00C13345"/>
    <w:rsid w:val="00C173CB"/>
    <w:rsid w:val="00C22266"/>
    <w:rsid w:val="00C24D69"/>
    <w:rsid w:val="00C50189"/>
    <w:rsid w:val="00C61931"/>
    <w:rsid w:val="00C93611"/>
    <w:rsid w:val="00CA4F68"/>
    <w:rsid w:val="00CE18FA"/>
    <w:rsid w:val="00D24257"/>
    <w:rsid w:val="00D27C15"/>
    <w:rsid w:val="00D31AB6"/>
    <w:rsid w:val="00D94D4F"/>
    <w:rsid w:val="00DA1BDB"/>
    <w:rsid w:val="00DC7403"/>
    <w:rsid w:val="00E045C9"/>
    <w:rsid w:val="00E20195"/>
    <w:rsid w:val="00E64E08"/>
    <w:rsid w:val="00E661FD"/>
    <w:rsid w:val="00EA26D1"/>
    <w:rsid w:val="00EB079E"/>
    <w:rsid w:val="00EB2754"/>
    <w:rsid w:val="00EC55AE"/>
    <w:rsid w:val="00EC584A"/>
    <w:rsid w:val="00ED0ACF"/>
    <w:rsid w:val="00EE042D"/>
    <w:rsid w:val="00EE2A1C"/>
    <w:rsid w:val="00F903E7"/>
    <w:rsid w:val="00FC5293"/>
    <w:rsid w:val="00FD57B8"/>
    <w:rsid w:val="00FD6F5E"/>
    <w:rsid w:val="00FF0FAF"/>
    <w:rsid w:val="00FF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A605"/>
  <w15:docId w15:val="{F4849104-8259-4379-87C5-30B091DD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customStyle="1" w:styleId="Default">
    <w:name w:val="Default"/>
    <w:rsid w:val="0031043A"/>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unhideWhenUsed/>
    <w:qFormat/>
    <w:rsid w:val="00201B53"/>
    <w:pPr>
      <w:ind w:left="720"/>
      <w:contextualSpacing/>
    </w:pPr>
  </w:style>
  <w:style w:type="character" w:styleId="FootnoteReference">
    <w:name w:val="footnote reference"/>
    <w:basedOn w:val="DefaultParagraphFont"/>
    <w:uiPriority w:val="99"/>
    <w:semiHidden/>
    <w:unhideWhenUsed/>
    <w:rsid w:val="00D27C15"/>
    <w:rPr>
      <w:vertAlign w:val="superscript"/>
    </w:rPr>
  </w:style>
  <w:style w:type="character" w:customStyle="1" w:styleId="UnresolvedMention1">
    <w:name w:val="Unresolved Mention1"/>
    <w:basedOn w:val="DefaultParagraphFont"/>
    <w:uiPriority w:val="99"/>
    <w:semiHidden/>
    <w:unhideWhenUsed/>
    <w:rsid w:val="00C936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cts2@courts.az.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azleg.gov/BillStatus/GetDocumentPdf/46145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azleg.gov/BillStatus/GetDocumentPdf/46145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azleg.granicus.com/MediaPlayer.php?view_id=13&amp;clip_id=20915&amp;meta_id=515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ithey\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 xsi:nil="true"/>
    <ApprovalStatus xmlns="4873beb7-5857-4685-be1f-d57550cc96cc" xsi:nil="true"/>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 xsi:nil="true"/>
    <LegacyData xmlns="4873beb7-5857-4685-be1f-d57550cc96cc" xsi:nil="true"/>
    <LocNewPublishedVersionLookup xmlns="4873beb7-5857-4685-be1f-d57550cc96cc" xsi:nil="true"/>
    <NumericId xmlns="4873beb7-5857-4685-be1f-d57550cc96cc" xsi:nil="true"/>
    <TPFriendlyName xmlns="4873beb7-5857-4685-be1f-d57550cc96cc" xsi:nil="true"/>
    <LocOverallPublishStatusLookup xmlns="4873beb7-5857-4685-be1f-d57550cc96cc" xsi:nil="true"/>
    <LocRecommendedHandoff xmlns="4873beb7-5857-4685-be1f-d57550cc96cc" xsi:nil="true"/>
    <BlockPublish xmlns="4873beb7-5857-4685-be1f-d57550cc96cc" xsi:nil="true"/>
    <BusinessGroup xmlns="4873beb7-5857-4685-be1f-d57550cc96cc" xsi:nil="true"/>
    <OpenTemplate xmlns="4873beb7-5857-4685-be1f-d57550cc96cc" xsi:nil="tru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ParentAssetId xmlns="4873beb7-5857-4685-be1f-d57550cc96cc" xsi:nil="true"/>
    <FeatureTagsTaxHTField0 xmlns="4873beb7-5857-4685-be1f-d57550cc96cc">
      <Terms xmlns="http://schemas.microsoft.com/office/infopath/2007/PartnerControls"/>
    </FeatureTagsTaxHTField0>
    <MachineTranslated xmlns="4873beb7-5857-4685-be1f-d57550cc96cc" xsi:nil="true"/>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 xsi:nil="true"/>
    <AcquiredFrom xmlns="4873beb7-5857-4685-be1f-d57550cc96cc" xsi:nil="true"/>
    <AssetStart xmlns="4873beb7-5857-4685-be1f-d57550cc96cc" xsi:nil="true"/>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 xsi:nil="true"/>
    <Downloads xmlns="4873beb7-5857-4685-be1f-d57550cc96cc" xsi:nil="true"/>
    <OOCacheId xmlns="4873beb7-5857-4685-be1f-d57550cc96cc" xsi:nil="true"/>
    <IsDeleted xmlns="4873beb7-5857-4685-be1f-d57550cc96cc" xsi:nil="true"/>
    <LocPublishedDependentAssetsLookup xmlns="4873beb7-5857-4685-be1f-d57550cc96cc" xsi:nil="true"/>
    <AssetExpire xmlns="4873beb7-5857-4685-be1f-d57550cc96cc" xsi:nil="tru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 xsi:nil="true"/>
    <AssetType xmlns="4873beb7-5857-4685-be1f-d57550cc96cc" xsi:nil="tru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 xsi:nil="true"/>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 xsi:nil="true"/>
    <LocLastLocAttemptVersionLookup xmlns="4873beb7-5857-4685-be1f-d57550cc96cc" xsi:nil="true"/>
    <LocProcessedForHandoffsLookup xmlns="4873beb7-5857-4685-be1f-d57550cc96cc" xsi:nil="true"/>
    <TrustLevel xmlns="4873beb7-5857-4685-be1f-d57550cc96cc" xsi:nil="true"/>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 xsi:nil="true"/>
    <TemplateTemplateType xmlns="4873beb7-5857-4685-be1f-d57550cc96cc" xsi:nil="true"/>
    <Markets xmlns="4873beb7-5857-4685-be1f-d57550cc96cc"/>
    <IntlLangReview xmlns="4873beb7-5857-4685-be1f-d57550cc96cc" xsi:nil="true"/>
    <UAProjectedTotalWords xmlns="4873beb7-5857-4685-be1f-d57550cc96cc" xsi:nil="true"/>
    <OutputCachingOn xmlns="4873beb7-5857-4685-be1f-d57550cc96cc" xsi:nil="true"/>
    <AverageRating xmlns="4873beb7-5857-4685-be1f-d57550cc96cc" xsi:nil="true"/>
    <LocMarketGroupTiers2 xmlns="4873beb7-5857-4685-be1f-d57550cc96cc" xsi:nil="true"/>
    <APAuthor xmlns="4873beb7-5857-4685-be1f-d57550cc96cc">
      <UserInfo>
        <DisplayName/>
        <AccountId xsi:nil="true"/>
        <AccountType/>
      </UserInfo>
    </APAuthor>
    <TPCommandLine xmlns="4873beb7-5857-4685-be1f-d57550cc96cc" xsi:nil="true"/>
    <LocManualTestRequired xmlns="4873beb7-5857-4685-be1f-d57550cc96cc" xsi:nil="true"/>
    <TPAppVersion xmlns="4873beb7-5857-4685-be1f-d57550cc96cc" xsi:nil="true"/>
    <EditorialStatus xmlns="4873beb7-5857-4685-be1f-d57550cc96cc" xsi:nil="true"/>
    <LocProcessedForMarketsLookup xmlns="4873beb7-5857-4685-be1f-d57550cc96cc" xsi:nil="true"/>
    <LastModifiedDateTime xmlns="4873beb7-5857-4685-be1f-d57550cc96cc" xsi:nil="true"/>
    <TPLaunchHelpLinkType xmlns="4873beb7-5857-4685-be1f-d57550cc96cc" xsi:nil="true"/>
    <ScenarioTagsTaxHTField0 xmlns="4873beb7-5857-4685-be1f-d57550cc96cc">
      <Terms xmlns="http://schemas.microsoft.com/office/infopath/2007/PartnerControls"/>
    </ScenarioTagsTaxHTField0>
    <OriginalRelease xmlns="4873beb7-5857-4685-be1f-d57550cc96cc" xsi:nil="true"/>
    <LocalizationTagsTaxHTField0 xmlns="4873beb7-5857-4685-be1f-d57550cc96cc">
      <Terms xmlns="http://schemas.microsoft.com/office/infopath/2007/PartnerControls"/>
    </LocalizationTagsTaxHTField0>
    <Manager xmlns="4873beb7-5857-4685-be1f-d57550cc96cc" xsi:nil="true"/>
    <UALocRecommendation xmlns="4873beb7-5857-4685-be1f-d57550cc96cc" xsi:nil="true"/>
    <LocOverallHandbackStatusLookup xmlns="4873beb7-5857-4685-be1f-d57550cc96cc" xsi:nil="true"/>
    <ArtSampleDocs xmlns="4873beb7-5857-4685-be1f-d57550cc96cc" xsi:nil="true"/>
    <UACurrentWords xmlns="4873beb7-5857-4685-be1f-d57550cc96cc" xsi:nil="true"/>
    <ShowIn xmlns="4873beb7-5857-4685-be1f-d57550cc96cc" xsi:nil="true"/>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25779-9E37-4729-A2CC-38200E83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1</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Withey, David</dc:creator>
  <cp:keywords/>
  <dc:description/>
  <cp:lastModifiedBy>Flanagan, Allyson</cp:lastModifiedBy>
  <cp:revision>1</cp:revision>
  <cp:lastPrinted>2018-05-31T19:08:00Z</cp:lastPrinted>
  <dcterms:created xsi:type="dcterms:W3CDTF">2018-07-09T18:12:00Z</dcterms:created>
  <dcterms:modified xsi:type="dcterms:W3CDTF">2018-07-09T18:12:00Z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