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850" w:rsidRDefault="00454850" w:rsidP="00454850">
      <w:pPr>
        <w:jc w:val="both"/>
        <w:rPr>
          <w:sz w:val="28"/>
          <w:szCs w:val="28"/>
        </w:rPr>
      </w:pPr>
      <w:r>
        <w:rPr>
          <w:sz w:val="28"/>
          <w:szCs w:val="28"/>
        </w:rPr>
        <w:t xml:space="preserve">Justice Rebecca White Berch (ret.), Chair </w:t>
      </w:r>
    </w:p>
    <w:p w:rsidR="00454850" w:rsidRDefault="00454850" w:rsidP="00454850">
      <w:pPr>
        <w:jc w:val="both"/>
        <w:rPr>
          <w:sz w:val="28"/>
          <w:szCs w:val="28"/>
        </w:rPr>
      </w:pPr>
      <w:r>
        <w:rPr>
          <w:sz w:val="28"/>
          <w:szCs w:val="28"/>
        </w:rPr>
        <w:t xml:space="preserve">Judge Mark </w:t>
      </w:r>
      <w:r w:rsidR="0085117A">
        <w:rPr>
          <w:sz w:val="28"/>
          <w:szCs w:val="28"/>
        </w:rPr>
        <w:t xml:space="preserve">W. </w:t>
      </w:r>
      <w:r>
        <w:rPr>
          <w:sz w:val="28"/>
          <w:szCs w:val="28"/>
        </w:rPr>
        <w:t>Armstrong (ret.), Co-Chair</w:t>
      </w:r>
    </w:p>
    <w:p w:rsidR="00454850" w:rsidRDefault="00454850" w:rsidP="00454850">
      <w:pPr>
        <w:jc w:val="both"/>
        <w:rPr>
          <w:sz w:val="28"/>
          <w:szCs w:val="28"/>
        </w:rPr>
      </w:pPr>
      <w:r>
        <w:rPr>
          <w:sz w:val="28"/>
          <w:szCs w:val="28"/>
        </w:rPr>
        <w:t>Task Force on the Arizona Rules of Family Law Procedure, Petitioner</w:t>
      </w:r>
    </w:p>
    <w:p w:rsidR="00454850" w:rsidRPr="00955A09" w:rsidRDefault="00454850" w:rsidP="00454850">
      <w:pPr>
        <w:jc w:val="both"/>
        <w:rPr>
          <w:sz w:val="28"/>
          <w:szCs w:val="28"/>
        </w:rPr>
      </w:pPr>
      <w:r w:rsidRPr="00955A09">
        <w:rPr>
          <w:sz w:val="28"/>
          <w:szCs w:val="28"/>
        </w:rPr>
        <w:t>1501 W. Washington St.</w:t>
      </w:r>
    </w:p>
    <w:p w:rsidR="00454850" w:rsidRDefault="00454850" w:rsidP="00454850">
      <w:pPr>
        <w:jc w:val="both"/>
        <w:rPr>
          <w:sz w:val="28"/>
          <w:szCs w:val="28"/>
        </w:rPr>
      </w:pPr>
      <w:r w:rsidRPr="00955A09">
        <w:rPr>
          <w:sz w:val="28"/>
          <w:szCs w:val="28"/>
        </w:rPr>
        <w:t>Phoenix, AZ 85007</w:t>
      </w:r>
    </w:p>
    <w:p w:rsidR="00454850" w:rsidRPr="00955A09" w:rsidRDefault="00454850" w:rsidP="00454850">
      <w:pPr>
        <w:jc w:val="both"/>
        <w:rPr>
          <w:sz w:val="28"/>
          <w:szCs w:val="28"/>
        </w:rPr>
      </w:pPr>
    </w:p>
    <w:p w:rsidR="00454850" w:rsidRDefault="00454850" w:rsidP="00454850">
      <w:pPr>
        <w:spacing w:line="480" w:lineRule="auto"/>
        <w:jc w:val="both"/>
        <w:rPr>
          <w:sz w:val="28"/>
          <w:szCs w:val="28"/>
        </w:rPr>
      </w:pPr>
    </w:p>
    <w:p w:rsidR="00454850" w:rsidRPr="007641DA" w:rsidRDefault="00454850" w:rsidP="00454850">
      <w:pPr>
        <w:spacing w:line="480" w:lineRule="auto"/>
        <w:jc w:val="both"/>
        <w:rPr>
          <w:sz w:val="28"/>
          <w:szCs w:val="28"/>
          <w:u w:val="single"/>
        </w:rPr>
      </w:pPr>
    </w:p>
    <w:p w:rsidR="00454850" w:rsidRPr="00955A09" w:rsidRDefault="00454850" w:rsidP="00454850">
      <w:pPr>
        <w:ind w:left="2160" w:firstLine="720"/>
        <w:jc w:val="both"/>
        <w:rPr>
          <w:sz w:val="28"/>
          <w:szCs w:val="28"/>
        </w:rPr>
      </w:pPr>
      <w:r w:rsidRPr="00955A09">
        <w:rPr>
          <w:sz w:val="28"/>
          <w:szCs w:val="28"/>
        </w:rPr>
        <w:t>SUPREME COURT</w:t>
      </w:r>
      <w:r>
        <w:rPr>
          <w:sz w:val="28"/>
          <w:szCs w:val="28"/>
        </w:rPr>
        <w:t xml:space="preserve"> OF ARIZONA</w:t>
      </w:r>
    </w:p>
    <w:p w:rsidR="00454850" w:rsidRPr="00955A09" w:rsidRDefault="00454850" w:rsidP="00454850">
      <w:pPr>
        <w:jc w:val="both"/>
        <w:rPr>
          <w:sz w:val="28"/>
          <w:szCs w:val="28"/>
        </w:rPr>
      </w:pPr>
    </w:p>
    <w:p w:rsidR="00454850" w:rsidRDefault="00454850" w:rsidP="00454850">
      <w:pPr>
        <w:jc w:val="both"/>
        <w:rPr>
          <w:sz w:val="28"/>
          <w:szCs w:val="28"/>
        </w:rPr>
      </w:pPr>
    </w:p>
    <w:p w:rsidR="00454850" w:rsidRDefault="00454850" w:rsidP="00454850">
      <w:pPr>
        <w:jc w:val="both"/>
        <w:rPr>
          <w:sz w:val="28"/>
          <w:szCs w:val="28"/>
        </w:rPr>
      </w:pPr>
      <w:r>
        <w:rPr>
          <w:sz w:val="28"/>
          <w:szCs w:val="28"/>
        </w:rPr>
        <w:t xml:space="preserve">PETITION TO AMEND THE   </w:t>
      </w:r>
      <w:r>
        <w:rPr>
          <w:sz w:val="28"/>
          <w:szCs w:val="28"/>
        </w:rPr>
        <w:tab/>
        <w:t>)   S</w:t>
      </w:r>
      <w:r w:rsidRPr="00955A09">
        <w:rPr>
          <w:sz w:val="28"/>
          <w:szCs w:val="28"/>
        </w:rPr>
        <w:t>upreme Court No. R-</w:t>
      </w:r>
      <w:r>
        <w:rPr>
          <w:sz w:val="28"/>
          <w:szCs w:val="28"/>
        </w:rPr>
        <w:t>17-0054</w:t>
      </w:r>
    </w:p>
    <w:p w:rsidR="00454850" w:rsidRDefault="00454850" w:rsidP="00454850">
      <w:pPr>
        <w:jc w:val="both"/>
        <w:rPr>
          <w:sz w:val="28"/>
          <w:szCs w:val="28"/>
        </w:rPr>
      </w:pPr>
      <w:r>
        <w:rPr>
          <w:sz w:val="28"/>
          <w:szCs w:val="28"/>
        </w:rPr>
        <w:t>ARIZONA RULES OF FAMILY</w:t>
      </w:r>
      <w:r>
        <w:rPr>
          <w:sz w:val="28"/>
          <w:szCs w:val="28"/>
        </w:rPr>
        <w:tab/>
        <w:t>)</w:t>
      </w:r>
      <w:r>
        <w:rPr>
          <w:sz w:val="28"/>
          <w:szCs w:val="28"/>
        </w:rPr>
        <w:tab/>
      </w:r>
    </w:p>
    <w:p w:rsidR="00454850" w:rsidRDefault="00454850" w:rsidP="00454850">
      <w:pPr>
        <w:ind w:left="4320" w:hanging="4320"/>
        <w:jc w:val="both"/>
        <w:rPr>
          <w:sz w:val="28"/>
          <w:szCs w:val="28"/>
        </w:rPr>
      </w:pPr>
      <w:r>
        <w:rPr>
          <w:sz w:val="28"/>
          <w:szCs w:val="28"/>
        </w:rPr>
        <w:t>LAW PROCEDURE and ARCAP 9    )   Reply</w:t>
      </w:r>
    </w:p>
    <w:p w:rsidR="00454850" w:rsidRDefault="00454850" w:rsidP="00454850">
      <w:pPr>
        <w:jc w:val="both"/>
        <w:rPr>
          <w:sz w:val="28"/>
          <w:szCs w:val="28"/>
        </w:rPr>
      </w:pPr>
      <w:r>
        <w:rPr>
          <w:sz w:val="28"/>
          <w:szCs w:val="28"/>
        </w:rPr>
        <w:t xml:space="preserve">_______________________________)     </w:t>
      </w:r>
    </w:p>
    <w:p w:rsidR="00532AD5" w:rsidRDefault="00532AD5" w:rsidP="00454850"/>
    <w:p w:rsidR="00454850" w:rsidRPr="0007542A" w:rsidRDefault="007222F6" w:rsidP="00454850">
      <w:pPr>
        <w:spacing w:line="480" w:lineRule="auto"/>
        <w:ind w:firstLine="720"/>
        <w:jc w:val="both"/>
        <w:rPr>
          <w:sz w:val="28"/>
          <w:szCs w:val="28"/>
        </w:rPr>
      </w:pPr>
      <w:r>
        <w:rPr>
          <w:sz w:val="28"/>
          <w:szCs w:val="28"/>
        </w:rPr>
        <w:t>As provided by</w:t>
      </w:r>
      <w:r w:rsidR="00454850">
        <w:rPr>
          <w:sz w:val="28"/>
          <w:szCs w:val="28"/>
        </w:rPr>
        <w:t xml:space="preserve"> </w:t>
      </w:r>
      <w:r w:rsidR="00454850" w:rsidRPr="0007542A">
        <w:rPr>
          <w:sz w:val="28"/>
          <w:szCs w:val="28"/>
        </w:rPr>
        <w:t xml:space="preserve">Rule 28 of the Rules of the Arizona Supreme Court and the Court’s </w:t>
      </w:r>
      <w:r w:rsidR="00454850">
        <w:rPr>
          <w:sz w:val="28"/>
          <w:szCs w:val="28"/>
        </w:rPr>
        <w:t>scheduling o</w:t>
      </w:r>
      <w:r w:rsidR="00454850" w:rsidRPr="0007542A">
        <w:rPr>
          <w:sz w:val="28"/>
          <w:szCs w:val="28"/>
        </w:rPr>
        <w:t xml:space="preserve">rder in this matter, the Task Force on the Arizona Rules of </w:t>
      </w:r>
      <w:r w:rsidR="00454850">
        <w:rPr>
          <w:sz w:val="28"/>
          <w:szCs w:val="28"/>
        </w:rPr>
        <w:t>Family Law</w:t>
      </w:r>
      <w:r w:rsidR="00454850" w:rsidRPr="0007542A">
        <w:rPr>
          <w:sz w:val="28"/>
          <w:szCs w:val="28"/>
        </w:rPr>
        <w:t xml:space="preserve"> Procedure (“Task Force”) </w:t>
      </w:r>
      <w:r w:rsidR="00454850">
        <w:rPr>
          <w:sz w:val="28"/>
          <w:szCs w:val="28"/>
        </w:rPr>
        <w:t>submits</w:t>
      </w:r>
      <w:r w:rsidR="00454850" w:rsidRPr="0007542A">
        <w:rPr>
          <w:sz w:val="28"/>
          <w:szCs w:val="28"/>
        </w:rPr>
        <w:t xml:space="preserve"> this Reply. </w:t>
      </w:r>
      <w:r w:rsidR="00D362B9">
        <w:rPr>
          <w:sz w:val="28"/>
          <w:szCs w:val="28"/>
        </w:rPr>
        <w:t xml:space="preserve"> </w:t>
      </w:r>
      <w:r w:rsidR="00454850">
        <w:rPr>
          <w:sz w:val="28"/>
          <w:szCs w:val="28"/>
        </w:rPr>
        <w:t xml:space="preserve">The </w:t>
      </w:r>
      <w:r w:rsidR="004204A4">
        <w:rPr>
          <w:sz w:val="28"/>
          <w:szCs w:val="28"/>
        </w:rPr>
        <w:t>A</w:t>
      </w:r>
      <w:r w:rsidR="00454850">
        <w:rPr>
          <w:sz w:val="28"/>
          <w:szCs w:val="28"/>
        </w:rPr>
        <w:t xml:space="preserve">ppendix to this </w:t>
      </w:r>
      <w:r>
        <w:rPr>
          <w:sz w:val="28"/>
          <w:szCs w:val="28"/>
        </w:rPr>
        <w:t>Reply</w:t>
      </w:r>
      <w:r w:rsidR="00454850">
        <w:rPr>
          <w:sz w:val="28"/>
          <w:szCs w:val="28"/>
        </w:rPr>
        <w:t xml:space="preserve"> </w:t>
      </w:r>
      <w:r w:rsidR="004204A4">
        <w:rPr>
          <w:sz w:val="28"/>
          <w:szCs w:val="28"/>
        </w:rPr>
        <w:t>contains</w:t>
      </w:r>
      <w:r>
        <w:rPr>
          <w:sz w:val="28"/>
          <w:szCs w:val="28"/>
        </w:rPr>
        <w:t xml:space="preserve"> the proposed rules</w:t>
      </w:r>
      <w:r w:rsidR="006E6C75">
        <w:rPr>
          <w:sz w:val="28"/>
          <w:szCs w:val="28"/>
        </w:rPr>
        <w:t>,</w:t>
      </w:r>
      <w:r w:rsidR="00AC7BDA">
        <w:rPr>
          <w:sz w:val="28"/>
          <w:szCs w:val="28"/>
        </w:rPr>
        <w:t xml:space="preserve"> includ</w:t>
      </w:r>
      <w:r w:rsidR="006E6C75">
        <w:rPr>
          <w:sz w:val="28"/>
          <w:szCs w:val="28"/>
        </w:rPr>
        <w:t>ing</w:t>
      </w:r>
      <w:r w:rsidR="00454850">
        <w:rPr>
          <w:sz w:val="28"/>
          <w:szCs w:val="28"/>
        </w:rPr>
        <w:t xml:space="preserve"> </w:t>
      </w:r>
      <w:r>
        <w:rPr>
          <w:sz w:val="28"/>
          <w:szCs w:val="28"/>
        </w:rPr>
        <w:t>Petit</w:t>
      </w:r>
      <w:r w:rsidR="004204A4">
        <w:rPr>
          <w:sz w:val="28"/>
          <w:szCs w:val="28"/>
        </w:rPr>
        <w:t>ioner’s newly suggested changes.</w:t>
      </w:r>
    </w:p>
    <w:p w:rsidR="00454850" w:rsidRPr="009701B8" w:rsidRDefault="009701B8" w:rsidP="00DB0CFB">
      <w:pPr>
        <w:pStyle w:val="ListParagraph"/>
        <w:numPr>
          <w:ilvl w:val="0"/>
          <w:numId w:val="2"/>
        </w:numPr>
        <w:spacing w:line="480" w:lineRule="auto"/>
        <w:ind w:left="0" w:firstLine="720"/>
        <w:rPr>
          <w:rFonts w:ascii="Times New Roman" w:hAnsi="Times New Roman" w:cs="Times New Roman"/>
          <w:b/>
          <w:sz w:val="28"/>
          <w:szCs w:val="28"/>
          <w:u w:val="single"/>
        </w:rPr>
      </w:pPr>
      <w:r>
        <w:rPr>
          <w:rFonts w:ascii="Times New Roman" w:hAnsi="Times New Roman" w:cs="Times New Roman"/>
          <w:b/>
          <w:sz w:val="28"/>
          <w:szCs w:val="28"/>
          <w:u w:val="single"/>
        </w:rPr>
        <w:t>Introduction</w:t>
      </w:r>
      <w:r w:rsidR="00DB0CFB" w:rsidRPr="00DB0CFB">
        <w:rPr>
          <w:rFonts w:ascii="Times New Roman" w:hAnsi="Times New Roman" w:cs="Times New Roman"/>
          <w:b/>
          <w:sz w:val="28"/>
          <w:szCs w:val="28"/>
          <w:u w:val="single"/>
        </w:rPr>
        <w:t>.</w:t>
      </w:r>
      <w:r w:rsidR="00D362B9">
        <w:rPr>
          <w:rFonts w:ascii="Times New Roman" w:hAnsi="Times New Roman" w:cs="Times New Roman"/>
          <w:b/>
          <w:sz w:val="28"/>
          <w:szCs w:val="28"/>
        </w:rPr>
        <w:t xml:space="preserve">  </w:t>
      </w:r>
      <w:r w:rsidR="00DB0CFB">
        <w:rPr>
          <w:rFonts w:ascii="Times New Roman" w:hAnsi="Times New Roman" w:cs="Times New Roman"/>
          <w:sz w:val="28"/>
          <w:szCs w:val="28"/>
        </w:rPr>
        <w:t>Unlike the Civil and Criminal Rules Task Forces, the Family Law Rules Task Force requested a single comment period</w:t>
      </w:r>
      <w:r>
        <w:rPr>
          <w:rFonts w:ascii="Times New Roman" w:hAnsi="Times New Roman" w:cs="Times New Roman"/>
          <w:sz w:val="28"/>
          <w:szCs w:val="28"/>
        </w:rPr>
        <w:t xml:space="preserve"> on its rule petition</w:t>
      </w:r>
      <w:r w:rsidR="00DB0CFB">
        <w:rPr>
          <w:rFonts w:ascii="Times New Roman" w:hAnsi="Times New Roman" w:cs="Times New Roman"/>
          <w:sz w:val="28"/>
          <w:szCs w:val="28"/>
        </w:rPr>
        <w:t xml:space="preserve">.  </w:t>
      </w:r>
      <w:r>
        <w:rPr>
          <w:rFonts w:ascii="Times New Roman" w:hAnsi="Times New Roman" w:cs="Times New Roman"/>
          <w:sz w:val="28"/>
          <w:szCs w:val="28"/>
        </w:rPr>
        <w:t>This Task Force</w:t>
      </w:r>
      <w:r w:rsidR="00DB0CFB">
        <w:rPr>
          <w:rFonts w:ascii="Times New Roman" w:hAnsi="Times New Roman" w:cs="Times New Roman"/>
          <w:sz w:val="28"/>
          <w:szCs w:val="28"/>
        </w:rPr>
        <w:t xml:space="preserve"> did so because </w:t>
      </w:r>
      <w:r w:rsidR="00DB0CFB" w:rsidRPr="00DB0CFB">
        <w:rPr>
          <w:rFonts w:ascii="Times New Roman" w:hAnsi="Times New Roman" w:cs="Times New Roman"/>
          <w:sz w:val="28"/>
          <w:szCs w:val="28"/>
        </w:rPr>
        <w:t>it had the opportunity to solicit pre-filing comments.  The Task Force received almost twenty thoughtful comments</w:t>
      </w:r>
      <w:r>
        <w:rPr>
          <w:rFonts w:ascii="Times New Roman" w:hAnsi="Times New Roman" w:cs="Times New Roman"/>
          <w:sz w:val="28"/>
          <w:szCs w:val="28"/>
        </w:rPr>
        <w:t xml:space="preserve"> before filing its petition</w:t>
      </w:r>
      <w:r w:rsidR="00DB0CFB" w:rsidRPr="00DB0CFB">
        <w:rPr>
          <w:rFonts w:ascii="Times New Roman" w:hAnsi="Times New Roman" w:cs="Times New Roman"/>
          <w:sz w:val="28"/>
          <w:szCs w:val="28"/>
        </w:rPr>
        <w:t>, some of them raising multiple issues, which the Task Force considered at a meeting on February 16, 2018.</w:t>
      </w:r>
      <w:r w:rsidR="00DB0CFB">
        <w:rPr>
          <w:sz w:val="28"/>
          <w:szCs w:val="28"/>
        </w:rPr>
        <w:t xml:space="preserve">  </w:t>
      </w:r>
      <w:r w:rsidR="00D362B9">
        <w:rPr>
          <w:rFonts w:ascii="Times New Roman" w:hAnsi="Times New Roman" w:cs="Times New Roman"/>
          <w:sz w:val="28"/>
          <w:szCs w:val="28"/>
        </w:rPr>
        <w:t>T</w:t>
      </w:r>
      <w:r w:rsidR="00DB0CFB">
        <w:rPr>
          <w:rFonts w:ascii="Times New Roman" w:hAnsi="Times New Roman" w:cs="Times New Roman"/>
          <w:sz w:val="28"/>
          <w:szCs w:val="28"/>
        </w:rPr>
        <w:t xml:space="preserve">his effort </w:t>
      </w:r>
      <w:r w:rsidR="007222F6">
        <w:rPr>
          <w:rFonts w:ascii="Times New Roman" w:hAnsi="Times New Roman" w:cs="Times New Roman"/>
          <w:sz w:val="28"/>
          <w:szCs w:val="28"/>
        </w:rPr>
        <w:t>allowed the rules appended to the</w:t>
      </w:r>
      <w:r w:rsidR="00DB0CFB">
        <w:rPr>
          <w:rFonts w:ascii="Times New Roman" w:hAnsi="Times New Roman" w:cs="Times New Roman"/>
          <w:sz w:val="28"/>
          <w:szCs w:val="28"/>
        </w:rPr>
        <w:t xml:space="preserve"> original petition</w:t>
      </w:r>
      <w:r w:rsidR="007222F6">
        <w:rPr>
          <w:rFonts w:ascii="Times New Roman" w:hAnsi="Times New Roman" w:cs="Times New Roman"/>
          <w:sz w:val="28"/>
          <w:szCs w:val="28"/>
        </w:rPr>
        <w:t xml:space="preserve"> to be a better work product, and </w:t>
      </w:r>
      <w:r w:rsidR="00DB0CFB">
        <w:rPr>
          <w:rFonts w:ascii="Times New Roman" w:hAnsi="Times New Roman" w:cs="Times New Roman"/>
          <w:sz w:val="28"/>
          <w:szCs w:val="28"/>
        </w:rPr>
        <w:t xml:space="preserve">probably minimized the number of formal </w:t>
      </w:r>
      <w:r w:rsidR="00DB0CFB">
        <w:rPr>
          <w:rFonts w:ascii="Times New Roman" w:hAnsi="Times New Roman" w:cs="Times New Roman"/>
          <w:sz w:val="28"/>
          <w:szCs w:val="28"/>
        </w:rPr>
        <w:lastRenderedPageBreak/>
        <w:t>comments</w:t>
      </w:r>
      <w:r w:rsidR="00DB0CFB">
        <w:rPr>
          <w:rFonts w:ascii="Times New Roman" w:hAnsi="Times New Roman" w:cs="Times New Roman"/>
          <w:b/>
          <w:sz w:val="28"/>
          <w:szCs w:val="28"/>
        </w:rPr>
        <w:t xml:space="preserve"> </w:t>
      </w:r>
      <w:r w:rsidR="00DB0CFB">
        <w:rPr>
          <w:rFonts w:ascii="Times New Roman" w:hAnsi="Times New Roman" w:cs="Times New Roman"/>
          <w:sz w:val="28"/>
          <w:szCs w:val="28"/>
        </w:rPr>
        <w:t>submitted during the</w:t>
      </w:r>
      <w:r>
        <w:rPr>
          <w:rFonts w:ascii="Times New Roman" w:hAnsi="Times New Roman" w:cs="Times New Roman"/>
          <w:sz w:val="28"/>
          <w:szCs w:val="28"/>
        </w:rPr>
        <w:t xml:space="preserve"> subsequent</w:t>
      </w:r>
      <w:r w:rsidR="00DB0CFB">
        <w:rPr>
          <w:rFonts w:ascii="Times New Roman" w:hAnsi="Times New Roman" w:cs="Times New Roman"/>
          <w:sz w:val="28"/>
          <w:szCs w:val="28"/>
        </w:rPr>
        <w:t xml:space="preserve"> public comment period.  Five comments were posted on the Rules Forum</w:t>
      </w:r>
      <w:r w:rsidR="007222F6">
        <w:rPr>
          <w:rFonts w:ascii="Times New Roman" w:hAnsi="Times New Roman" w:cs="Times New Roman"/>
          <w:sz w:val="28"/>
          <w:szCs w:val="28"/>
        </w:rPr>
        <w:t xml:space="preserve"> during the </w:t>
      </w:r>
      <w:r w:rsidR="00F05C90">
        <w:rPr>
          <w:rFonts w:ascii="Times New Roman" w:hAnsi="Times New Roman" w:cs="Times New Roman"/>
          <w:sz w:val="28"/>
          <w:szCs w:val="28"/>
        </w:rPr>
        <w:t xml:space="preserve">R-17-0054 </w:t>
      </w:r>
      <w:r w:rsidR="007222F6">
        <w:rPr>
          <w:rFonts w:ascii="Times New Roman" w:hAnsi="Times New Roman" w:cs="Times New Roman"/>
          <w:sz w:val="28"/>
          <w:szCs w:val="28"/>
        </w:rPr>
        <w:t>public comment period</w:t>
      </w:r>
      <w:r w:rsidR="00DB0CFB">
        <w:rPr>
          <w:rFonts w:ascii="Times New Roman" w:hAnsi="Times New Roman" w:cs="Times New Roman"/>
          <w:sz w:val="28"/>
          <w:szCs w:val="28"/>
        </w:rPr>
        <w:t xml:space="preserve">, and an equal number of informal comments were transmitted to Task Force staff.  </w:t>
      </w:r>
      <w:r>
        <w:rPr>
          <w:rFonts w:ascii="Times New Roman" w:hAnsi="Times New Roman" w:cs="Times New Roman"/>
          <w:sz w:val="28"/>
          <w:szCs w:val="28"/>
        </w:rPr>
        <w:t>The Rules Forum postings included comments from the State Bar of Arizona and from Pima County’s family law bench</w:t>
      </w:r>
      <w:r w:rsidR="009B6E9C">
        <w:rPr>
          <w:rFonts w:ascii="Times New Roman" w:hAnsi="Times New Roman" w:cs="Times New Roman"/>
          <w:sz w:val="28"/>
          <w:szCs w:val="28"/>
        </w:rPr>
        <w:t>.</w:t>
      </w:r>
      <w:r w:rsidR="006E2F8F">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w:t>
      </w:r>
      <w:r w:rsidR="00AC7BDA">
        <w:rPr>
          <w:rFonts w:ascii="Times New Roman" w:hAnsi="Times New Roman" w:cs="Times New Roman"/>
          <w:sz w:val="28"/>
          <w:szCs w:val="28"/>
        </w:rPr>
        <w:t xml:space="preserve"> </w:t>
      </w:r>
      <w:r>
        <w:rPr>
          <w:rFonts w:ascii="Times New Roman" w:hAnsi="Times New Roman" w:cs="Times New Roman"/>
          <w:sz w:val="28"/>
          <w:szCs w:val="28"/>
        </w:rPr>
        <w:t xml:space="preserve">The latter comment addressed 33 rule provisions, some </w:t>
      </w:r>
      <w:r w:rsidR="00AC7BDA">
        <w:rPr>
          <w:rFonts w:ascii="Times New Roman" w:hAnsi="Times New Roman" w:cs="Times New Roman"/>
          <w:sz w:val="28"/>
          <w:szCs w:val="28"/>
        </w:rPr>
        <w:t xml:space="preserve">by </w:t>
      </w:r>
      <w:r>
        <w:rPr>
          <w:rFonts w:ascii="Times New Roman" w:hAnsi="Times New Roman" w:cs="Times New Roman"/>
          <w:sz w:val="28"/>
          <w:szCs w:val="28"/>
        </w:rPr>
        <w:t>noting typographical errors or making syntactical suggestions, and others</w:t>
      </w:r>
      <w:r w:rsidR="00AC7BDA">
        <w:rPr>
          <w:rFonts w:ascii="Times New Roman" w:hAnsi="Times New Roman" w:cs="Times New Roman"/>
          <w:sz w:val="28"/>
          <w:szCs w:val="28"/>
        </w:rPr>
        <w:t xml:space="preserve"> by</w:t>
      </w:r>
      <w:r>
        <w:rPr>
          <w:rFonts w:ascii="Times New Roman" w:hAnsi="Times New Roman" w:cs="Times New Roman"/>
          <w:sz w:val="28"/>
          <w:szCs w:val="28"/>
        </w:rPr>
        <w:t xml:space="preserve"> raising substantive issues.  The Task Force met on June 11, 2018 to discuss the</w:t>
      </w:r>
      <w:r w:rsidR="007222F6">
        <w:rPr>
          <w:rFonts w:ascii="Times New Roman" w:hAnsi="Times New Roman" w:cs="Times New Roman"/>
          <w:sz w:val="28"/>
          <w:szCs w:val="28"/>
        </w:rPr>
        <w:t xml:space="preserve"> formal and informal</w:t>
      </w:r>
      <w:r>
        <w:rPr>
          <w:rFonts w:ascii="Times New Roman" w:hAnsi="Times New Roman" w:cs="Times New Roman"/>
          <w:sz w:val="28"/>
          <w:szCs w:val="28"/>
        </w:rPr>
        <w:t xml:space="preserve"> comments.</w:t>
      </w:r>
      <w:r w:rsidR="009B6E9C">
        <w:rPr>
          <w:rStyle w:val="FootnoteReference"/>
          <w:rFonts w:ascii="Times New Roman" w:hAnsi="Times New Roman" w:cs="Times New Roman"/>
          <w:sz w:val="28"/>
          <w:szCs w:val="28"/>
        </w:rPr>
        <w:footnoteReference w:id="2"/>
      </w:r>
    </w:p>
    <w:p w:rsidR="009701B8" w:rsidRDefault="006E2F8F" w:rsidP="006E2F8F">
      <w:pPr>
        <w:pStyle w:val="ListParagraph"/>
        <w:numPr>
          <w:ilvl w:val="0"/>
          <w:numId w:val="2"/>
        </w:numPr>
        <w:spacing w:after="0" w:line="480" w:lineRule="auto"/>
        <w:ind w:left="0" w:firstLine="720"/>
        <w:rPr>
          <w:rFonts w:ascii="Times New Roman" w:hAnsi="Times New Roman" w:cs="Times New Roman"/>
          <w:sz w:val="28"/>
          <w:szCs w:val="28"/>
        </w:rPr>
      </w:pPr>
      <w:r w:rsidRPr="006E2F8F">
        <w:rPr>
          <w:rFonts w:ascii="Times New Roman" w:hAnsi="Times New Roman" w:cs="Times New Roman"/>
          <w:b/>
          <w:sz w:val="28"/>
          <w:szCs w:val="28"/>
        </w:rPr>
        <w:t xml:space="preserve"> Discussion of Predominant Issues.</w:t>
      </w:r>
      <w:r>
        <w:rPr>
          <w:rFonts w:ascii="Times New Roman" w:hAnsi="Times New Roman" w:cs="Times New Roman"/>
          <w:sz w:val="28"/>
          <w:szCs w:val="28"/>
        </w:rPr>
        <w:t xml:space="preserve"> </w:t>
      </w:r>
      <w:r w:rsidR="00D362B9">
        <w:rPr>
          <w:rFonts w:ascii="Times New Roman" w:hAnsi="Times New Roman" w:cs="Times New Roman"/>
          <w:sz w:val="28"/>
          <w:szCs w:val="28"/>
        </w:rPr>
        <w:t xml:space="preserve"> </w:t>
      </w:r>
      <w:r w:rsidR="00A068C5">
        <w:rPr>
          <w:rFonts w:ascii="Times New Roman" w:hAnsi="Times New Roman" w:cs="Times New Roman"/>
          <w:sz w:val="28"/>
          <w:szCs w:val="28"/>
        </w:rPr>
        <w:t>The</w:t>
      </w:r>
      <w:r w:rsidR="009701B8">
        <w:rPr>
          <w:rFonts w:ascii="Times New Roman" w:hAnsi="Times New Roman" w:cs="Times New Roman"/>
          <w:sz w:val="28"/>
          <w:szCs w:val="28"/>
        </w:rPr>
        <w:t xml:space="preserve"> comments</w:t>
      </w:r>
      <w:r w:rsidR="00C5163E">
        <w:rPr>
          <w:rFonts w:ascii="Times New Roman" w:hAnsi="Times New Roman" w:cs="Times New Roman"/>
          <w:sz w:val="28"/>
          <w:szCs w:val="28"/>
        </w:rPr>
        <w:t xml:space="preserve"> </w:t>
      </w:r>
      <w:r w:rsidR="00A068C5">
        <w:rPr>
          <w:rFonts w:ascii="Times New Roman" w:hAnsi="Times New Roman" w:cs="Times New Roman"/>
          <w:sz w:val="28"/>
          <w:szCs w:val="28"/>
        </w:rPr>
        <w:t>posed</w:t>
      </w:r>
      <w:r w:rsidR="00BC4249">
        <w:rPr>
          <w:rFonts w:ascii="Times New Roman" w:hAnsi="Times New Roman" w:cs="Times New Roman"/>
          <w:sz w:val="28"/>
          <w:szCs w:val="28"/>
        </w:rPr>
        <w:t xml:space="preserve"> three</w:t>
      </w:r>
      <w:r w:rsidR="00C5163E">
        <w:rPr>
          <w:rFonts w:ascii="Times New Roman" w:hAnsi="Times New Roman" w:cs="Times New Roman"/>
          <w:sz w:val="28"/>
          <w:szCs w:val="28"/>
        </w:rPr>
        <w:t xml:space="preserve"> </w:t>
      </w:r>
      <w:r w:rsidR="007222F6">
        <w:rPr>
          <w:rFonts w:ascii="Times New Roman" w:hAnsi="Times New Roman" w:cs="Times New Roman"/>
          <w:sz w:val="28"/>
          <w:szCs w:val="28"/>
        </w:rPr>
        <w:t>predominant</w:t>
      </w:r>
      <w:r w:rsidR="00BC4249">
        <w:rPr>
          <w:rFonts w:ascii="Times New Roman" w:hAnsi="Times New Roman" w:cs="Times New Roman"/>
          <w:sz w:val="28"/>
          <w:szCs w:val="28"/>
        </w:rPr>
        <w:t xml:space="preserve"> issues</w:t>
      </w:r>
      <w:r w:rsidR="009701B8">
        <w:rPr>
          <w:rFonts w:ascii="Times New Roman" w:hAnsi="Times New Roman" w:cs="Times New Roman"/>
          <w:sz w:val="28"/>
          <w:szCs w:val="28"/>
        </w:rPr>
        <w:t>.  First, d</w:t>
      </w:r>
      <w:r w:rsidR="00AC7BDA">
        <w:rPr>
          <w:rFonts w:ascii="Times New Roman" w:hAnsi="Times New Roman" w:cs="Times New Roman"/>
          <w:sz w:val="28"/>
          <w:szCs w:val="28"/>
        </w:rPr>
        <w:t>o</w:t>
      </w:r>
      <w:r w:rsidR="009701B8">
        <w:rPr>
          <w:rFonts w:ascii="Times New Roman" w:hAnsi="Times New Roman" w:cs="Times New Roman"/>
          <w:sz w:val="28"/>
          <w:szCs w:val="28"/>
        </w:rPr>
        <w:t xml:space="preserve"> the proposed rules clearly and accurately distinguish the use</w:t>
      </w:r>
      <w:r w:rsidR="00912980">
        <w:rPr>
          <w:rFonts w:ascii="Times New Roman" w:hAnsi="Times New Roman" w:cs="Times New Roman"/>
          <w:sz w:val="28"/>
          <w:szCs w:val="28"/>
        </w:rPr>
        <w:t>s</w:t>
      </w:r>
      <w:r w:rsidR="009701B8">
        <w:rPr>
          <w:rFonts w:ascii="Times New Roman" w:hAnsi="Times New Roman" w:cs="Times New Roman"/>
          <w:sz w:val="28"/>
          <w:szCs w:val="28"/>
        </w:rPr>
        <w:t xml:space="preserve"> of a summons </w:t>
      </w:r>
      <w:r w:rsidR="00912980">
        <w:rPr>
          <w:rFonts w:ascii="Times New Roman" w:hAnsi="Times New Roman" w:cs="Times New Roman"/>
          <w:sz w:val="28"/>
          <w:szCs w:val="28"/>
        </w:rPr>
        <w:t>and</w:t>
      </w:r>
      <w:r w:rsidR="009701B8">
        <w:rPr>
          <w:rFonts w:ascii="Times New Roman" w:hAnsi="Times New Roman" w:cs="Times New Roman"/>
          <w:sz w:val="28"/>
          <w:szCs w:val="28"/>
        </w:rPr>
        <w:t xml:space="preserve"> </w:t>
      </w:r>
      <w:r w:rsidR="007222F6">
        <w:rPr>
          <w:rFonts w:ascii="Times New Roman" w:hAnsi="Times New Roman" w:cs="Times New Roman"/>
          <w:sz w:val="28"/>
          <w:szCs w:val="28"/>
        </w:rPr>
        <w:t xml:space="preserve">an </w:t>
      </w:r>
      <w:r w:rsidR="009701B8">
        <w:rPr>
          <w:rFonts w:ascii="Times New Roman" w:hAnsi="Times New Roman" w:cs="Times New Roman"/>
          <w:sz w:val="28"/>
          <w:szCs w:val="28"/>
        </w:rPr>
        <w:t>order to appear?</w:t>
      </w:r>
      <w:r w:rsidR="00AC7BDA">
        <w:rPr>
          <w:rFonts w:ascii="Times New Roman" w:hAnsi="Times New Roman" w:cs="Times New Roman"/>
          <w:sz w:val="28"/>
          <w:szCs w:val="28"/>
        </w:rPr>
        <w:t xml:space="preserve"> </w:t>
      </w:r>
      <w:r w:rsidR="009701B8">
        <w:rPr>
          <w:rFonts w:ascii="Times New Roman" w:hAnsi="Times New Roman" w:cs="Times New Roman"/>
          <w:sz w:val="28"/>
          <w:szCs w:val="28"/>
        </w:rPr>
        <w:t xml:space="preserve"> Second, does proposed Rule 41(m), which allows a judicial officer to include</w:t>
      </w:r>
      <w:r w:rsidR="001B3175">
        <w:rPr>
          <w:rFonts w:ascii="Times New Roman" w:hAnsi="Times New Roman" w:cs="Times New Roman"/>
          <w:sz w:val="28"/>
          <w:szCs w:val="28"/>
        </w:rPr>
        <w:t xml:space="preserve"> provisions such as </w:t>
      </w:r>
      <w:r w:rsidR="009701B8">
        <w:rPr>
          <w:rFonts w:ascii="Times New Roman" w:hAnsi="Times New Roman" w:cs="Times New Roman"/>
          <w:sz w:val="28"/>
          <w:szCs w:val="28"/>
        </w:rPr>
        <w:t>child support</w:t>
      </w:r>
      <w:r w:rsidR="001B3175">
        <w:rPr>
          <w:rFonts w:ascii="Times New Roman" w:hAnsi="Times New Roman" w:cs="Times New Roman"/>
          <w:sz w:val="28"/>
          <w:szCs w:val="28"/>
        </w:rPr>
        <w:t xml:space="preserve"> and</w:t>
      </w:r>
      <w:r w:rsidR="009701B8">
        <w:rPr>
          <w:rFonts w:ascii="Times New Roman" w:hAnsi="Times New Roman" w:cs="Times New Roman"/>
          <w:sz w:val="28"/>
          <w:szCs w:val="28"/>
        </w:rPr>
        <w:t xml:space="preserve"> </w:t>
      </w:r>
      <w:r w:rsidR="001B3175">
        <w:rPr>
          <w:rFonts w:ascii="Times New Roman" w:hAnsi="Times New Roman" w:cs="Times New Roman"/>
          <w:sz w:val="28"/>
          <w:szCs w:val="28"/>
        </w:rPr>
        <w:t xml:space="preserve">spousal maintenance in a default </w:t>
      </w:r>
      <w:r w:rsidR="00A42179">
        <w:rPr>
          <w:rFonts w:ascii="Times New Roman" w:hAnsi="Times New Roman" w:cs="Times New Roman"/>
          <w:sz w:val="28"/>
          <w:szCs w:val="28"/>
        </w:rPr>
        <w:t>decree</w:t>
      </w:r>
      <w:r w:rsidR="001B3175">
        <w:rPr>
          <w:rFonts w:ascii="Times New Roman" w:hAnsi="Times New Roman" w:cs="Times New Roman"/>
          <w:sz w:val="28"/>
          <w:szCs w:val="28"/>
        </w:rPr>
        <w:t xml:space="preserve"> entered after service by publication</w:t>
      </w:r>
      <w:r w:rsidR="00D415AC">
        <w:rPr>
          <w:rFonts w:ascii="Times New Roman" w:hAnsi="Times New Roman" w:cs="Times New Roman"/>
          <w:sz w:val="28"/>
          <w:szCs w:val="28"/>
        </w:rPr>
        <w:t>,</w:t>
      </w:r>
      <w:r w:rsidR="001B3175">
        <w:rPr>
          <w:rFonts w:ascii="Times New Roman" w:hAnsi="Times New Roman" w:cs="Times New Roman"/>
          <w:sz w:val="28"/>
          <w:szCs w:val="28"/>
        </w:rPr>
        <w:t xml:space="preserve"> </w:t>
      </w:r>
      <w:r w:rsidR="009701B8">
        <w:rPr>
          <w:rFonts w:ascii="Times New Roman" w:hAnsi="Times New Roman" w:cs="Times New Roman"/>
          <w:sz w:val="28"/>
          <w:szCs w:val="28"/>
        </w:rPr>
        <w:t xml:space="preserve">meet due process requirements? </w:t>
      </w:r>
      <w:r w:rsidR="00D362B9">
        <w:rPr>
          <w:rFonts w:ascii="Times New Roman" w:hAnsi="Times New Roman" w:cs="Times New Roman"/>
          <w:sz w:val="28"/>
          <w:szCs w:val="28"/>
        </w:rPr>
        <w:t xml:space="preserve"> </w:t>
      </w:r>
      <w:r w:rsidR="009701B8">
        <w:rPr>
          <w:rFonts w:ascii="Times New Roman" w:hAnsi="Times New Roman" w:cs="Times New Roman"/>
          <w:sz w:val="28"/>
          <w:szCs w:val="28"/>
        </w:rPr>
        <w:t xml:space="preserve">And third, should the rules mandate resolution </w:t>
      </w:r>
      <w:r w:rsidR="009701B8">
        <w:rPr>
          <w:rFonts w:ascii="Times New Roman" w:hAnsi="Times New Roman" w:cs="Times New Roman"/>
          <w:sz w:val="28"/>
          <w:szCs w:val="28"/>
        </w:rPr>
        <w:lastRenderedPageBreak/>
        <w:t xml:space="preserve">management conferences?  This </w:t>
      </w:r>
      <w:r w:rsidR="007222F6">
        <w:rPr>
          <w:rFonts w:ascii="Times New Roman" w:hAnsi="Times New Roman" w:cs="Times New Roman"/>
          <w:sz w:val="28"/>
          <w:szCs w:val="28"/>
        </w:rPr>
        <w:t>R</w:t>
      </w:r>
      <w:r w:rsidR="009701B8">
        <w:rPr>
          <w:rFonts w:ascii="Times New Roman" w:hAnsi="Times New Roman" w:cs="Times New Roman"/>
          <w:sz w:val="28"/>
          <w:szCs w:val="28"/>
        </w:rPr>
        <w:t>eply will begin with a discussion of th</w:t>
      </w:r>
      <w:r w:rsidR="00A068C5">
        <w:rPr>
          <w:rFonts w:ascii="Times New Roman" w:hAnsi="Times New Roman" w:cs="Times New Roman"/>
          <w:sz w:val="28"/>
          <w:szCs w:val="28"/>
        </w:rPr>
        <w:t>e</w:t>
      </w:r>
      <w:r w:rsidR="009701B8">
        <w:rPr>
          <w:rFonts w:ascii="Times New Roman" w:hAnsi="Times New Roman" w:cs="Times New Roman"/>
          <w:sz w:val="28"/>
          <w:szCs w:val="28"/>
        </w:rPr>
        <w:t>se three issues.</w:t>
      </w:r>
    </w:p>
    <w:p w:rsidR="00F039AA" w:rsidRDefault="00D43174" w:rsidP="006E2F8F">
      <w:pPr>
        <w:spacing w:line="480" w:lineRule="auto"/>
        <w:ind w:firstLine="720"/>
        <w:jc w:val="both"/>
        <w:rPr>
          <w:sz w:val="28"/>
          <w:szCs w:val="28"/>
        </w:rPr>
      </w:pPr>
      <w:r>
        <w:rPr>
          <w:b/>
          <w:i/>
          <w:sz w:val="28"/>
          <w:szCs w:val="28"/>
        </w:rPr>
        <w:t xml:space="preserve">(a) </w:t>
      </w:r>
      <w:r w:rsidR="00F039AA" w:rsidRPr="00F039AA">
        <w:rPr>
          <w:b/>
          <w:i/>
          <w:sz w:val="28"/>
          <w:szCs w:val="28"/>
        </w:rPr>
        <w:t>Use of a summons versus an order to appear.</w:t>
      </w:r>
      <w:r w:rsidR="00F039AA">
        <w:rPr>
          <w:sz w:val="28"/>
          <w:szCs w:val="28"/>
        </w:rPr>
        <w:t xml:space="preserve">  </w:t>
      </w:r>
      <w:r w:rsidR="006E218D">
        <w:rPr>
          <w:sz w:val="28"/>
          <w:szCs w:val="28"/>
        </w:rPr>
        <w:t xml:space="preserve">The Task Force spent considerable time clarifying when to </w:t>
      </w:r>
      <w:r w:rsidR="000B273E">
        <w:rPr>
          <w:sz w:val="28"/>
          <w:szCs w:val="28"/>
        </w:rPr>
        <w:t>serve a petition with a summons</w:t>
      </w:r>
      <w:r w:rsidR="006E218D">
        <w:rPr>
          <w:sz w:val="28"/>
          <w:szCs w:val="28"/>
        </w:rPr>
        <w:t xml:space="preserve">, and when to </w:t>
      </w:r>
      <w:r w:rsidR="00FB4FBC">
        <w:rPr>
          <w:sz w:val="28"/>
          <w:szCs w:val="28"/>
        </w:rPr>
        <w:t>serve a petition with an order to appear</w:t>
      </w:r>
      <w:r w:rsidR="006E218D">
        <w:rPr>
          <w:sz w:val="28"/>
          <w:szCs w:val="28"/>
        </w:rPr>
        <w:t xml:space="preserve">.  </w:t>
      </w:r>
      <w:r w:rsidR="00F039AA">
        <w:rPr>
          <w:sz w:val="28"/>
          <w:szCs w:val="28"/>
        </w:rPr>
        <w:t xml:space="preserve">Lisa Boddington, an attorney who serves </w:t>
      </w:r>
      <w:r w:rsidR="006E2F8F">
        <w:rPr>
          <w:sz w:val="28"/>
          <w:szCs w:val="28"/>
        </w:rPr>
        <w:t xml:space="preserve">at </w:t>
      </w:r>
      <w:r w:rsidR="00F039AA">
        <w:rPr>
          <w:sz w:val="28"/>
          <w:szCs w:val="28"/>
        </w:rPr>
        <w:t>Maricopa County’s Law Library Resource Center, provided a pre</w:t>
      </w:r>
      <w:r w:rsidR="006E2F8F">
        <w:rPr>
          <w:sz w:val="28"/>
          <w:szCs w:val="28"/>
        </w:rPr>
        <w:t>-</w:t>
      </w:r>
      <w:r w:rsidR="00F039AA">
        <w:rPr>
          <w:sz w:val="28"/>
          <w:szCs w:val="28"/>
        </w:rPr>
        <w:t xml:space="preserve">petition comment regarding the distinction. She </w:t>
      </w:r>
      <w:r w:rsidR="006E2F8F">
        <w:rPr>
          <w:sz w:val="28"/>
          <w:szCs w:val="28"/>
        </w:rPr>
        <w:t>submitted</w:t>
      </w:r>
      <w:r w:rsidR="00F039AA">
        <w:rPr>
          <w:sz w:val="28"/>
          <w:szCs w:val="28"/>
        </w:rPr>
        <w:t xml:space="preserve"> a</w:t>
      </w:r>
      <w:r w:rsidR="00912980">
        <w:rPr>
          <w:sz w:val="28"/>
          <w:szCs w:val="28"/>
        </w:rPr>
        <w:t>n informal</w:t>
      </w:r>
      <w:r w:rsidR="00F039AA">
        <w:rPr>
          <w:sz w:val="28"/>
          <w:szCs w:val="28"/>
        </w:rPr>
        <w:t xml:space="preserve"> follow-up </w:t>
      </w:r>
      <w:r w:rsidR="006E2F8F">
        <w:rPr>
          <w:sz w:val="28"/>
          <w:szCs w:val="28"/>
        </w:rPr>
        <w:t>note</w:t>
      </w:r>
      <w:r w:rsidR="00F039AA">
        <w:rPr>
          <w:sz w:val="28"/>
          <w:szCs w:val="28"/>
        </w:rPr>
        <w:t xml:space="preserve"> after the</w:t>
      </w:r>
      <w:r w:rsidR="00A470A4">
        <w:rPr>
          <w:sz w:val="28"/>
          <w:szCs w:val="28"/>
        </w:rPr>
        <w:t xml:space="preserve"> petition was filed on</w:t>
      </w:r>
      <w:r w:rsidR="00F039AA">
        <w:rPr>
          <w:sz w:val="28"/>
          <w:szCs w:val="28"/>
        </w:rPr>
        <w:t xml:space="preserve"> March 22 </w:t>
      </w:r>
      <w:r w:rsidR="006E2F8F">
        <w:rPr>
          <w:sz w:val="28"/>
          <w:szCs w:val="28"/>
        </w:rPr>
        <w:t>questioning whether the proposed rules were correct and complete on this point.  T</w:t>
      </w:r>
      <w:r w:rsidR="00F039AA">
        <w:rPr>
          <w:sz w:val="28"/>
          <w:szCs w:val="28"/>
        </w:rPr>
        <w:t xml:space="preserve">he Pima </w:t>
      </w:r>
      <w:r w:rsidR="004204A4">
        <w:rPr>
          <w:sz w:val="28"/>
          <w:szCs w:val="28"/>
        </w:rPr>
        <w:t xml:space="preserve">bench </w:t>
      </w:r>
      <w:r w:rsidR="006E2F8F">
        <w:rPr>
          <w:sz w:val="28"/>
          <w:szCs w:val="28"/>
        </w:rPr>
        <w:t xml:space="preserve">comment </w:t>
      </w:r>
      <w:r w:rsidR="00F039AA">
        <w:rPr>
          <w:sz w:val="28"/>
          <w:szCs w:val="28"/>
        </w:rPr>
        <w:t xml:space="preserve">noted a </w:t>
      </w:r>
      <w:r w:rsidR="00FB4FBC">
        <w:rPr>
          <w:sz w:val="28"/>
          <w:szCs w:val="28"/>
        </w:rPr>
        <w:t>similar</w:t>
      </w:r>
      <w:r w:rsidR="00F039AA">
        <w:rPr>
          <w:sz w:val="28"/>
          <w:szCs w:val="28"/>
        </w:rPr>
        <w:t xml:space="preserve"> concern. </w:t>
      </w:r>
    </w:p>
    <w:p w:rsidR="0094615E" w:rsidRDefault="00F039AA" w:rsidP="0094615E">
      <w:pPr>
        <w:spacing w:line="480" w:lineRule="auto"/>
        <w:ind w:firstLine="720"/>
        <w:jc w:val="both"/>
        <w:rPr>
          <w:sz w:val="28"/>
          <w:szCs w:val="28"/>
        </w:rPr>
      </w:pPr>
      <w:r>
        <w:rPr>
          <w:sz w:val="28"/>
          <w:szCs w:val="28"/>
        </w:rPr>
        <w:t xml:space="preserve">Proposed Rule 23(a) (the analog of current Rule 24(B)) enumerates petitions seeking 11 different types of relief, including petitions for annulment, dissolution, separation, paternity, third-party rights, enforcing or modifying legal decision-making or parenting time, and enforcing or modifying support. </w:t>
      </w:r>
      <w:r w:rsidR="00D362B9">
        <w:rPr>
          <w:sz w:val="28"/>
          <w:szCs w:val="28"/>
        </w:rPr>
        <w:t xml:space="preserve"> </w:t>
      </w:r>
      <w:r w:rsidR="006E218D">
        <w:rPr>
          <w:sz w:val="28"/>
          <w:szCs w:val="28"/>
        </w:rPr>
        <w:t>Subsequent</w:t>
      </w:r>
      <w:r>
        <w:rPr>
          <w:sz w:val="28"/>
          <w:szCs w:val="28"/>
        </w:rPr>
        <w:t xml:space="preserve"> sections of Rule 23 </w:t>
      </w:r>
      <w:r w:rsidR="0094615E">
        <w:rPr>
          <w:sz w:val="28"/>
          <w:szCs w:val="28"/>
        </w:rPr>
        <w:t xml:space="preserve">deal with the filing of a foreign judgment and other types of relief.  Some petitions </w:t>
      </w:r>
      <w:r w:rsidR="00E5212B">
        <w:rPr>
          <w:sz w:val="28"/>
          <w:szCs w:val="28"/>
        </w:rPr>
        <w:t xml:space="preserve">begin a case, and others are </w:t>
      </w:r>
      <w:r w:rsidR="0094615E">
        <w:rPr>
          <w:sz w:val="28"/>
          <w:szCs w:val="28"/>
        </w:rPr>
        <w:t xml:space="preserve">filed in post-decree </w:t>
      </w:r>
      <w:r w:rsidR="00E5212B">
        <w:rPr>
          <w:sz w:val="28"/>
          <w:szCs w:val="28"/>
        </w:rPr>
        <w:t>or</w:t>
      </w:r>
      <w:r w:rsidR="006E218D">
        <w:rPr>
          <w:sz w:val="28"/>
          <w:szCs w:val="28"/>
        </w:rPr>
        <w:t xml:space="preserve"> </w:t>
      </w:r>
      <w:r w:rsidR="0094615E">
        <w:rPr>
          <w:sz w:val="28"/>
          <w:szCs w:val="28"/>
        </w:rPr>
        <w:t xml:space="preserve">post-judgment circumstances.  </w:t>
      </w:r>
    </w:p>
    <w:p w:rsidR="0094615E" w:rsidRDefault="0094615E" w:rsidP="0094615E">
      <w:pPr>
        <w:spacing w:line="480" w:lineRule="auto"/>
        <w:ind w:firstLine="720"/>
        <w:jc w:val="both"/>
        <w:rPr>
          <w:sz w:val="28"/>
          <w:szCs w:val="28"/>
        </w:rPr>
      </w:pPr>
      <w:r>
        <w:rPr>
          <w:sz w:val="28"/>
          <w:szCs w:val="28"/>
        </w:rPr>
        <w:t>Petitions that initiate an action are generally served with a summons.  A summons requires a written response</w:t>
      </w:r>
      <w:r w:rsidR="00FB4FBC">
        <w:rPr>
          <w:sz w:val="28"/>
          <w:szCs w:val="28"/>
        </w:rPr>
        <w:t>,</w:t>
      </w:r>
      <w:r>
        <w:rPr>
          <w:sz w:val="28"/>
          <w:szCs w:val="28"/>
        </w:rPr>
        <w:t xml:space="preserve"> and</w:t>
      </w:r>
      <w:r w:rsidR="00FB4FBC">
        <w:rPr>
          <w:sz w:val="28"/>
          <w:szCs w:val="28"/>
        </w:rPr>
        <w:t xml:space="preserve"> the absence of a response</w:t>
      </w:r>
      <w:r>
        <w:rPr>
          <w:sz w:val="28"/>
          <w:szCs w:val="28"/>
        </w:rPr>
        <w:t xml:space="preserve"> </w:t>
      </w:r>
      <w:r w:rsidR="00FB4FBC">
        <w:rPr>
          <w:sz w:val="28"/>
          <w:szCs w:val="28"/>
        </w:rPr>
        <w:t>may result in the entry of</w:t>
      </w:r>
      <w:r>
        <w:rPr>
          <w:sz w:val="28"/>
          <w:szCs w:val="28"/>
        </w:rPr>
        <w:t xml:space="preserve"> default.  A party may file a written response to a</w:t>
      </w:r>
      <w:r w:rsidR="006E218D">
        <w:rPr>
          <w:sz w:val="28"/>
          <w:szCs w:val="28"/>
        </w:rPr>
        <w:t xml:space="preserve"> petition served with a</w:t>
      </w:r>
      <w:r>
        <w:rPr>
          <w:sz w:val="28"/>
          <w:szCs w:val="28"/>
        </w:rPr>
        <w:t>n order to appear</w:t>
      </w:r>
      <w:r w:rsidR="006E218D">
        <w:rPr>
          <w:sz w:val="28"/>
          <w:szCs w:val="28"/>
        </w:rPr>
        <w:t>,</w:t>
      </w:r>
      <w:r>
        <w:rPr>
          <w:sz w:val="28"/>
          <w:szCs w:val="28"/>
        </w:rPr>
        <w:t xml:space="preserve"> but </w:t>
      </w:r>
      <w:r w:rsidR="006E218D">
        <w:rPr>
          <w:sz w:val="28"/>
          <w:szCs w:val="28"/>
        </w:rPr>
        <w:t xml:space="preserve">a written response is not </w:t>
      </w:r>
      <w:r w:rsidR="00D43174">
        <w:rPr>
          <w:sz w:val="28"/>
          <w:szCs w:val="28"/>
        </w:rPr>
        <w:t>required,</w:t>
      </w:r>
      <w:r>
        <w:rPr>
          <w:sz w:val="28"/>
          <w:szCs w:val="28"/>
        </w:rPr>
        <w:t xml:space="preserve"> and the lack of a written </w:t>
      </w:r>
      <w:r>
        <w:rPr>
          <w:sz w:val="28"/>
          <w:szCs w:val="28"/>
        </w:rPr>
        <w:lastRenderedPageBreak/>
        <w:t xml:space="preserve">response will not prompt a default.  An order to appear, however, requires a party to show up, and if the party fails to do so, the </w:t>
      </w:r>
      <w:r w:rsidR="006E218D">
        <w:rPr>
          <w:sz w:val="28"/>
          <w:szCs w:val="28"/>
        </w:rPr>
        <w:t xml:space="preserve">party’s </w:t>
      </w:r>
      <w:r>
        <w:rPr>
          <w:sz w:val="28"/>
          <w:szCs w:val="28"/>
        </w:rPr>
        <w:t>non-appearance may result in the</w:t>
      </w:r>
      <w:r w:rsidR="006E218D">
        <w:rPr>
          <w:sz w:val="28"/>
          <w:szCs w:val="28"/>
        </w:rPr>
        <w:t xml:space="preserve"> court </w:t>
      </w:r>
      <w:r>
        <w:rPr>
          <w:sz w:val="28"/>
          <w:szCs w:val="28"/>
        </w:rPr>
        <w:t xml:space="preserve">granting </w:t>
      </w:r>
      <w:r w:rsidR="006E218D">
        <w:rPr>
          <w:sz w:val="28"/>
          <w:szCs w:val="28"/>
        </w:rPr>
        <w:t xml:space="preserve">the </w:t>
      </w:r>
      <w:r>
        <w:rPr>
          <w:sz w:val="28"/>
          <w:szCs w:val="28"/>
        </w:rPr>
        <w:t xml:space="preserve">relief requested by the petition.  So, for example, a dissolution petition is served with a summons, and following a failure to file a </w:t>
      </w:r>
      <w:r w:rsidR="00FB4FBC">
        <w:rPr>
          <w:sz w:val="28"/>
          <w:szCs w:val="28"/>
        </w:rPr>
        <w:t xml:space="preserve">timely </w:t>
      </w:r>
      <w:r>
        <w:rPr>
          <w:sz w:val="28"/>
          <w:szCs w:val="28"/>
        </w:rPr>
        <w:t>written response, the petition</w:t>
      </w:r>
      <w:r w:rsidR="00FB4FBC">
        <w:rPr>
          <w:sz w:val="28"/>
          <w:szCs w:val="28"/>
        </w:rPr>
        <w:t>er</w:t>
      </w:r>
      <w:r>
        <w:rPr>
          <w:sz w:val="28"/>
          <w:szCs w:val="28"/>
        </w:rPr>
        <w:t xml:space="preserve"> may apply for default and a default decree.  On the other hand, a petition that seeks to modify child support is served with an order to appear, which requires the responding party to appear at a return hearing.  A petition to establish legal decision-making must be served with a summons, whereas a petition to modify legal decision-making must be served with an order to appear. </w:t>
      </w:r>
    </w:p>
    <w:p w:rsidR="00F039AA" w:rsidRPr="00F039AA" w:rsidRDefault="0094615E" w:rsidP="0094615E">
      <w:pPr>
        <w:spacing w:line="480" w:lineRule="auto"/>
        <w:ind w:firstLine="720"/>
        <w:jc w:val="both"/>
        <w:rPr>
          <w:sz w:val="28"/>
          <w:szCs w:val="28"/>
        </w:rPr>
      </w:pPr>
      <w:r>
        <w:rPr>
          <w:sz w:val="28"/>
          <w:szCs w:val="28"/>
        </w:rPr>
        <w:t xml:space="preserve">The current family rules </w:t>
      </w:r>
      <w:r w:rsidR="00A2718C">
        <w:rPr>
          <w:sz w:val="28"/>
          <w:szCs w:val="28"/>
        </w:rPr>
        <w:t>are</w:t>
      </w:r>
      <w:r>
        <w:rPr>
          <w:sz w:val="28"/>
          <w:szCs w:val="28"/>
        </w:rPr>
        <w:t xml:space="preserve"> not completely clear on which petitions require one or the other.  </w:t>
      </w:r>
      <w:r w:rsidR="00A2718C">
        <w:rPr>
          <w:sz w:val="28"/>
          <w:szCs w:val="28"/>
        </w:rPr>
        <w:t xml:space="preserve">But the Task Force recognized, after filing its petition, that its intended clarification also fell short.  </w:t>
      </w:r>
      <w:r w:rsidR="006E218D">
        <w:rPr>
          <w:sz w:val="28"/>
          <w:szCs w:val="28"/>
        </w:rPr>
        <w:t xml:space="preserve">The proposed rules in the Appendix therefore </w:t>
      </w:r>
      <w:r w:rsidR="00912980">
        <w:rPr>
          <w:sz w:val="28"/>
          <w:szCs w:val="28"/>
        </w:rPr>
        <w:t>include</w:t>
      </w:r>
      <w:r w:rsidR="00A2718C">
        <w:rPr>
          <w:sz w:val="28"/>
          <w:szCs w:val="28"/>
        </w:rPr>
        <w:t xml:space="preserve"> a new Rule 23(b) titled “Summons and Order to Appear.”  Subpart 23(b)(1) refers to specific subparts of </w:t>
      </w:r>
      <w:r w:rsidR="00FB4FBC">
        <w:rPr>
          <w:sz w:val="28"/>
          <w:szCs w:val="28"/>
        </w:rPr>
        <w:t>Rule 23</w:t>
      </w:r>
      <w:r w:rsidR="00A2718C">
        <w:rPr>
          <w:sz w:val="28"/>
          <w:szCs w:val="28"/>
        </w:rPr>
        <w:t xml:space="preserve">(a) </w:t>
      </w:r>
      <w:r w:rsidR="004204A4">
        <w:rPr>
          <w:sz w:val="28"/>
          <w:szCs w:val="28"/>
        </w:rPr>
        <w:t>and identifies</w:t>
      </w:r>
      <w:r w:rsidR="00A2718C">
        <w:rPr>
          <w:sz w:val="28"/>
          <w:szCs w:val="28"/>
        </w:rPr>
        <w:t xml:space="preserve"> petitions that must be served with a summons.  Subpart 23(b)(2) does the same to identify petitions that must be served with an order to appear. </w:t>
      </w:r>
      <w:r w:rsidR="00D362B9">
        <w:rPr>
          <w:sz w:val="28"/>
          <w:szCs w:val="28"/>
        </w:rPr>
        <w:t xml:space="preserve"> </w:t>
      </w:r>
      <w:r w:rsidR="00A2718C">
        <w:rPr>
          <w:sz w:val="28"/>
          <w:szCs w:val="28"/>
        </w:rPr>
        <w:t xml:space="preserve">The Task </w:t>
      </w:r>
      <w:r w:rsidR="00362AEB">
        <w:rPr>
          <w:sz w:val="28"/>
          <w:szCs w:val="28"/>
        </w:rPr>
        <w:t xml:space="preserve">Force </w:t>
      </w:r>
      <w:r w:rsidR="00A2718C">
        <w:rPr>
          <w:sz w:val="28"/>
          <w:szCs w:val="28"/>
        </w:rPr>
        <w:t>further removed from its proposed rules potentially conflicting provisions in other rules</w:t>
      </w:r>
      <w:r w:rsidR="004F1D99">
        <w:rPr>
          <w:sz w:val="28"/>
          <w:szCs w:val="28"/>
        </w:rPr>
        <w:t>, and renumbered subsequent sections, subparts, and cross-references accordingly</w:t>
      </w:r>
      <w:r w:rsidR="00A2718C">
        <w:rPr>
          <w:sz w:val="28"/>
          <w:szCs w:val="28"/>
        </w:rPr>
        <w:t>.  The proposed rules therefore include a single provision</w:t>
      </w:r>
      <w:r w:rsidR="00BB2560">
        <w:rPr>
          <w:sz w:val="28"/>
          <w:szCs w:val="28"/>
        </w:rPr>
        <w:t>, Rule 23(b),</w:t>
      </w:r>
      <w:r w:rsidR="00A2718C">
        <w:rPr>
          <w:sz w:val="28"/>
          <w:szCs w:val="28"/>
        </w:rPr>
        <w:t xml:space="preserve"> </w:t>
      </w:r>
      <w:r w:rsidR="007A08B1">
        <w:rPr>
          <w:sz w:val="28"/>
          <w:szCs w:val="28"/>
        </w:rPr>
        <w:t>which</w:t>
      </w:r>
      <w:r w:rsidR="00A2718C">
        <w:rPr>
          <w:sz w:val="28"/>
          <w:szCs w:val="28"/>
        </w:rPr>
        <w:t xml:space="preserve"> distinguishes what must be served—a summons or an order to appear—with </w:t>
      </w:r>
      <w:r w:rsidR="00912980">
        <w:rPr>
          <w:sz w:val="28"/>
          <w:szCs w:val="28"/>
        </w:rPr>
        <w:t>each</w:t>
      </w:r>
      <w:r w:rsidR="00A2718C">
        <w:rPr>
          <w:sz w:val="28"/>
          <w:szCs w:val="28"/>
        </w:rPr>
        <w:t xml:space="preserve"> type of petition.  </w:t>
      </w:r>
    </w:p>
    <w:p w:rsidR="00912980" w:rsidRDefault="00D43174" w:rsidP="00912980">
      <w:pPr>
        <w:pStyle w:val="ListParagraph"/>
        <w:spacing w:after="0" w:line="480" w:lineRule="auto"/>
        <w:ind w:left="0" w:firstLine="720"/>
        <w:contextualSpacing w:val="0"/>
        <w:rPr>
          <w:rFonts w:ascii="Times New Roman" w:hAnsi="Times New Roman" w:cs="Times New Roman"/>
          <w:color w:val="212121"/>
          <w:sz w:val="28"/>
          <w:szCs w:val="28"/>
          <w:lang w:val="en"/>
        </w:rPr>
      </w:pPr>
      <w:r>
        <w:rPr>
          <w:rFonts w:ascii="Times New Roman" w:hAnsi="Times New Roman" w:cs="Times New Roman"/>
          <w:b/>
          <w:i/>
          <w:sz w:val="28"/>
          <w:szCs w:val="28"/>
        </w:rPr>
        <w:lastRenderedPageBreak/>
        <w:t xml:space="preserve">(b) </w:t>
      </w:r>
      <w:r w:rsidR="006E2F8F" w:rsidRPr="006E2F8F">
        <w:rPr>
          <w:rFonts w:ascii="Times New Roman" w:hAnsi="Times New Roman" w:cs="Times New Roman"/>
          <w:b/>
          <w:i/>
          <w:sz w:val="28"/>
          <w:szCs w:val="28"/>
        </w:rPr>
        <w:t xml:space="preserve">Service by </w:t>
      </w:r>
      <w:r w:rsidR="006E2F8F">
        <w:rPr>
          <w:rFonts w:ascii="Times New Roman" w:hAnsi="Times New Roman" w:cs="Times New Roman"/>
          <w:b/>
          <w:i/>
          <w:sz w:val="28"/>
          <w:szCs w:val="28"/>
        </w:rPr>
        <w:t>p</w:t>
      </w:r>
      <w:r w:rsidR="006E2F8F" w:rsidRPr="006E2F8F">
        <w:rPr>
          <w:rFonts w:ascii="Times New Roman" w:hAnsi="Times New Roman" w:cs="Times New Roman"/>
          <w:b/>
          <w:i/>
          <w:sz w:val="28"/>
          <w:szCs w:val="28"/>
        </w:rPr>
        <w:t xml:space="preserve">ublication under </w:t>
      </w:r>
      <w:r w:rsidR="006E2F8F">
        <w:rPr>
          <w:rFonts w:ascii="Times New Roman" w:hAnsi="Times New Roman" w:cs="Times New Roman"/>
          <w:b/>
          <w:i/>
          <w:sz w:val="28"/>
          <w:szCs w:val="28"/>
        </w:rPr>
        <w:t>p</w:t>
      </w:r>
      <w:r w:rsidR="006E2F8F" w:rsidRPr="006E2F8F">
        <w:rPr>
          <w:rFonts w:ascii="Times New Roman" w:hAnsi="Times New Roman" w:cs="Times New Roman"/>
          <w:b/>
          <w:i/>
          <w:sz w:val="28"/>
          <w:szCs w:val="28"/>
        </w:rPr>
        <w:t xml:space="preserve">roposed Rule 41(m). </w:t>
      </w:r>
      <w:r w:rsidR="002C0B47">
        <w:rPr>
          <w:rFonts w:ascii="Times New Roman" w:hAnsi="Times New Roman" w:cs="Times New Roman"/>
          <w:b/>
          <w:i/>
          <w:sz w:val="28"/>
          <w:szCs w:val="28"/>
        </w:rPr>
        <w:t xml:space="preserve"> </w:t>
      </w:r>
      <w:r w:rsidR="008D2C91">
        <w:rPr>
          <w:rFonts w:ascii="Times New Roman" w:hAnsi="Times New Roman" w:cs="Times New Roman"/>
          <w:sz w:val="28"/>
          <w:szCs w:val="28"/>
        </w:rPr>
        <w:t>Formal comments from t</w:t>
      </w:r>
      <w:r w:rsidR="002C0B47">
        <w:rPr>
          <w:rFonts w:ascii="Times New Roman" w:hAnsi="Times New Roman" w:cs="Times New Roman"/>
          <w:sz w:val="28"/>
          <w:szCs w:val="28"/>
        </w:rPr>
        <w:t>he State Bar</w:t>
      </w:r>
      <w:r w:rsidR="008D2C91">
        <w:rPr>
          <w:rFonts w:ascii="Times New Roman" w:hAnsi="Times New Roman" w:cs="Times New Roman"/>
          <w:sz w:val="28"/>
          <w:szCs w:val="28"/>
        </w:rPr>
        <w:t xml:space="preserve"> and the Department of Economic Security, as well as the Pima </w:t>
      </w:r>
      <w:r w:rsidR="004204A4">
        <w:rPr>
          <w:rFonts w:ascii="Times New Roman" w:hAnsi="Times New Roman" w:cs="Times New Roman"/>
          <w:sz w:val="28"/>
          <w:szCs w:val="28"/>
        </w:rPr>
        <w:t xml:space="preserve">bench </w:t>
      </w:r>
      <w:r w:rsidR="008D2C91">
        <w:rPr>
          <w:rFonts w:ascii="Times New Roman" w:hAnsi="Times New Roman" w:cs="Times New Roman"/>
          <w:sz w:val="28"/>
          <w:szCs w:val="28"/>
        </w:rPr>
        <w:t>comment, took issue w</w:t>
      </w:r>
      <w:r w:rsidR="00E5212B">
        <w:rPr>
          <w:rFonts w:ascii="Times New Roman" w:hAnsi="Times New Roman" w:cs="Times New Roman"/>
          <w:sz w:val="28"/>
          <w:szCs w:val="28"/>
        </w:rPr>
        <w:t>ith proposed Rule 41(m), titled</w:t>
      </w:r>
      <w:r w:rsidR="008D2C91">
        <w:rPr>
          <w:rFonts w:ascii="Times New Roman" w:hAnsi="Times New Roman" w:cs="Times New Roman"/>
          <w:sz w:val="28"/>
          <w:szCs w:val="28"/>
        </w:rPr>
        <w:t xml:space="preserve"> “</w:t>
      </w:r>
      <w:r w:rsidR="006E218D">
        <w:rPr>
          <w:rFonts w:ascii="Times New Roman" w:hAnsi="Times New Roman" w:cs="Times New Roman"/>
          <w:sz w:val="28"/>
          <w:szCs w:val="28"/>
        </w:rPr>
        <w:t>S</w:t>
      </w:r>
      <w:r w:rsidR="008D2C91">
        <w:rPr>
          <w:rFonts w:ascii="Times New Roman" w:hAnsi="Times New Roman" w:cs="Times New Roman"/>
          <w:sz w:val="28"/>
          <w:szCs w:val="28"/>
        </w:rPr>
        <w:t xml:space="preserve">ervice by </w:t>
      </w:r>
      <w:r w:rsidR="006E218D">
        <w:rPr>
          <w:rFonts w:ascii="Times New Roman" w:hAnsi="Times New Roman" w:cs="Times New Roman"/>
          <w:sz w:val="28"/>
          <w:szCs w:val="28"/>
        </w:rPr>
        <w:t>P</w:t>
      </w:r>
      <w:r w:rsidR="008D2C91">
        <w:rPr>
          <w:rFonts w:ascii="Times New Roman" w:hAnsi="Times New Roman" w:cs="Times New Roman"/>
          <w:sz w:val="28"/>
          <w:szCs w:val="28"/>
        </w:rPr>
        <w:t xml:space="preserve">ublication.” </w:t>
      </w:r>
      <w:r w:rsidR="00D362B9">
        <w:rPr>
          <w:rFonts w:ascii="Times New Roman" w:hAnsi="Times New Roman" w:cs="Times New Roman"/>
          <w:sz w:val="28"/>
          <w:szCs w:val="28"/>
        </w:rPr>
        <w:t xml:space="preserve"> </w:t>
      </w:r>
      <w:r w:rsidR="008D2C91">
        <w:rPr>
          <w:rFonts w:ascii="Times New Roman" w:hAnsi="Times New Roman" w:cs="Times New Roman"/>
          <w:sz w:val="28"/>
          <w:szCs w:val="28"/>
        </w:rPr>
        <w:t xml:space="preserve">The </w:t>
      </w:r>
      <w:r w:rsidR="008D2C91" w:rsidRPr="008D2C91">
        <w:rPr>
          <w:rFonts w:ascii="Times New Roman" w:hAnsi="Times New Roman" w:cs="Times New Roman"/>
          <w:sz w:val="28"/>
          <w:szCs w:val="28"/>
        </w:rPr>
        <w:t xml:space="preserve">issue </w:t>
      </w:r>
      <w:r w:rsidR="006E218D">
        <w:rPr>
          <w:rFonts w:ascii="Times New Roman" w:hAnsi="Times New Roman" w:cs="Times New Roman"/>
          <w:sz w:val="28"/>
          <w:szCs w:val="28"/>
        </w:rPr>
        <w:t>has its genesis in</w:t>
      </w:r>
      <w:r w:rsidR="008D2C91" w:rsidRPr="008D2C91">
        <w:rPr>
          <w:rFonts w:ascii="Times New Roman" w:hAnsi="Times New Roman" w:cs="Times New Roman"/>
          <w:sz w:val="28"/>
          <w:szCs w:val="28"/>
        </w:rPr>
        <w:t xml:space="preserve"> current Rule 41(N) (“service by publication; return”), </w:t>
      </w:r>
      <w:r w:rsidR="00FB4FBC">
        <w:rPr>
          <w:rFonts w:ascii="Times New Roman" w:hAnsi="Times New Roman" w:cs="Times New Roman"/>
          <w:sz w:val="28"/>
          <w:szCs w:val="28"/>
        </w:rPr>
        <w:t>which</w:t>
      </w:r>
      <w:r w:rsidR="006E218D">
        <w:rPr>
          <w:rFonts w:ascii="Times New Roman" w:hAnsi="Times New Roman" w:cs="Times New Roman"/>
          <w:sz w:val="28"/>
          <w:szCs w:val="28"/>
        </w:rPr>
        <w:t xml:space="preserve"> </w:t>
      </w:r>
      <w:r w:rsidR="004204A4">
        <w:rPr>
          <w:rFonts w:ascii="Times New Roman" w:hAnsi="Times New Roman" w:cs="Times New Roman"/>
          <w:sz w:val="28"/>
          <w:szCs w:val="28"/>
        </w:rPr>
        <w:t xml:space="preserve">expressly states that </w:t>
      </w:r>
      <w:r w:rsidR="004204A4" w:rsidRPr="008D2C91">
        <w:rPr>
          <w:rFonts w:ascii="Times New Roman" w:hAnsi="Times New Roman" w:cs="Times New Roman"/>
          <w:color w:val="212121"/>
          <w:sz w:val="28"/>
          <w:szCs w:val="28"/>
          <w:lang w:val="en"/>
        </w:rPr>
        <w:t>service</w:t>
      </w:r>
      <w:r w:rsidR="008D2C91" w:rsidRPr="008D2C91">
        <w:rPr>
          <w:rFonts w:ascii="Times New Roman" w:hAnsi="Times New Roman" w:cs="Times New Roman"/>
          <w:color w:val="212121"/>
          <w:sz w:val="28"/>
          <w:szCs w:val="28"/>
          <w:lang w:val="en"/>
        </w:rPr>
        <w:t xml:space="preserve"> by publication is not sufficient to confer jurisdiction upon the court to determine issues of paternity, child support, spousal maintenance, division of marital property, or any other issue requiring personal jurisdiction over a party.</w:t>
      </w:r>
      <w:r w:rsidR="004204A4">
        <w:rPr>
          <w:rFonts w:ascii="Times New Roman" w:hAnsi="Times New Roman" w:cs="Times New Roman"/>
          <w:color w:val="212121"/>
          <w:sz w:val="28"/>
          <w:szCs w:val="28"/>
          <w:lang w:val="en"/>
        </w:rPr>
        <w:t xml:space="preserve">  </w:t>
      </w:r>
      <w:r w:rsidR="008D2C91" w:rsidRPr="008D2C91">
        <w:rPr>
          <w:rFonts w:ascii="Times New Roman" w:hAnsi="Times New Roman" w:cs="Times New Roman"/>
          <w:color w:val="212121"/>
          <w:sz w:val="28"/>
          <w:szCs w:val="28"/>
          <w:lang w:val="en"/>
        </w:rPr>
        <w:t xml:space="preserve">A committee comment to current Rule 41 </w:t>
      </w:r>
      <w:r w:rsidR="004204A4">
        <w:rPr>
          <w:rFonts w:ascii="Times New Roman" w:hAnsi="Times New Roman" w:cs="Times New Roman"/>
          <w:color w:val="212121"/>
          <w:sz w:val="28"/>
          <w:szCs w:val="28"/>
          <w:lang w:val="en"/>
        </w:rPr>
        <w:t>notes that t</w:t>
      </w:r>
      <w:r w:rsidR="008D2C91" w:rsidRPr="008D2C91">
        <w:rPr>
          <w:rFonts w:ascii="Times New Roman" w:hAnsi="Times New Roman" w:cs="Times New Roman"/>
          <w:color w:val="212121"/>
          <w:sz w:val="28"/>
          <w:szCs w:val="28"/>
          <w:lang w:val="en"/>
        </w:rPr>
        <w:t xml:space="preserve">his rule does not follow the holding in </w:t>
      </w:r>
      <w:r w:rsidR="008D2C91" w:rsidRPr="008D2C91">
        <w:rPr>
          <w:rStyle w:val="Emphasis"/>
          <w:rFonts w:ascii="Times New Roman" w:hAnsi="Times New Roman" w:cs="Times New Roman"/>
          <w:color w:val="212121"/>
          <w:sz w:val="28"/>
          <w:szCs w:val="28"/>
          <w:lang w:val="en"/>
        </w:rPr>
        <w:t>Master Financial, Inc. v. Woodburn</w:t>
      </w:r>
      <w:r w:rsidR="008D2C91" w:rsidRPr="008D2C91">
        <w:rPr>
          <w:rFonts w:ascii="Times New Roman" w:hAnsi="Times New Roman" w:cs="Times New Roman"/>
          <w:color w:val="212121"/>
          <w:sz w:val="28"/>
          <w:szCs w:val="28"/>
          <w:lang w:val="en"/>
        </w:rPr>
        <w:t>, 208 Ari</w:t>
      </w:r>
      <w:r w:rsidR="00FB4FBC">
        <w:rPr>
          <w:rFonts w:ascii="Times New Roman" w:hAnsi="Times New Roman" w:cs="Times New Roman"/>
          <w:color w:val="212121"/>
          <w:sz w:val="28"/>
          <w:szCs w:val="28"/>
          <w:lang w:val="en"/>
        </w:rPr>
        <w:t xml:space="preserve">z. 70, 90 P.3d 1236 (App. 2004), which is </w:t>
      </w:r>
      <w:r w:rsidR="008D2C91" w:rsidRPr="008D2C91">
        <w:rPr>
          <w:rFonts w:ascii="Times New Roman" w:hAnsi="Times New Roman" w:cs="Times New Roman"/>
          <w:color w:val="212121"/>
          <w:sz w:val="28"/>
          <w:szCs w:val="28"/>
          <w:lang w:val="en"/>
        </w:rPr>
        <w:t xml:space="preserve">applicable to </w:t>
      </w:r>
      <w:r w:rsidR="00FB4FBC">
        <w:rPr>
          <w:rFonts w:ascii="Times New Roman" w:hAnsi="Times New Roman" w:cs="Times New Roman"/>
          <w:color w:val="212121"/>
          <w:sz w:val="28"/>
          <w:szCs w:val="28"/>
          <w:lang w:val="en"/>
        </w:rPr>
        <w:t xml:space="preserve">Civil </w:t>
      </w:r>
      <w:r w:rsidR="008D2C91" w:rsidRPr="008D2C91">
        <w:rPr>
          <w:rFonts w:ascii="Times New Roman" w:hAnsi="Times New Roman" w:cs="Times New Roman"/>
          <w:color w:val="212121"/>
          <w:sz w:val="28"/>
          <w:szCs w:val="28"/>
          <w:lang w:val="en"/>
        </w:rPr>
        <w:t>Rule 4.1.</w:t>
      </w:r>
    </w:p>
    <w:p w:rsidR="008D2C91" w:rsidRPr="008D2C91" w:rsidRDefault="008D2C91" w:rsidP="00912980">
      <w:pPr>
        <w:pStyle w:val="ListParagraph"/>
        <w:spacing w:after="0" w:line="480" w:lineRule="auto"/>
        <w:ind w:left="0" w:firstLine="720"/>
        <w:contextualSpacing w:val="0"/>
        <w:rPr>
          <w:rFonts w:ascii="Times New Roman" w:hAnsi="Times New Roman" w:cs="Times New Roman"/>
          <w:sz w:val="28"/>
          <w:szCs w:val="28"/>
        </w:rPr>
      </w:pPr>
      <w:r w:rsidRPr="008D2C91">
        <w:rPr>
          <w:rFonts w:ascii="Times New Roman" w:hAnsi="Times New Roman" w:cs="Times New Roman"/>
          <w:sz w:val="28"/>
          <w:szCs w:val="28"/>
        </w:rPr>
        <w:t>The Task Force</w:t>
      </w:r>
      <w:r w:rsidR="00FB4FBC">
        <w:rPr>
          <w:rFonts w:ascii="Times New Roman" w:hAnsi="Times New Roman" w:cs="Times New Roman"/>
          <w:sz w:val="28"/>
          <w:szCs w:val="28"/>
        </w:rPr>
        <w:t>’s proposed</w:t>
      </w:r>
      <w:r w:rsidRPr="008D2C91">
        <w:rPr>
          <w:rFonts w:ascii="Times New Roman" w:hAnsi="Times New Roman" w:cs="Times New Roman"/>
          <w:sz w:val="28"/>
          <w:szCs w:val="28"/>
        </w:rPr>
        <w:t xml:space="preserve"> revisions to </w:t>
      </w:r>
      <w:r w:rsidR="00A470A4">
        <w:rPr>
          <w:rFonts w:ascii="Times New Roman" w:hAnsi="Times New Roman" w:cs="Times New Roman"/>
          <w:sz w:val="28"/>
          <w:szCs w:val="28"/>
        </w:rPr>
        <w:t xml:space="preserve">what is now </w:t>
      </w:r>
      <w:r w:rsidRPr="008D2C91">
        <w:rPr>
          <w:rFonts w:ascii="Times New Roman" w:hAnsi="Times New Roman" w:cs="Times New Roman"/>
          <w:sz w:val="28"/>
          <w:szCs w:val="28"/>
        </w:rPr>
        <w:t xml:space="preserve">Rule 41(m) </w:t>
      </w:r>
      <w:r w:rsidR="00FB4FBC">
        <w:rPr>
          <w:rFonts w:ascii="Times New Roman" w:hAnsi="Times New Roman" w:cs="Times New Roman"/>
          <w:sz w:val="28"/>
          <w:szCs w:val="28"/>
        </w:rPr>
        <w:t>remove</w:t>
      </w:r>
      <w:r w:rsidRPr="008D2C91">
        <w:rPr>
          <w:rFonts w:ascii="Times New Roman" w:hAnsi="Times New Roman" w:cs="Times New Roman"/>
          <w:sz w:val="28"/>
          <w:szCs w:val="28"/>
        </w:rPr>
        <w:t xml:space="preserve"> </w:t>
      </w:r>
      <w:r w:rsidR="00912980">
        <w:rPr>
          <w:rFonts w:ascii="Times New Roman" w:hAnsi="Times New Roman" w:cs="Times New Roman"/>
          <w:sz w:val="28"/>
          <w:szCs w:val="28"/>
        </w:rPr>
        <w:t>language</w:t>
      </w:r>
      <w:r w:rsidRPr="008D2C91">
        <w:rPr>
          <w:rFonts w:ascii="Times New Roman" w:hAnsi="Times New Roman" w:cs="Times New Roman"/>
          <w:sz w:val="28"/>
          <w:szCs w:val="28"/>
        </w:rPr>
        <w:t xml:space="preserve"> </w:t>
      </w:r>
      <w:r>
        <w:rPr>
          <w:rFonts w:ascii="Times New Roman" w:hAnsi="Times New Roman" w:cs="Times New Roman"/>
          <w:sz w:val="28"/>
          <w:szCs w:val="28"/>
        </w:rPr>
        <w:t xml:space="preserve">about publication being insufficient to confer jurisdiction </w:t>
      </w:r>
      <w:r w:rsidR="00A068C5">
        <w:rPr>
          <w:rFonts w:ascii="Times New Roman" w:hAnsi="Times New Roman" w:cs="Times New Roman"/>
          <w:sz w:val="28"/>
          <w:szCs w:val="28"/>
        </w:rPr>
        <w:t>for</w:t>
      </w:r>
      <w:r>
        <w:rPr>
          <w:rFonts w:ascii="Times New Roman" w:hAnsi="Times New Roman" w:cs="Times New Roman"/>
          <w:sz w:val="28"/>
          <w:szCs w:val="28"/>
        </w:rPr>
        <w:t xml:space="preserve"> </w:t>
      </w:r>
      <w:r w:rsidR="006E218D">
        <w:rPr>
          <w:rFonts w:ascii="Times New Roman" w:hAnsi="Times New Roman" w:cs="Times New Roman"/>
          <w:sz w:val="28"/>
          <w:szCs w:val="28"/>
        </w:rPr>
        <w:t>certain determinations</w:t>
      </w:r>
      <w:r>
        <w:rPr>
          <w:rFonts w:ascii="Times New Roman" w:hAnsi="Times New Roman" w:cs="Times New Roman"/>
          <w:sz w:val="28"/>
          <w:szCs w:val="28"/>
        </w:rPr>
        <w:t xml:space="preserve"> in a family law case</w:t>
      </w:r>
      <w:r w:rsidR="004204A4">
        <w:rPr>
          <w:rFonts w:ascii="Times New Roman" w:hAnsi="Times New Roman" w:cs="Times New Roman"/>
          <w:sz w:val="28"/>
          <w:szCs w:val="28"/>
        </w:rPr>
        <w:t xml:space="preserve">. </w:t>
      </w:r>
      <w:r w:rsidR="00D362B9">
        <w:rPr>
          <w:rFonts w:ascii="Times New Roman" w:hAnsi="Times New Roman" w:cs="Times New Roman"/>
          <w:sz w:val="28"/>
          <w:szCs w:val="28"/>
        </w:rPr>
        <w:t xml:space="preserve"> </w:t>
      </w:r>
      <w:r w:rsidRPr="008D2C91">
        <w:rPr>
          <w:rFonts w:ascii="Times New Roman" w:hAnsi="Times New Roman" w:cs="Times New Roman"/>
          <w:sz w:val="28"/>
          <w:szCs w:val="28"/>
        </w:rPr>
        <w:t xml:space="preserve">The Task Force also proposes </w:t>
      </w:r>
      <w:r w:rsidR="00912980">
        <w:rPr>
          <w:rFonts w:ascii="Times New Roman" w:hAnsi="Times New Roman" w:cs="Times New Roman"/>
          <w:sz w:val="28"/>
          <w:szCs w:val="28"/>
        </w:rPr>
        <w:t xml:space="preserve">to abrogate </w:t>
      </w:r>
      <w:r w:rsidRPr="008D2C91">
        <w:rPr>
          <w:rFonts w:ascii="Times New Roman" w:hAnsi="Times New Roman" w:cs="Times New Roman"/>
          <w:sz w:val="28"/>
          <w:szCs w:val="28"/>
        </w:rPr>
        <w:t xml:space="preserve">the current comment and </w:t>
      </w:r>
      <w:r w:rsidR="00912980">
        <w:rPr>
          <w:rFonts w:ascii="Times New Roman" w:hAnsi="Times New Roman" w:cs="Times New Roman"/>
          <w:sz w:val="28"/>
          <w:szCs w:val="28"/>
        </w:rPr>
        <w:t>substitute</w:t>
      </w:r>
      <w:r w:rsidRPr="008D2C91">
        <w:rPr>
          <w:rFonts w:ascii="Times New Roman" w:hAnsi="Times New Roman" w:cs="Times New Roman"/>
          <w:sz w:val="28"/>
          <w:szCs w:val="28"/>
        </w:rPr>
        <w:t xml:space="preserve"> a new comment to the 2019 amendment, as follows:</w:t>
      </w:r>
    </w:p>
    <w:p w:rsidR="008D2C91" w:rsidRPr="008D2C91" w:rsidRDefault="008D2C91" w:rsidP="008D2C91">
      <w:pPr>
        <w:pStyle w:val="Default"/>
        <w:ind w:left="720"/>
        <w:jc w:val="both"/>
        <w:rPr>
          <w:sz w:val="28"/>
          <w:szCs w:val="28"/>
        </w:rPr>
      </w:pPr>
      <w:r w:rsidRPr="008D2C91">
        <w:rPr>
          <w:sz w:val="28"/>
          <w:szCs w:val="28"/>
        </w:rPr>
        <w:t xml:space="preserve">Former Rules 41 and 42 imposed limitations on the court’s personal jurisdiction over a party when the party was served by publication.  Revised Rule 41 deletes those limitations, and this rule now follows the holding in </w:t>
      </w:r>
      <w:r w:rsidRPr="008D2C91">
        <w:rPr>
          <w:i/>
          <w:iCs/>
          <w:sz w:val="28"/>
          <w:szCs w:val="28"/>
        </w:rPr>
        <w:t>Master Financial, Inc. v. Woodburn</w:t>
      </w:r>
      <w:r w:rsidRPr="008D2C91">
        <w:rPr>
          <w:sz w:val="28"/>
          <w:szCs w:val="28"/>
        </w:rPr>
        <w:t>, 208 Ariz. 70, 74, 90 P.3d 1236 (App. 2004), paragraphs 15-22.  Nevertheless, service by publication is subject to subsequent challenge if it does not satisfy due process standards of being reasonably calculated to give notice to the party being served and providing the best practicable notice under t</w:t>
      </w:r>
      <w:r w:rsidR="00E5212B">
        <w:rPr>
          <w:sz w:val="28"/>
          <w:szCs w:val="28"/>
        </w:rPr>
        <w:t>he circumstances.  See Rules 83</w:t>
      </w:r>
      <w:r w:rsidRPr="008D2C91">
        <w:rPr>
          <w:sz w:val="28"/>
          <w:szCs w:val="28"/>
        </w:rPr>
        <w:t xml:space="preserve"> and 85.</w:t>
      </w:r>
    </w:p>
    <w:p w:rsidR="008D2C91" w:rsidRPr="008D2C91" w:rsidRDefault="008D2C91" w:rsidP="008D2C91">
      <w:pPr>
        <w:pStyle w:val="Default"/>
        <w:ind w:left="720"/>
        <w:jc w:val="both"/>
        <w:rPr>
          <w:sz w:val="28"/>
          <w:szCs w:val="28"/>
        </w:rPr>
      </w:pPr>
    </w:p>
    <w:p w:rsidR="008D2C91" w:rsidRPr="008D2C91" w:rsidRDefault="008D2C91" w:rsidP="00F45C56">
      <w:pPr>
        <w:pStyle w:val="ListParagraph"/>
        <w:spacing w:after="0" w:line="480" w:lineRule="auto"/>
        <w:ind w:left="0" w:firstLine="0"/>
        <w:contextualSpacing w:val="0"/>
        <w:rPr>
          <w:rFonts w:ascii="Times New Roman" w:hAnsi="Times New Roman" w:cs="Times New Roman"/>
          <w:sz w:val="28"/>
          <w:szCs w:val="28"/>
        </w:rPr>
      </w:pPr>
      <w:r w:rsidRPr="008D2C91">
        <w:rPr>
          <w:rFonts w:ascii="Times New Roman" w:hAnsi="Times New Roman" w:cs="Times New Roman"/>
          <w:sz w:val="28"/>
          <w:szCs w:val="28"/>
        </w:rPr>
        <w:lastRenderedPageBreak/>
        <w:t xml:space="preserve">Accordingly, in appropriate circumstances and even when service is made by publication under proposed </w:t>
      </w:r>
      <w:r w:rsidR="00BC4249">
        <w:rPr>
          <w:rFonts w:ascii="Times New Roman" w:hAnsi="Times New Roman" w:cs="Times New Roman"/>
          <w:sz w:val="28"/>
          <w:szCs w:val="28"/>
        </w:rPr>
        <w:t>R</w:t>
      </w:r>
      <w:r w:rsidRPr="008D2C91">
        <w:rPr>
          <w:rFonts w:ascii="Times New Roman" w:hAnsi="Times New Roman" w:cs="Times New Roman"/>
          <w:sz w:val="28"/>
          <w:szCs w:val="28"/>
        </w:rPr>
        <w:t>ule</w:t>
      </w:r>
      <w:r w:rsidR="00BC4249">
        <w:rPr>
          <w:rFonts w:ascii="Times New Roman" w:hAnsi="Times New Roman" w:cs="Times New Roman"/>
          <w:sz w:val="28"/>
          <w:szCs w:val="28"/>
        </w:rPr>
        <w:t xml:space="preserve"> 41(m)</w:t>
      </w:r>
      <w:r w:rsidRPr="008D2C91">
        <w:rPr>
          <w:rFonts w:ascii="Times New Roman" w:hAnsi="Times New Roman" w:cs="Times New Roman"/>
          <w:sz w:val="28"/>
          <w:szCs w:val="28"/>
        </w:rPr>
        <w:t xml:space="preserve">, the court </w:t>
      </w:r>
      <w:r w:rsidR="006E218D">
        <w:rPr>
          <w:rFonts w:ascii="Times New Roman" w:hAnsi="Times New Roman" w:cs="Times New Roman"/>
          <w:sz w:val="28"/>
          <w:szCs w:val="28"/>
        </w:rPr>
        <w:t>would have jurisdiction to</w:t>
      </w:r>
      <w:r w:rsidRPr="008D2C91">
        <w:rPr>
          <w:rFonts w:ascii="Times New Roman" w:hAnsi="Times New Roman" w:cs="Times New Roman"/>
          <w:sz w:val="28"/>
          <w:szCs w:val="28"/>
        </w:rPr>
        <w:t xml:space="preserve"> enter orders concerning paternity, child support, division of marital property, </w:t>
      </w:r>
      <w:r w:rsidR="006E218D">
        <w:rPr>
          <w:rFonts w:ascii="Times New Roman" w:hAnsi="Times New Roman" w:cs="Times New Roman"/>
          <w:sz w:val="28"/>
          <w:szCs w:val="28"/>
        </w:rPr>
        <w:t>and</w:t>
      </w:r>
      <w:r w:rsidRPr="008D2C91">
        <w:rPr>
          <w:rFonts w:ascii="Times New Roman" w:hAnsi="Times New Roman" w:cs="Times New Roman"/>
          <w:sz w:val="28"/>
          <w:szCs w:val="28"/>
        </w:rPr>
        <w:t xml:space="preserve"> other issues. </w:t>
      </w:r>
      <w:r>
        <w:rPr>
          <w:rFonts w:ascii="Times New Roman" w:hAnsi="Times New Roman" w:cs="Times New Roman"/>
          <w:sz w:val="28"/>
          <w:szCs w:val="28"/>
        </w:rPr>
        <w:t xml:space="preserve"> </w:t>
      </w:r>
    </w:p>
    <w:p w:rsidR="009701B8" w:rsidRDefault="006E2F8F" w:rsidP="009701B8">
      <w:pPr>
        <w:pStyle w:val="ListParagraph"/>
        <w:spacing w:line="480" w:lineRule="auto"/>
        <w:ind w:left="0" w:firstLine="720"/>
        <w:rPr>
          <w:rFonts w:ascii="Times New Roman" w:hAnsi="Times New Roman" w:cs="Times New Roman"/>
          <w:sz w:val="28"/>
          <w:szCs w:val="28"/>
        </w:rPr>
      </w:pPr>
      <w:r w:rsidRPr="006E2F8F">
        <w:rPr>
          <w:rFonts w:ascii="Times New Roman" w:hAnsi="Times New Roman" w:cs="Times New Roman"/>
          <w:b/>
          <w:i/>
          <w:sz w:val="28"/>
          <w:szCs w:val="28"/>
        </w:rPr>
        <w:t xml:space="preserve"> </w:t>
      </w:r>
      <w:r w:rsidR="0087379F">
        <w:rPr>
          <w:rFonts w:ascii="Times New Roman" w:hAnsi="Times New Roman" w:cs="Times New Roman"/>
          <w:sz w:val="28"/>
          <w:szCs w:val="28"/>
        </w:rPr>
        <w:t xml:space="preserve">The State Bar’s comment noted, among other things, that the Bar was “concerned about the due process implications of this change,” and the Pima </w:t>
      </w:r>
      <w:r w:rsidR="00537E9C">
        <w:rPr>
          <w:rFonts w:ascii="Times New Roman" w:hAnsi="Times New Roman" w:cs="Times New Roman"/>
          <w:sz w:val="28"/>
          <w:szCs w:val="28"/>
        </w:rPr>
        <w:t xml:space="preserve">bench’s </w:t>
      </w:r>
      <w:r w:rsidR="0087379F">
        <w:rPr>
          <w:rFonts w:ascii="Times New Roman" w:hAnsi="Times New Roman" w:cs="Times New Roman"/>
          <w:sz w:val="28"/>
          <w:szCs w:val="28"/>
        </w:rPr>
        <w:t>comment joined in the Bar’s position.  The formal comment from the Department of Economic Security/Division of Child Support Services said, “because service by publication is not expected to provide actual notice to the party, it is DCSS’s position that it is a better practice to avoid publication.  For support proceedings, it is preferable to consider various types of alternative service that would provide actual notice</w:t>
      </w:r>
      <w:r w:rsidR="00F45C56">
        <w:rPr>
          <w:rFonts w:ascii="Times New Roman" w:hAnsi="Times New Roman" w:cs="Times New Roman"/>
          <w:sz w:val="28"/>
          <w:szCs w:val="28"/>
        </w:rPr>
        <w:t>…. DCSS</w:t>
      </w:r>
      <w:r w:rsidR="0087379F">
        <w:rPr>
          <w:rFonts w:ascii="Times New Roman" w:hAnsi="Times New Roman" w:cs="Times New Roman"/>
          <w:sz w:val="28"/>
          <w:szCs w:val="28"/>
        </w:rPr>
        <w:t xml:space="preserve"> will certainly be called upon to enforce orders obtained in this way and will have difficulty assessing the legitimacy of the service.”</w:t>
      </w:r>
      <w:r w:rsidR="00F45C56">
        <w:rPr>
          <w:rFonts w:ascii="Times New Roman" w:hAnsi="Times New Roman" w:cs="Times New Roman"/>
          <w:sz w:val="28"/>
          <w:szCs w:val="28"/>
        </w:rPr>
        <w:t xml:space="preserve">  DCSS urged the C</w:t>
      </w:r>
      <w:r w:rsidR="0087379F">
        <w:rPr>
          <w:rFonts w:ascii="Times New Roman" w:hAnsi="Times New Roman" w:cs="Times New Roman"/>
          <w:sz w:val="28"/>
          <w:szCs w:val="28"/>
        </w:rPr>
        <w:t>ourt to reject this change</w:t>
      </w:r>
      <w:r w:rsidR="00F45C56">
        <w:rPr>
          <w:rFonts w:ascii="Times New Roman" w:hAnsi="Times New Roman" w:cs="Times New Roman"/>
          <w:sz w:val="28"/>
          <w:szCs w:val="28"/>
        </w:rPr>
        <w:t xml:space="preserve"> or, if service by publication is allowed, that it require</w:t>
      </w:r>
      <w:r w:rsidR="006E218D">
        <w:rPr>
          <w:rFonts w:ascii="Times New Roman" w:hAnsi="Times New Roman" w:cs="Times New Roman"/>
          <w:sz w:val="28"/>
          <w:szCs w:val="28"/>
        </w:rPr>
        <w:t xml:space="preserve"> the court’s</w:t>
      </w:r>
      <w:r w:rsidR="00F45C56">
        <w:rPr>
          <w:rFonts w:ascii="Times New Roman" w:hAnsi="Times New Roman" w:cs="Times New Roman"/>
          <w:sz w:val="28"/>
          <w:szCs w:val="28"/>
        </w:rPr>
        <w:t xml:space="preserve"> pre</w:t>
      </w:r>
      <w:r w:rsidR="006E218D">
        <w:rPr>
          <w:rFonts w:ascii="Times New Roman" w:hAnsi="Times New Roman" w:cs="Times New Roman"/>
          <w:sz w:val="28"/>
          <w:szCs w:val="28"/>
        </w:rPr>
        <w:t>-</w:t>
      </w:r>
      <w:r w:rsidR="00F45C56">
        <w:rPr>
          <w:rFonts w:ascii="Times New Roman" w:hAnsi="Times New Roman" w:cs="Times New Roman"/>
          <w:sz w:val="28"/>
          <w:szCs w:val="28"/>
        </w:rPr>
        <w:t xml:space="preserve">authorization </w:t>
      </w:r>
      <w:r w:rsidR="006E218D">
        <w:rPr>
          <w:rFonts w:ascii="Times New Roman" w:hAnsi="Times New Roman" w:cs="Times New Roman"/>
          <w:sz w:val="28"/>
          <w:szCs w:val="28"/>
        </w:rPr>
        <w:t>and a</w:t>
      </w:r>
      <w:r w:rsidR="00912980">
        <w:rPr>
          <w:rFonts w:ascii="Times New Roman" w:hAnsi="Times New Roman" w:cs="Times New Roman"/>
          <w:sz w:val="28"/>
          <w:szCs w:val="28"/>
        </w:rPr>
        <w:t xml:space="preserve"> judicial</w:t>
      </w:r>
      <w:r w:rsidR="006E218D">
        <w:rPr>
          <w:rFonts w:ascii="Times New Roman" w:hAnsi="Times New Roman" w:cs="Times New Roman"/>
          <w:sz w:val="28"/>
          <w:szCs w:val="28"/>
        </w:rPr>
        <w:t xml:space="preserve"> determination that</w:t>
      </w:r>
      <w:r w:rsidR="00F45C56">
        <w:rPr>
          <w:rFonts w:ascii="Times New Roman" w:hAnsi="Times New Roman" w:cs="Times New Roman"/>
          <w:sz w:val="28"/>
          <w:szCs w:val="28"/>
        </w:rPr>
        <w:t xml:space="preserve"> service by publication is the best means practicable for providing notice under the circumstances.</w:t>
      </w:r>
    </w:p>
    <w:p w:rsidR="00BC2542" w:rsidRDefault="00F45C56" w:rsidP="00F45C56">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rPr>
        <w:t>The Task Force is mindful of the concerns</w:t>
      </w:r>
      <w:r w:rsidR="007E7A9B">
        <w:rPr>
          <w:rFonts w:ascii="Times New Roman" w:hAnsi="Times New Roman" w:cs="Times New Roman"/>
          <w:sz w:val="28"/>
          <w:szCs w:val="28"/>
        </w:rPr>
        <w:t xml:space="preserve"> expressed in the</w:t>
      </w:r>
      <w:r w:rsidR="007A08B1">
        <w:rPr>
          <w:rFonts w:ascii="Times New Roman" w:hAnsi="Times New Roman" w:cs="Times New Roman"/>
          <w:sz w:val="28"/>
          <w:szCs w:val="28"/>
        </w:rPr>
        <w:t>se</w:t>
      </w:r>
      <w:r w:rsidR="007E7A9B">
        <w:rPr>
          <w:rFonts w:ascii="Times New Roman" w:hAnsi="Times New Roman" w:cs="Times New Roman"/>
          <w:sz w:val="28"/>
          <w:szCs w:val="28"/>
        </w:rPr>
        <w:t xml:space="preserve"> comments</w:t>
      </w:r>
      <w:r>
        <w:rPr>
          <w:rFonts w:ascii="Times New Roman" w:hAnsi="Times New Roman" w:cs="Times New Roman"/>
          <w:sz w:val="28"/>
          <w:szCs w:val="28"/>
        </w:rPr>
        <w:t xml:space="preserve">.  But under </w:t>
      </w:r>
      <w:r w:rsidR="00E94962">
        <w:rPr>
          <w:rFonts w:ascii="Times New Roman" w:hAnsi="Times New Roman" w:cs="Times New Roman"/>
          <w:sz w:val="28"/>
          <w:szCs w:val="28"/>
        </w:rPr>
        <w:t xml:space="preserve">proposed </w:t>
      </w:r>
      <w:r w:rsidR="00FB4FBC">
        <w:rPr>
          <w:rFonts w:ascii="Times New Roman" w:hAnsi="Times New Roman" w:cs="Times New Roman"/>
          <w:sz w:val="28"/>
          <w:szCs w:val="28"/>
        </w:rPr>
        <w:t xml:space="preserve">Rule 41(m), </w:t>
      </w:r>
      <w:r>
        <w:rPr>
          <w:rFonts w:ascii="Times New Roman" w:hAnsi="Times New Roman" w:cs="Times New Roman"/>
          <w:sz w:val="28"/>
          <w:szCs w:val="28"/>
        </w:rPr>
        <w:t>a petitioning spouse who serve</w:t>
      </w:r>
      <w:r w:rsidR="00E94962">
        <w:rPr>
          <w:rFonts w:ascii="Times New Roman" w:hAnsi="Times New Roman" w:cs="Times New Roman"/>
          <w:sz w:val="28"/>
          <w:szCs w:val="28"/>
        </w:rPr>
        <w:t>d</w:t>
      </w:r>
      <w:r>
        <w:rPr>
          <w:rFonts w:ascii="Times New Roman" w:hAnsi="Times New Roman" w:cs="Times New Roman"/>
          <w:sz w:val="28"/>
          <w:szCs w:val="28"/>
        </w:rPr>
        <w:t xml:space="preserve"> an unlocatable </w:t>
      </w:r>
      <w:r w:rsidR="00A470A4">
        <w:rPr>
          <w:rFonts w:ascii="Times New Roman" w:hAnsi="Times New Roman" w:cs="Times New Roman"/>
          <w:sz w:val="28"/>
          <w:szCs w:val="28"/>
        </w:rPr>
        <w:t>respondent</w:t>
      </w:r>
      <w:r>
        <w:rPr>
          <w:rFonts w:ascii="Times New Roman" w:hAnsi="Times New Roman" w:cs="Times New Roman"/>
          <w:sz w:val="28"/>
          <w:szCs w:val="28"/>
        </w:rPr>
        <w:t xml:space="preserve"> by publication would no longer be left in limbo about</w:t>
      </w:r>
      <w:r w:rsidR="007E7A9B">
        <w:rPr>
          <w:rFonts w:ascii="Times New Roman" w:hAnsi="Times New Roman" w:cs="Times New Roman"/>
          <w:sz w:val="28"/>
          <w:szCs w:val="28"/>
        </w:rPr>
        <w:t>, for example,</w:t>
      </w:r>
      <w:r>
        <w:rPr>
          <w:rFonts w:ascii="Times New Roman" w:hAnsi="Times New Roman" w:cs="Times New Roman"/>
          <w:sz w:val="28"/>
          <w:szCs w:val="28"/>
        </w:rPr>
        <w:t xml:space="preserve"> </w:t>
      </w:r>
      <w:r>
        <w:rPr>
          <w:rFonts w:ascii="Times New Roman" w:hAnsi="Times New Roman" w:cs="Times New Roman"/>
          <w:sz w:val="28"/>
          <w:szCs w:val="28"/>
        </w:rPr>
        <w:lastRenderedPageBreak/>
        <w:t>ownership of</w:t>
      </w:r>
      <w:r w:rsidR="00912980">
        <w:rPr>
          <w:rFonts w:ascii="Times New Roman" w:hAnsi="Times New Roman" w:cs="Times New Roman"/>
          <w:sz w:val="28"/>
          <w:szCs w:val="28"/>
        </w:rPr>
        <w:t xml:space="preserve"> property</w:t>
      </w:r>
      <w:r>
        <w:rPr>
          <w:rFonts w:ascii="Times New Roman" w:hAnsi="Times New Roman" w:cs="Times New Roman"/>
          <w:sz w:val="28"/>
          <w:szCs w:val="28"/>
        </w:rPr>
        <w:t xml:space="preserve"> or the paternity of a child. </w:t>
      </w:r>
      <w:r w:rsidR="00D362B9">
        <w:rPr>
          <w:rFonts w:ascii="Times New Roman" w:hAnsi="Times New Roman" w:cs="Times New Roman"/>
          <w:sz w:val="28"/>
          <w:szCs w:val="28"/>
        </w:rPr>
        <w:t xml:space="preserve"> </w:t>
      </w:r>
      <w:r>
        <w:rPr>
          <w:rFonts w:ascii="Times New Roman" w:hAnsi="Times New Roman" w:cs="Times New Roman"/>
          <w:sz w:val="28"/>
          <w:szCs w:val="28"/>
        </w:rPr>
        <w:t xml:space="preserve">And the </w:t>
      </w:r>
      <w:r w:rsidR="00E94962">
        <w:rPr>
          <w:rFonts w:ascii="Times New Roman" w:hAnsi="Times New Roman" w:cs="Times New Roman"/>
          <w:sz w:val="28"/>
          <w:szCs w:val="28"/>
        </w:rPr>
        <w:t xml:space="preserve">proposed </w:t>
      </w:r>
      <w:r>
        <w:rPr>
          <w:rFonts w:ascii="Times New Roman" w:hAnsi="Times New Roman" w:cs="Times New Roman"/>
          <w:sz w:val="28"/>
          <w:szCs w:val="28"/>
        </w:rPr>
        <w:t xml:space="preserve">rules provide </w:t>
      </w:r>
      <w:r w:rsidR="00A918D5">
        <w:rPr>
          <w:rFonts w:ascii="Times New Roman" w:hAnsi="Times New Roman" w:cs="Times New Roman"/>
          <w:sz w:val="28"/>
          <w:szCs w:val="28"/>
        </w:rPr>
        <w:t xml:space="preserve">the following </w:t>
      </w:r>
      <w:r>
        <w:rPr>
          <w:rFonts w:ascii="Times New Roman" w:hAnsi="Times New Roman" w:cs="Times New Roman"/>
          <w:sz w:val="28"/>
          <w:szCs w:val="28"/>
        </w:rPr>
        <w:t xml:space="preserve">safeguards </w:t>
      </w:r>
      <w:r w:rsidR="00A918D5">
        <w:rPr>
          <w:rFonts w:ascii="Times New Roman" w:hAnsi="Times New Roman" w:cs="Times New Roman"/>
          <w:sz w:val="28"/>
          <w:szCs w:val="28"/>
        </w:rPr>
        <w:t xml:space="preserve">for </w:t>
      </w:r>
      <w:r w:rsidR="00A470A4">
        <w:rPr>
          <w:rFonts w:ascii="Times New Roman" w:hAnsi="Times New Roman" w:cs="Times New Roman"/>
          <w:sz w:val="28"/>
          <w:szCs w:val="28"/>
        </w:rPr>
        <w:t>a</w:t>
      </w:r>
      <w:r>
        <w:rPr>
          <w:rFonts w:ascii="Times New Roman" w:hAnsi="Times New Roman" w:cs="Times New Roman"/>
          <w:sz w:val="28"/>
          <w:szCs w:val="28"/>
        </w:rPr>
        <w:t xml:space="preserve"> defaulted </w:t>
      </w:r>
      <w:r w:rsidR="00A470A4">
        <w:rPr>
          <w:rFonts w:ascii="Times New Roman" w:hAnsi="Times New Roman" w:cs="Times New Roman"/>
          <w:sz w:val="28"/>
          <w:szCs w:val="28"/>
        </w:rPr>
        <w:t>respondent who was served by publication</w:t>
      </w:r>
      <w:r>
        <w:rPr>
          <w:rFonts w:ascii="Times New Roman" w:hAnsi="Times New Roman" w:cs="Times New Roman"/>
          <w:sz w:val="28"/>
          <w:szCs w:val="28"/>
        </w:rPr>
        <w:t xml:space="preserve">. </w:t>
      </w:r>
    </w:p>
    <w:p w:rsidR="00CA1E50" w:rsidRDefault="00CA1E50" w:rsidP="00F45C56">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rPr>
        <w:t xml:space="preserve">First, </w:t>
      </w:r>
      <w:r w:rsidR="00052724">
        <w:rPr>
          <w:rFonts w:ascii="Times New Roman" w:hAnsi="Times New Roman" w:cs="Times New Roman"/>
          <w:sz w:val="28"/>
          <w:szCs w:val="28"/>
        </w:rPr>
        <w:t xml:space="preserve">if the serving party knows the last known address of the person being served, </w:t>
      </w:r>
      <w:r>
        <w:rPr>
          <w:rFonts w:ascii="Times New Roman" w:hAnsi="Times New Roman" w:cs="Times New Roman"/>
          <w:sz w:val="28"/>
          <w:szCs w:val="28"/>
        </w:rPr>
        <w:t>proposed Rule 41(m)(3) requires</w:t>
      </w:r>
      <w:r w:rsidR="00052724">
        <w:rPr>
          <w:rFonts w:ascii="Times New Roman" w:hAnsi="Times New Roman" w:cs="Times New Roman"/>
          <w:sz w:val="28"/>
          <w:szCs w:val="28"/>
        </w:rPr>
        <w:t xml:space="preserve"> the serving party to mail </w:t>
      </w:r>
      <w:r w:rsidR="00A918D5">
        <w:rPr>
          <w:rFonts w:ascii="Times New Roman" w:hAnsi="Times New Roman" w:cs="Times New Roman"/>
          <w:sz w:val="28"/>
          <w:szCs w:val="28"/>
        </w:rPr>
        <w:t xml:space="preserve">the summons and a copy of the pleading </w:t>
      </w:r>
      <w:r w:rsidR="00052724">
        <w:rPr>
          <w:rFonts w:ascii="Times New Roman" w:hAnsi="Times New Roman" w:cs="Times New Roman"/>
          <w:sz w:val="28"/>
          <w:szCs w:val="28"/>
        </w:rPr>
        <w:t>to th</w:t>
      </w:r>
      <w:r w:rsidR="00A918D5">
        <w:rPr>
          <w:rFonts w:ascii="Times New Roman" w:hAnsi="Times New Roman" w:cs="Times New Roman"/>
          <w:sz w:val="28"/>
          <w:szCs w:val="28"/>
        </w:rPr>
        <w:t>at</w:t>
      </w:r>
      <w:r w:rsidR="00052724">
        <w:rPr>
          <w:rFonts w:ascii="Times New Roman" w:hAnsi="Times New Roman" w:cs="Times New Roman"/>
          <w:sz w:val="28"/>
          <w:szCs w:val="28"/>
        </w:rPr>
        <w:t xml:space="preserve"> person on or before the date of </w:t>
      </w:r>
      <w:r w:rsidR="00A918D5">
        <w:rPr>
          <w:rFonts w:ascii="Times New Roman" w:hAnsi="Times New Roman" w:cs="Times New Roman"/>
          <w:sz w:val="28"/>
          <w:szCs w:val="28"/>
        </w:rPr>
        <w:t>the first publication.</w:t>
      </w:r>
      <w:r w:rsidR="00052724">
        <w:rPr>
          <w:rFonts w:ascii="Times New Roman" w:hAnsi="Times New Roman" w:cs="Times New Roman"/>
          <w:sz w:val="28"/>
          <w:szCs w:val="28"/>
        </w:rPr>
        <w:t xml:space="preserve"> Proposed Rule 41(m)(4) </w:t>
      </w:r>
      <w:r w:rsidR="00A918D5">
        <w:rPr>
          <w:rFonts w:ascii="Times New Roman" w:hAnsi="Times New Roman" w:cs="Times New Roman"/>
          <w:sz w:val="28"/>
          <w:szCs w:val="28"/>
        </w:rPr>
        <w:t>also</w:t>
      </w:r>
      <w:r w:rsidR="00052724">
        <w:rPr>
          <w:rFonts w:ascii="Times New Roman" w:hAnsi="Times New Roman" w:cs="Times New Roman"/>
          <w:sz w:val="28"/>
          <w:szCs w:val="28"/>
        </w:rPr>
        <w:t xml:space="preserve"> requires the serving party to file an affidavit that </w:t>
      </w:r>
      <w:r w:rsidR="00D415AC">
        <w:rPr>
          <w:rFonts w:ascii="Times New Roman" w:hAnsi="Times New Roman" w:cs="Times New Roman"/>
          <w:sz w:val="28"/>
          <w:szCs w:val="28"/>
        </w:rPr>
        <w:t>specifies</w:t>
      </w:r>
      <w:r w:rsidR="00052724">
        <w:rPr>
          <w:rFonts w:ascii="Times New Roman" w:hAnsi="Times New Roman" w:cs="Times New Roman"/>
          <w:sz w:val="28"/>
          <w:szCs w:val="28"/>
        </w:rPr>
        <w:t xml:space="preserve"> the circumstances necessitating service by publication.</w:t>
      </w:r>
    </w:p>
    <w:p w:rsidR="00BC2542" w:rsidRDefault="00CA1E50" w:rsidP="00F45C56">
      <w:pPr>
        <w:pStyle w:val="ListParagraph"/>
        <w:spacing w:after="0" w:line="480" w:lineRule="auto"/>
        <w:ind w:left="0" w:firstLine="720"/>
        <w:contextualSpacing w:val="0"/>
      </w:pPr>
      <w:r>
        <w:rPr>
          <w:rFonts w:ascii="Times New Roman" w:hAnsi="Times New Roman" w:cs="Times New Roman"/>
          <w:sz w:val="28"/>
          <w:szCs w:val="28"/>
        </w:rPr>
        <w:t>Second</w:t>
      </w:r>
      <w:r w:rsidR="00F45C56">
        <w:rPr>
          <w:rFonts w:ascii="Times New Roman" w:hAnsi="Times New Roman" w:cs="Times New Roman"/>
          <w:sz w:val="28"/>
          <w:szCs w:val="28"/>
        </w:rPr>
        <w:t xml:space="preserve">, in the appended version of the proposed rules, the Task Force recently added a new Rule 44.1(a)(3) that says, “the court may not enter a default judgment without a hearing if the party in default was served by publication.” </w:t>
      </w:r>
      <w:r w:rsidR="00D362B9">
        <w:rPr>
          <w:rFonts w:ascii="Times New Roman" w:hAnsi="Times New Roman" w:cs="Times New Roman"/>
          <w:sz w:val="28"/>
          <w:szCs w:val="28"/>
        </w:rPr>
        <w:t xml:space="preserve"> </w:t>
      </w:r>
      <w:r w:rsidR="00775EE4" w:rsidRPr="00775EE4">
        <w:rPr>
          <w:rFonts w:ascii="Times New Roman" w:hAnsi="Times New Roman" w:cs="Times New Roman"/>
          <w:sz w:val="28"/>
          <w:szCs w:val="28"/>
        </w:rPr>
        <w:t>An</w:t>
      </w:r>
      <w:r w:rsidR="00775EE4">
        <w:rPr>
          <w:rFonts w:ascii="Times New Roman" w:hAnsi="Times New Roman" w:cs="Times New Roman"/>
          <w:sz w:val="28"/>
          <w:szCs w:val="28"/>
        </w:rPr>
        <w:t>other</w:t>
      </w:r>
      <w:r w:rsidR="00775EE4" w:rsidRPr="00775EE4">
        <w:rPr>
          <w:rFonts w:ascii="Times New Roman" w:hAnsi="Times New Roman" w:cs="Times New Roman"/>
          <w:sz w:val="28"/>
          <w:szCs w:val="28"/>
        </w:rPr>
        <w:t xml:space="preserve"> </w:t>
      </w:r>
      <w:r w:rsidR="00730220">
        <w:rPr>
          <w:rFonts w:ascii="Times New Roman" w:hAnsi="Times New Roman" w:cs="Times New Roman"/>
          <w:sz w:val="28"/>
          <w:szCs w:val="28"/>
        </w:rPr>
        <w:t xml:space="preserve">recent </w:t>
      </w:r>
      <w:r w:rsidR="00775EE4" w:rsidRPr="00775EE4">
        <w:rPr>
          <w:rFonts w:ascii="Times New Roman" w:hAnsi="Times New Roman" w:cs="Times New Roman"/>
          <w:sz w:val="28"/>
          <w:szCs w:val="28"/>
        </w:rPr>
        <w:t>amendment to Rule 44.2(g) expressly requires the court to “inquire of the steps taken by petitioner to satisfy the due process standards for publication of being reasonably calculated to give notice to the respondent and providing the best practicable notice under the circumstances.</w:t>
      </w:r>
      <w:r w:rsidR="00775EE4">
        <w:rPr>
          <w:rFonts w:ascii="Times New Roman" w:hAnsi="Times New Roman" w:cs="Times New Roman"/>
          <w:sz w:val="28"/>
          <w:szCs w:val="28"/>
        </w:rPr>
        <w:t>”</w:t>
      </w:r>
      <w:r w:rsidR="00775EE4">
        <w:t xml:space="preserve">  </w:t>
      </w:r>
      <w:r w:rsidR="00A918D5">
        <w:rPr>
          <w:rFonts w:ascii="Times New Roman" w:hAnsi="Times New Roman" w:cs="Times New Roman"/>
          <w:sz w:val="28"/>
          <w:szCs w:val="28"/>
        </w:rPr>
        <w:t>A judicial officer will therefore have an opportunity</w:t>
      </w:r>
      <w:r w:rsidR="00A918D5" w:rsidRPr="00775EE4">
        <w:rPr>
          <w:rFonts w:ascii="Times New Roman" w:hAnsi="Times New Roman" w:cs="Times New Roman"/>
          <w:sz w:val="28"/>
          <w:szCs w:val="28"/>
        </w:rPr>
        <w:t xml:space="preserve"> during a hearing at which the petitioner must appear to </w:t>
      </w:r>
      <w:r w:rsidR="00A918D5">
        <w:rPr>
          <w:rFonts w:ascii="Times New Roman" w:hAnsi="Times New Roman" w:cs="Times New Roman"/>
          <w:sz w:val="28"/>
          <w:szCs w:val="28"/>
        </w:rPr>
        <w:t>consider</w:t>
      </w:r>
      <w:r w:rsidR="00A918D5" w:rsidRPr="00775EE4">
        <w:rPr>
          <w:rFonts w:ascii="Times New Roman" w:hAnsi="Times New Roman" w:cs="Times New Roman"/>
          <w:sz w:val="28"/>
          <w:szCs w:val="28"/>
        </w:rPr>
        <w:t xml:space="preserve"> whether petitioner’s service by publication was appropriate.  </w:t>
      </w:r>
    </w:p>
    <w:p w:rsidR="004F002D" w:rsidRDefault="00CA1E50" w:rsidP="00F45C56">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rPr>
        <w:t>Third</w:t>
      </w:r>
      <w:r w:rsidR="00F45C56">
        <w:rPr>
          <w:rFonts w:ascii="Times New Roman" w:hAnsi="Times New Roman" w:cs="Times New Roman"/>
          <w:sz w:val="28"/>
          <w:szCs w:val="28"/>
        </w:rPr>
        <w:t>, an order</w:t>
      </w:r>
      <w:r w:rsidR="00563472">
        <w:rPr>
          <w:rFonts w:ascii="Times New Roman" w:hAnsi="Times New Roman" w:cs="Times New Roman"/>
          <w:sz w:val="28"/>
          <w:szCs w:val="28"/>
        </w:rPr>
        <w:t xml:space="preserve"> entered after service by publication</w:t>
      </w:r>
      <w:r w:rsidR="00F45C56">
        <w:rPr>
          <w:rFonts w:ascii="Times New Roman" w:hAnsi="Times New Roman" w:cs="Times New Roman"/>
          <w:sz w:val="28"/>
          <w:szCs w:val="28"/>
        </w:rPr>
        <w:t>, including a child support order,</w:t>
      </w:r>
      <w:r w:rsidR="00F45C56" w:rsidRPr="008D2C91">
        <w:rPr>
          <w:rFonts w:ascii="Times New Roman" w:hAnsi="Times New Roman" w:cs="Times New Roman"/>
          <w:sz w:val="28"/>
          <w:szCs w:val="28"/>
        </w:rPr>
        <w:t xml:space="preserve"> would be </w:t>
      </w:r>
      <w:r w:rsidR="00912980">
        <w:rPr>
          <w:rFonts w:ascii="Times New Roman" w:hAnsi="Times New Roman" w:cs="Times New Roman"/>
          <w:sz w:val="28"/>
          <w:szCs w:val="28"/>
        </w:rPr>
        <w:t>subject to subsequent challenge</w:t>
      </w:r>
      <w:r w:rsidR="00F45C56" w:rsidRPr="008D2C91">
        <w:rPr>
          <w:rFonts w:ascii="Times New Roman" w:hAnsi="Times New Roman" w:cs="Times New Roman"/>
          <w:sz w:val="28"/>
          <w:szCs w:val="28"/>
        </w:rPr>
        <w:t xml:space="preserve"> by </w:t>
      </w:r>
      <w:r w:rsidR="00F45C56">
        <w:rPr>
          <w:rFonts w:ascii="Times New Roman" w:hAnsi="Times New Roman" w:cs="Times New Roman"/>
          <w:sz w:val="28"/>
          <w:szCs w:val="28"/>
        </w:rPr>
        <w:t>the</w:t>
      </w:r>
      <w:r w:rsidR="00F45C56" w:rsidRPr="008D2C91">
        <w:rPr>
          <w:rFonts w:ascii="Times New Roman" w:hAnsi="Times New Roman" w:cs="Times New Roman"/>
          <w:sz w:val="28"/>
          <w:szCs w:val="28"/>
        </w:rPr>
        <w:t xml:space="preserve"> defaulted </w:t>
      </w:r>
      <w:r w:rsidR="00A470A4">
        <w:rPr>
          <w:rFonts w:ascii="Times New Roman" w:hAnsi="Times New Roman" w:cs="Times New Roman"/>
          <w:sz w:val="28"/>
          <w:szCs w:val="28"/>
        </w:rPr>
        <w:t>party</w:t>
      </w:r>
      <w:r w:rsidR="00F45C56">
        <w:rPr>
          <w:rFonts w:ascii="Times New Roman" w:hAnsi="Times New Roman" w:cs="Times New Roman"/>
          <w:sz w:val="28"/>
          <w:szCs w:val="28"/>
        </w:rPr>
        <w:t xml:space="preserve">.  </w:t>
      </w:r>
      <w:r w:rsidR="00561984">
        <w:rPr>
          <w:rFonts w:ascii="Times New Roman" w:hAnsi="Times New Roman" w:cs="Times New Roman"/>
          <w:sz w:val="28"/>
          <w:szCs w:val="28"/>
        </w:rPr>
        <w:t>A</w:t>
      </w:r>
      <w:r w:rsidR="00563472">
        <w:rPr>
          <w:rFonts w:ascii="Times New Roman" w:hAnsi="Times New Roman" w:cs="Times New Roman"/>
          <w:sz w:val="28"/>
          <w:szCs w:val="28"/>
        </w:rPr>
        <w:t xml:space="preserve"> defaulted </w:t>
      </w:r>
      <w:r w:rsidR="00A470A4">
        <w:rPr>
          <w:rFonts w:ascii="Times New Roman" w:hAnsi="Times New Roman" w:cs="Times New Roman"/>
          <w:sz w:val="28"/>
          <w:szCs w:val="28"/>
        </w:rPr>
        <w:t>party</w:t>
      </w:r>
      <w:r w:rsidR="00E94962">
        <w:rPr>
          <w:rFonts w:ascii="Times New Roman" w:hAnsi="Times New Roman" w:cs="Times New Roman"/>
          <w:sz w:val="28"/>
          <w:szCs w:val="28"/>
        </w:rPr>
        <w:t xml:space="preserve"> who was</w:t>
      </w:r>
      <w:r w:rsidR="007E7A9B">
        <w:rPr>
          <w:rFonts w:ascii="Times New Roman" w:hAnsi="Times New Roman" w:cs="Times New Roman"/>
          <w:sz w:val="28"/>
          <w:szCs w:val="28"/>
        </w:rPr>
        <w:t xml:space="preserve"> </w:t>
      </w:r>
      <w:r w:rsidR="00563472">
        <w:rPr>
          <w:rFonts w:ascii="Times New Roman" w:hAnsi="Times New Roman" w:cs="Times New Roman"/>
          <w:sz w:val="28"/>
          <w:szCs w:val="28"/>
        </w:rPr>
        <w:t>served by publication</w:t>
      </w:r>
      <w:r w:rsidR="00F45C56">
        <w:rPr>
          <w:rFonts w:ascii="Times New Roman" w:hAnsi="Times New Roman" w:cs="Times New Roman"/>
          <w:sz w:val="28"/>
          <w:szCs w:val="28"/>
        </w:rPr>
        <w:t xml:space="preserve"> would have </w:t>
      </w:r>
      <w:r w:rsidR="00537E9C">
        <w:rPr>
          <w:rFonts w:ascii="Times New Roman" w:hAnsi="Times New Roman" w:cs="Times New Roman"/>
          <w:sz w:val="28"/>
          <w:szCs w:val="28"/>
        </w:rPr>
        <w:t>an</w:t>
      </w:r>
      <w:r w:rsidR="00F45C56">
        <w:rPr>
          <w:rFonts w:ascii="Times New Roman" w:hAnsi="Times New Roman" w:cs="Times New Roman"/>
          <w:sz w:val="28"/>
          <w:szCs w:val="28"/>
        </w:rPr>
        <w:t xml:space="preserve"> opportunity </w:t>
      </w:r>
      <w:r w:rsidR="00561984">
        <w:rPr>
          <w:rFonts w:ascii="Times New Roman" w:hAnsi="Times New Roman" w:cs="Times New Roman"/>
          <w:sz w:val="28"/>
          <w:szCs w:val="28"/>
        </w:rPr>
        <w:t xml:space="preserve">within one year after entry of judgment under Rule 83(e), </w:t>
      </w:r>
      <w:r w:rsidR="00A40CC7">
        <w:rPr>
          <w:rFonts w:ascii="Times New Roman" w:hAnsi="Times New Roman" w:cs="Times New Roman"/>
          <w:sz w:val="28"/>
          <w:szCs w:val="28"/>
        </w:rPr>
        <w:t>or</w:t>
      </w:r>
      <w:r w:rsidR="00561984">
        <w:rPr>
          <w:rFonts w:ascii="Times New Roman" w:hAnsi="Times New Roman" w:cs="Times New Roman"/>
          <w:sz w:val="28"/>
          <w:szCs w:val="28"/>
        </w:rPr>
        <w:t xml:space="preserve"> under the </w:t>
      </w:r>
      <w:r w:rsidR="00C91043">
        <w:rPr>
          <w:rFonts w:ascii="Times New Roman" w:hAnsi="Times New Roman" w:cs="Times New Roman"/>
          <w:sz w:val="28"/>
          <w:szCs w:val="28"/>
        </w:rPr>
        <w:t>reasonable</w:t>
      </w:r>
      <w:r w:rsidR="007E7A9B">
        <w:rPr>
          <w:rFonts w:ascii="Times New Roman" w:hAnsi="Times New Roman" w:cs="Times New Roman"/>
          <w:sz w:val="28"/>
          <w:szCs w:val="28"/>
        </w:rPr>
        <w:t xml:space="preserve"> time </w:t>
      </w:r>
      <w:r w:rsidR="00511A66">
        <w:rPr>
          <w:rFonts w:ascii="Times New Roman" w:hAnsi="Times New Roman" w:cs="Times New Roman"/>
          <w:sz w:val="28"/>
          <w:szCs w:val="28"/>
        </w:rPr>
        <w:t>allowed by</w:t>
      </w:r>
      <w:r w:rsidR="00561984">
        <w:rPr>
          <w:rFonts w:ascii="Times New Roman" w:hAnsi="Times New Roman" w:cs="Times New Roman"/>
          <w:sz w:val="28"/>
          <w:szCs w:val="28"/>
        </w:rPr>
        <w:t xml:space="preserve"> </w:t>
      </w:r>
      <w:r w:rsidR="00561984">
        <w:rPr>
          <w:rFonts w:ascii="Times New Roman" w:hAnsi="Times New Roman" w:cs="Times New Roman"/>
          <w:sz w:val="28"/>
          <w:szCs w:val="28"/>
        </w:rPr>
        <w:lastRenderedPageBreak/>
        <w:t>Rule 85</w:t>
      </w:r>
      <w:r w:rsidR="00A40CC7">
        <w:rPr>
          <w:rFonts w:ascii="Times New Roman" w:hAnsi="Times New Roman" w:cs="Times New Roman"/>
          <w:sz w:val="28"/>
          <w:szCs w:val="28"/>
        </w:rPr>
        <w:t>(b)(6)</w:t>
      </w:r>
      <w:r w:rsidR="00561984">
        <w:rPr>
          <w:rFonts w:ascii="Times New Roman" w:hAnsi="Times New Roman" w:cs="Times New Roman"/>
          <w:sz w:val="28"/>
          <w:szCs w:val="28"/>
        </w:rPr>
        <w:t xml:space="preserve">, to </w:t>
      </w:r>
      <w:r w:rsidR="00BC2542">
        <w:rPr>
          <w:rFonts w:ascii="Times New Roman" w:hAnsi="Times New Roman" w:cs="Times New Roman"/>
          <w:sz w:val="28"/>
          <w:szCs w:val="28"/>
        </w:rPr>
        <w:t xml:space="preserve">appear and </w:t>
      </w:r>
      <w:r w:rsidR="00561984">
        <w:rPr>
          <w:rFonts w:ascii="Times New Roman" w:hAnsi="Times New Roman" w:cs="Times New Roman"/>
          <w:sz w:val="28"/>
          <w:szCs w:val="28"/>
        </w:rPr>
        <w:t xml:space="preserve">contest </w:t>
      </w:r>
      <w:r w:rsidR="00563472">
        <w:rPr>
          <w:rFonts w:ascii="Times New Roman" w:hAnsi="Times New Roman" w:cs="Times New Roman"/>
          <w:sz w:val="28"/>
          <w:szCs w:val="28"/>
        </w:rPr>
        <w:t xml:space="preserve">whether service by publication fulfilled due process requirements. </w:t>
      </w:r>
    </w:p>
    <w:p w:rsidR="007E7A9B" w:rsidRDefault="00E70255" w:rsidP="00F45C56">
      <w:pPr>
        <w:pStyle w:val="ListParagraph"/>
        <w:spacing w:after="0" w:line="480" w:lineRule="auto"/>
        <w:ind w:left="0" w:firstLine="720"/>
        <w:contextualSpacing w:val="0"/>
        <w:rPr>
          <w:rFonts w:ascii="Times New Roman" w:hAnsi="Times New Roman" w:cs="Times New Roman"/>
          <w:sz w:val="28"/>
          <w:szCs w:val="28"/>
        </w:rPr>
      </w:pPr>
      <w:bookmarkStart w:id="0" w:name="_Hlk518565248"/>
      <w:r>
        <w:rPr>
          <w:rFonts w:ascii="Times New Roman" w:hAnsi="Times New Roman" w:cs="Times New Roman"/>
          <w:sz w:val="28"/>
          <w:szCs w:val="28"/>
        </w:rPr>
        <w:t>Although the</w:t>
      </w:r>
      <w:r w:rsidR="00BC4249">
        <w:rPr>
          <w:rFonts w:ascii="Times New Roman" w:hAnsi="Times New Roman" w:cs="Times New Roman"/>
          <w:sz w:val="28"/>
          <w:szCs w:val="28"/>
        </w:rPr>
        <w:t xml:space="preserve"> method of </w:t>
      </w:r>
      <w:r w:rsidR="00561984">
        <w:rPr>
          <w:rFonts w:ascii="Times New Roman" w:hAnsi="Times New Roman" w:cs="Times New Roman"/>
          <w:sz w:val="28"/>
          <w:szCs w:val="28"/>
        </w:rPr>
        <w:t xml:space="preserve">alternative service </w:t>
      </w:r>
      <w:r>
        <w:rPr>
          <w:rFonts w:ascii="Times New Roman" w:hAnsi="Times New Roman" w:cs="Times New Roman"/>
          <w:sz w:val="28"/>
          <w:szCs w:val="28"/>
        </w:rPr>
        <w:t>preferred</w:t>
      </w:r>
      <w:r w:rsidR="00561984">
        <w:rPr>
          <w:rFonts w:ascii="Times New Roman" w:hAnsi="Times New Roman" w:cs="Times New Roman"/>
          <w:sz w:val="28"/>
          <w:szCs w:val="28"/>
        </w:rPr>
        <w:t xml:space="preserve"> </w:t>
      </w:r>
      <w:r w:rsidR="004A76A9">
        <w:rPr>
          <w:rFonts w:ascii="Times New Roman" w:hAnsi="Times New Roman" w:cs="Times New Roman"/>
          <w:sz w:val="28"/>
          <w:szCs w:val="28"/>
        </w:rPr>
        <w:t>by</w:t>
      </w:r>
      <w:r w:rsidR="00561984">
        <w:rPr>
          <w:rFonts w:ascii="Times New Roman" w:hAnsi="Times New Roman" w:cs="Times New Roman"/>
          <w:sz w:val="28"/>
          <w:szCs w:val="28"/>
        </w:rPr>
        <w:t xml:space="preserve"> the comments </w:t>
      </w:r>
      <w:r>
        <w:rPr>
          <w:rFonts w:ascii="Times New Roman" w:hAnsi="Times New Roman" w:cs="Times New Roman"/>
          <w:sz w:val="28"/>
          <w:szCs w:val="28"/>
        </w:rPr>
        <w:t xml:space="preserve">requires </w:t>
      </w:r>
      <w:r w:rsidR="00561984">
        <w:rPr>
          <w:rFonts w:ascii="Times New Roman" w:hAnsi="Times New Roman" w:cs="Times New Roman"/>
          <w:sz w:val="28"/>
          <w:szCs w:val="28"/>
        </w:rPr>
        <w:t>judicial approval</w:t>
      </w:r>
      <w:r>
        <w:rPr>
          <w:rFonts w:ascii="Times New Roman" w:hAnsi="Times New Roman" w:cs="Times New Roman"/>
          <w:sz w:val="28"/>
          <w:szCs w:val="28"/>
        </w:rPr>
        <w:t>, the approval is</w:t>
      </w:r>
      <w:r w:rsidR="008A5268">
        <w:rPr>
          <w:rFonts w:ascii="Times New Roman" w:hAnsi="Times New Roman" w:cs="Times New Roman"/>
          <w:sz w:val="28"/>
          <w:szCs w:val="28"/>
        </w:rPr>
        <w:t xml:space="preserve"> based on </w:t>
      </w:r>
      <w:r w:rsidR="00561984">
        <w:rPr>
          <w:rFonts w:ascii="Times New Roman" w:hAnsi="Times New Roman" w:cs="Times New Roman"/>
          <w:sz w:val="28"/>
          <w:szCs w:val="28"/>
        </w:rPr>
        <w:t xml:space="preserve">an </w:t>
      </w:r>
      <w:r w:rsidR="00561984" w:rsidRPr="00A40CC7">
        <w:rPr>
          <w:rFonts w:ascii="Times New Roman" w:hAnsi="Times New Roman" w:cs="Times New Roman"/>
          <w:i/>
          <w:sz w:val="28"/>
          <w:szCs w:val="28"/>
        </w:rPr>
        <w:t xml:space="preserve">ex </w:t>
      </w:r>
      <w:proofErr w:type="spellStart"/>
      <w:r w:rsidR="00561984" w:rsidRPr="00A40CC7">
        <w:rPr>
          <w:rFonts w:ascii="Times New Roman" w:hAnsi="Times New Roman" w:cs="Times New Roman"/>
          <w:i/>
          <w:sz w:val="28"/>
          <w:szCs w:val="28"/>
        </w:rPr>
        <w:t>parte</w:t>
      </w:r>
      <w:proofErr w:type="spellEnd"/>
      <w:r w:rsidR="00561984">
        <w:rPr>
          <w:rFonts w:ascii="Times New Roman" w:hAnsi="Times New Roman" w:cs="Times New Roman"/>
          <w:sz w:val="28"/>
          <w:szCs w:val="28"/>
        </w:rPr>
        <w:t xml:space="preserve"> request</w:t>
      </w:r>
      <w:r w:rsidR="004A76A9">
        <w:rPr>
          <w:rFonts w:ascii="Times New Roman" w:hAnsi="Times New Roman" w:cs="Times New Roman"/>
          <w:sz w:val="28"/>
          <w:szCs w:val="28"/>
        </w:rPr>
        <w:t xml:space="preserve">. </w:t>
      </w:r>
      <w:r w:rsidR="0008491E">
        <w:rPr>
          <w:rFonts w:ascii="Times New Roman" w:hAnsi="Times New Roman" w:cs="Times New Roman"/>
          <w:sz w:val="28"/>
          <w:szCs w:val="28"/>
        </w:rPr>
        <w:t>(</w:t>
      </w:r>
      <w:r w:rsidR="0008491E" w:rsidRPr="0008491E">
        <w:rPr>
          <w:rFonts w:ascii="Times New Roman" w:hAnsi="Times New Roman" w:cs="Times New Roman"/>
          <w:i/>
          <w:sz w:val="28"/>
          <w:szCs w:val="28"/>
        </w:rPr>
        <w:t>See</w:t>
      </w:r>
      <w:r w:rsidR="0008491E">
        <w:rPr>
          <w:rFonts w:ascii="Times New Roman" w:hAnsi="Times New Roman" w:cs="Times New Roman"/>
          <w:sz w:val="28"/>
          <w:szCs w:val="28"/>
        </w:rPr>
        <w:t xml:space="preserve"> proposed Rule 41(l), which allows a request for alternative service “on motion and without notice to the person to be served.”)</w:t>
      </w:r>
      <w:r w:rsidR="00561984">
        <w:rPr>
          <w:rFonts w:ascii="Times New Roman" w:hAnsi="Times New Roman" w:cs="Times New Roman"/>
          <w:sz w:val="28"/>
          <w:szCs w:val="28"/>
        </w:rPr>
        <w:t xml:space="preserve">  </w:t>
      </w:r>
      <w:r>
        <w:rPr>
          <w:rFonts w:ascii="Times New Roman" w:hAnsi="Times New Roman" w:cs="Times New Roman"/>
          <w:sz w:val="28"/>
          <w:szCs w:val="28"/>
        </w:rPr>
        <w:t>After</w:t>
      </w:r>
      <w:r w:rsidR="004A76A9">
        <w:rPr>
          <w:rFonts w:ascii="Times New Roman" w:hAnsi="Times New Roman" w:cs="Times New Roman"/>
          <w:sz w:val="28"/>
          <w:szCs w:val="28"/>
        </w:rPr>
        <w:t xml:space="preserve"> a party is served by an alternative method, the rules </w:t>
      </w:r>
      <w:r>
        <w:rPr>
          <w:rFonts w:ascii="Times New Roman" w:hAnsi="Times New Roman" w:cs="Times New Roman"/>
          <w:sz w:val="28"/>
          <w:szCs w:val="28"/>
        </w:rPr>
        <w:t xml:space="preserve">allow the entry of </w:t>
      </w:r>
      <w:bookmarkStart w:id="1" w:name="_GoBack"/>
      <w:bookmarkEnd w:id="1"/>
      <w:r>
        <w:rPr>
          <w:rFonts w:ascii="Times New Roman" w:hAnsi="Times New Roman" w:cs="Times New Roman"/>
          <w:sz w:val="28"/>
          <w:szCs w:val="28"/>
        </w:rPr>
        <w:t>default judgment without the need for petitioner to appear</w:t>
      </w:r>
      <w:r w:rsidR="004A76A9">
        <w:rPr>
          <w:rFonts w:ascii="Times New Roman" w:hAnsi="Times New Roman" w:cs="Times New Roman"/>
          <w:sz w:val="28"/>
          <w:szCs w:val="28"/>
        </w:rPr>
        <w:t xml:space="preserve"> in court. </w:t>
      </w:r>
      <w:r>
        <w:rPr>
          <w:rFonts w:ascii="Times New Roman" w:hAnsi="Times New Roman" w:cs="Times New Roman"/>
          <w:sz w:val="28"/>
          <w:szCs w:val="28"/>
        </w:rPr>
        <w:t xml:space="preserve">By comparison, under the proposed rules for service by publication, a petitioner is required to appear at default hearing and </w:t>
      </w:r>
      <w:r>
        <w:rPr>
          <w:rFonts w:ascii="Times New Roman" w:hAnsi="Times New Roman" w:cs="Times New Roman"/>
          <w:sz w:val="28"/>
          <w:szCs w:val="28"/>
        </w:rPr>
        <w:t xml:space="preserve">personally </w:t>
      </w:r>
      <w:r>
        <w:rPr>
          <w:rFonts w:ascii="Times New Roman" w:hAnsi="Times New Roman" w:cs="Times New Roman"/>
          <w:sz w:val="28"/>
          <w:szCs w:val="28"/>
        </w:rPr>
        <w:t xml:space="preserve">explain the steps that were taken to satisfy due process.  </w:t>
      </w:r>
    </w:p>
    <w:bookmarkEnd w:id="0"/>
    <w:p w:rsidR="00F45C56" w:rsidRPr="008D2C91" w:rsidRDefault="0008491E" w:rsidP="00F45C56">
      <w:pPr>
        <w:pStyle w:val="ListParagraph"/>
        <w:spacing w:after="0" w:line="480" w:lineRule="auto"/>
        <w:ind w:left="0" w:firstLine="720"/>
        <w:contextualSpacing w:val="0"/>
        <w:rPr>
          <w:rFonts w:ascii="Times New Roman" w:hAnsi="Times New Roman" w:cs="Times New Roman"/>
          <w:sz w:val="28"/>
          <w:szCs w:val="28"/>
        </w:rPr>
      </w:pPr>
      <w:r>
        <w:rPr>
          <w:rFonts w:ascii="Times New Roman" w:hAnsi="Times New Roman" w:cs="Times New Roman"/>
          <w:sz w:val="28"/>
          <w:szCs w:val="28"/>
        </w:rPr>
        <w:t>Whether the</w:t>
      </w:r>
      <w:r w:rsidR="00561984">
        <w:rPr>
          <w:rFonts w:ascii="Times New Roman" w:hAnsi="Times New Roman" w:cs="Times New Roman"/>
          <w:sz w:val="28"/>
          <w:szCs w:val="28"/>
        </w:rPr>
        <w:t xml:space="preserve"> Task Force</w:t>
      </w:r>
      <w:r w:rsidR="007A08B1">
        <w:rPr>
          <w:rFonts w:ascii="Times New Roman" w:hAnsi="Times New Roman" w:cs="Times New Roman"/>
          <w:sz w:val="28"/>
          <w:szCs w:val="28"/>
        </w:rPr>
        <w:t>’s proposed</w:t>
      </w:r>
      <w:r w:rsidR="00561984">
        <w:rPr>
          <w:rFonts w:ascii="Times New Roman" w:hAnsi="Times New Roman" w:cs="Times New Roman"/>
          <w:sz w:val="28"/>
          <w:szCs w:val="28"/>
        </w:rPr>
        <w:t xml:space="preserve"> </w:t>
      </w:r>
      <w:r w:rsidR="007A08B1">
        <w:rPr>
          <w:rFonts w:ascii="Times New Roman" w:hAnsi="Times New Roman" w:cs="Times New Roman"/>
          <w:sz w:val="28"/>
          <w:szCs w:val="28"/>
        </w:rPr>
        <w:t>Rule 41(m)</w:t>
      </w:r>
      <w:r>
        <w:rPr>
          <w:rFonts w:ascii="Times New Roman" w:hAnsi="Times New Roman" w:cs="Times New Roman"/>
          <w:sz w:val="28"/>
          <w:szCs w:val="28"/>
        </w:rPr>
        <w:t xml:space="preserve"> is </w:t>
      </w:r>
      <w:r w:rsidR="008A5268">
        <w:rPr>
          <w:rFonts w:ascii="Times New Roman" w:hAnsi="Times New Roman" w:cs="Times New Roman"/>
          <w:sz w:val="28"/>
          <w:szCs w:val="28"/>
        </w:rPr>
        <w:t>consistent with</w:t>
      </w:r>
      <w:r>
        <w:rPr>
          <w:rFonts w:ascii="Times New Roman" w:hAnsi="Times New Roman" w:cs="Times New Roman"/>
          <w:sz w:val="28"/>
          <w:szCs w:val="28"/>
        </w:rPr>
        <w:t xml:space="preserve"> due process</w:t>
      </w:r>
      <w:r w:rsidR="004A76A9">
        <w:rPr>
          <w:rFonts w:ascii="Times New Roman" w:hAnsi="Times New Roman" w:cs="Times New Roman"/>
          <w:sz w:val="28"/>
          <w:szCs w:val="28"/>
        </w:rPr>
        <w:t xml:space="preserve"> and improves current rule provisions concerning service by publication are</w:t>
      </w:r>
      <w:r w:rsidR="008A5268">
        <w:rPr>
          <w:rFonts w:ascii="Times New Roman" w:hAnsi="Times New Roman" w:cs="Times New Roman"/>
          <w:sz w:val="28"/>
          <w:szCs w:val="28"/>
        </w:rPr>
        <w:t xml:space="preserve"> </w:t>
      </w:r>
      <w:r w:rsidR="00561984">
        <w:rPr>
          <w:rFonts w:ascii="Times New Roman" w:hAnsi="Times New Roman" w:cs="Times New Roman"/>
          <w:sz w:val="28"/>
          <w:szCs w:val="28"/>
        </w:rPr>
        <w:t xml:space="preserve">policy </w:t>
      </w:r>
      <w:r w:rsidR="00511A66">
        <w:rPr>
          <w:rFonts w:ascii="Times New Roman" w:hAnsi="Times New Roman" w:cs="Times New Roman"/>
          <w:sz w:val="28"/>
          <w:szCs w:val="28"/>
        </w:rPr>
        <w:t>question</w:t>
      </w:r>
      <w:r w:rsidR="004A76A9">
        <w:rPr>
          <w:rFonts w:ascii="Times New Roman" w:hAnsi="Times New Roman" w:cs="Times New Roman"/>
          <w:sz w:val="28"/>
          <w:szCs w:val="28"/>
        </w:rPr>
        <w:t>s</w:t>
      </w:r>
      <w:r w:rsidR="00561984">
        <w:rPr>
          <w:rFonts w:ascii="Times New Roman" w:hAnsi="Times New Roman" w:cs="Times New Roman"/>
          <w:sz w:val="28"/>
          <w:szCs w:val="28"/>
        </w:rPr>
        <w:t xml:space="preserve"> </w:t>
      </w:r>
      <w:r w:rsidR="00511A66">
        <w:rPr>
          <w:rFonts w:ascii="Times New Roman" w:hAnsi="Times New Roman" w:cs="Times New Roman"/>
          <w:sz w:val="28"/>
          <w:szCs w:val="28"/>
        </w:rPr>
        <w:t>for</w:t>
      </w:r>
      <w:r w:rsidR="00561984">
        <w:rPr>
          <w:rFonts w:ascii="Times New Roman" w:hAnsi="Times New Roman" w:cs="Times New Roman"/>
          <w:sz w:val="28"/>
          <w:szCs w:val="28"/>
        </w:rPr>
        <w:t xml:space="preserve"> the Court</w:t>
      </w:r>
      <w:r w:rsidR="00511A66">
        <w:rPr>
          <w:rFonts w:ascii="Times New Roman" w:hAnsi="Times New Roman" w:cs="Times New Roman"/>
          <w:sz w:val="28"/>
          <w:szCs w:val="28"/>
        </w:rPr>
        <w:t>’s determination</w:t>
      </w:r>
      <w:r w:rsidR="00561984">
        <w:rPr>
          <w:rFonts w:ascii="Times New Roman" w:hAnsi="Times New Roman" w:cs="Times New Roman"/>
          <w:sz w:val="28"/>
          <w:szCs w:val="28"/>
        </w:rPr>
        <w:t>.</w:t>
      </w:r>
    </w:p>
    <w:p w:rsidR="007E7A9B" w:rsidRPr="007E7A9B" w:rsidRDefault="00D43174" w:rsidP="007E7A9B">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b/>
          <w:i/>
          <w:sz w:val="28"/>
          <w:szCs w:val="28"/>
        </w:rPr>
        <w:t xml:space="preserve">(c) </w:t>
      </w:r>
      <w:r w:rsidR="00CB01FF" w:rsidRPr="007E7A9B">
        <w:rPr>
          <w:rFonts w:ascii="Times New Roman" w:hAnsi="Times New Roman" w:cs="Times New Roman"/>
          <w:b/>
          <w:i/>
          <w:sz w:val="28"/>
          <w:szCs w:val="28"/>
        </w:rPr>
        <w:t>Resolution management conferences.</w:t>
      </w:r>
      <w:r w:rsidR="007E7A9B" w:rsidRPr="007E7A9B">
        <w:rPr>
          <w:rFonts w:ascii="Times New Roman" w:hAnsi="Times New Roman" w:cs="Times New Roman"/>
          <w:b/>
          <w:i/>
          <w:sz w:val="28"/>
          <w:szCs w:val="28"/>
        </w:rPr>
        <w:t xml:space="preserve"> </w:t>
      </w:r>
      <w:r w:rsidR="00D362B9">
        <w:rPr>
          <w:rFonts w:ascii="Times New Roman" w:hAnsi="Times New Roman" w:cs="Times New Roman"/>
          <w:b/>
          <w:i/>
          <w:sz w:val="28"/>
          <w:szCs w:val="28"/>
        </w:rPr>
        <w:t xml:space="preserve"> </w:t>
      </w:r>
      <w:r w:rsidR="007E7A9B" w:rsidRPr="007E7A9B">
        <w:rPr>
          <w:rFonts w:ascii="Times New Roman" w:hAnsi="Times New Roman" w:cs="Times New Roman"/>
          <w:sz w:val="28"/>
          <w:szCs w:val="28"/>
        </w:rPr>
        <w:t>Rule 76 concerns resolution management conferences</w:t>
      </w:r>
      <w:r w:rsidR="006965C9">
        <w:rPr>
          <w:rFonts w:ascii="Times New Roman" w:hAnsi="Times New Roman" w:cs="Times New Roman"/>
          <w:sz w:val="28"/>
          <w:szCs w:val="28"/>
        </w:rPr>
        <w:t xml:space="preserve"> (“RMC”)</w:t>
      </w:r>
      <w:r w:rsidR="007E7A9B" w:rsidRPr="007E7A9B">
        <w:rPr>
          <w:rFonts w:ascii="Times New Roman" w:hAnsi="Times New Roman" w:cs="Times New Roman"/>
          <w:sz w:val="28"/>
          <w:szCs w:val="28"/>
        </w:rPr>
        <w:t xml:space="preserve">. </w:t>
      </w:r>
      <w:r w:rsidR="00D362B9">
        <w:rPr>
          <w:rFonts w:ascii="Times New Roman" w:hAnsi="Times New Roman" w:cs="Times New Roman"/>
          <w:sz w:val="28"/>
          <w:szCs w:val="28"/>
        </w:rPr>
        <w:t xml:space="preserve"> </w:t>
      </w:r>
      <w:r w:rsidR="007E7A9B" w:rsidRPr="007E7A9B">
        <w:rPr>
          <w:rFonts w:ascii="Times New Roman" w:hAnsi="Times New Roman" w:cs="Times New Roman"/>
          <w:sz w:val="28"/>
          <w:szCs w:val="28"/>
        </w:rPr>
        <w:t xml:space="preserve">Rule 76(a) provides that “the court may, and on a party’s request must, set an RMC.” </w:t>
      </w:r>
      <w:r w:rsidR="00D362B9">
        <w:rPr>
          <w:rFonts w:ascii="Times New Roman" w:hAnsi="Times New Roman" w:cs="Times New Roman"/>
          <w:sz w:val="28"/>
          <w:szCs w:val="28"/>
        </w:rPr>
        <w:t xml:space="preserve"> </w:t>
      </w:r>
      <w:r w:rsidR="007E7A9B" w:rsidRPr="007E7A9B">
        <w:rPr>
          <w:rFonts w:ascii="Times New Roman" w:hAnsi="Times New Roman" w:cs="Times New Roman"/>
          <w:sz w:val="28"/>
          <w:szCs w:val="28"/>
        </w:rPr>
        <w:t xml:space="preserve">The State Bar’s comment suggested that setting an RMC on a party’s request could be burdensome to the court and used by a party for delay or other inappropriate purposes. </w:t>
      </w:r>
      <w:r w:rsidR="00D362B9">
        <w:rPr>
          <w:rFonts w:ascii="Times New Roman" w:hAnsi="Times New Roman" w:cs="Times New Roman"/>
          <w:sz w:val="28"/>
          <w:szCs w:val="28"/>
        </w:rPr>
        <w:t xml:space="preserve"> </w:t>
      </w:r>
      <w:r w:rsidR="007E7A9B">
        <w:rPr>
          <w:rFonts w:ascii="Times New Roman" w:hAnsi="Times New Roman" w:cs="Times New Roman"/>
          <w:sz w:val="28"/>
          <w:szCs w:val="28"/>
        </w:rPr>
        <w:t>T</w:t>
      </w:r>
      <w:r w:rsidR="007E7A9B" w:rsidRPr="007E7A9B">
        <w:rPr>
          <w:rFonts w:ascii="Times New Roman" w:hAnsi="Times New Roman" w:cs="Times New Roman"/>
          <w:sz w:val="28"/>
          <w:szCs w:val="28"/>
        </w:rPr>
        <w:t>he Pima County bench</w:t>
      </w:r>
      <w:r w:rsidR="007E7A9B">
        <w:rPr>
          <w:rFonts w:ascii="Times New Roman" w:hAnsi="Times New Roman" w:cs="Times New Roman"/>
          <w:sz w:val="28"/>
          <w:szCs w:val="28"/>
        </w:rPr>
        <w:t xml:space="preserve"> joined in this view.</w:t>
      </w:r>
      <w:r w:rsidR="007E7A9B" w:rsidRPr="007E7A9B">
        <w:rPr>
          <w:rFonts w:ascii="Times New Roman" w:hAnsi="Times New Roman" w:cs="Times New Roman"/>
          <w:sz w:val="28"/>
          <w:szCs w:val="28"/>
        </w:rPr>
        <w:t xml:space="preserve">  </w:t>
      </w:r>
      <w:r w:rsidR="00C2229A">
        <w:rPr>
          <w:rFonts w:ascii="Times New Roman" w:hAnsi="Times New Roman" w:cs="Times New Roman"/>
          <w:sz w:val="28"/>
          <w:szCs w:val="28"/>
        </w:rPr>
        <w:t>Task Force m</w:t>
      </w:r>
      <w:r w:rsidR="007E7A9B" w:rsidRPr="007E7A9B">
        <w:rPr>
          <w:rFonts w:ascii="Times New Roman" w:hAnsi="Times New Roman" w:cs="Times New Roman"/>
          <w:sz w:val="28"/>
          <w:szCs w:val="28"/>
        </w:rPr>
        <w:t>embers</w:t>
      </w:r>
      <w:r w:rsidR="00C2229A">
        <w:rPr>
          <w:rFonts w:ascii="Times New Roman" w:hAnsi="Times New Roman" w:cs="Times New Roman"/>
          <w:sz w:val="28"/>
          <w:szCs w:val="28"/>
        </w:rPr>
        <w:t>, however,</w:t>
      </w:r>
      <w:r w:rsidR="007E7A9B" w:rsidRPr="007E7A9B">
        <w:rPr>
          <w:rFonts w:ascii="Times New Roman" w:hAnsi="Times New Roman" w:cs="Times New Roman"/>
          <w:sz w:val="28"/>
          <w:szCs w:val="28"/>
        </w:rPr>
        <w:t xml:space="preserve"> disagreed.  Under Civil Rule 16(d), the court must set a scheduling conference on a party’s request, and the </w:t>
      </w:r>
      <w:r w:rsidR="00511A66">
        <w:rPr>
          <w:rFonts w:ascii="Times New Roman" w:hAnsi="Times New Roman" w:cs="Times New Roman"/>
          <w:sz w:val="28"/>
          <w:szCs w:val="28"/>
        </w:rPr>
        <w:t xml:space="preserve">proposed </w:t>
      </w:r>
      <w:r w:rsidR="007E7A9B" w:rsidRPr="007E7A9B">
        <w:rPr>
          <w:rFonts w:ascii="Times New Roman" w:hAnsi="Times New Roman" w:cs="Times New Roman"/>
          <w:sz w:val="28"/>
          <w:szCs w:val="28"/>
        </w:rPr>
        <w:t xml:space="preserve">family </w:t>
      </w:r>
      <w:r w:rsidR="007E7A9B" w:rsidRPr="007E7A9B">
        <w:rPr>
          <w:rFonts w:ascii="Times New Roman" w:hAnsi="Times New Roman" w:cs="Times New Roman"/>
          <w:sz w:val="28"/>
          <w:szCs w:val="28"/>
        </w:rPr>
        <w:lastRenderedPageBreak/>
        <w:t xml:space="preserve">rule follows that principle. Task Force members agreed that an RMC, when done right, can be productive and reduce the parties’ burdens.  Litigants who ask for an RMC have an issue they want to present to a judge, and although RMCs might not be popular in every county, members agreed to retain this provision. </w:t>
      </w:r>
    </w:p>
    <w:p w:rsidR="007E7A9B" w:rsidRPr="007E7A9B" w:rsidRDefault="007E7A9B" w:rsidP="007E7A9B">
      <w:pPr>
        <w:pStyle w:val="ListParagraph"/>
        <w:spacing w:line="480" w:lineRule="auto"/>
        <w:ind w:left="0" w:firstLine="720"/>
        <w:rPr>
          <w:rFonts w:ascii="Times New Roman" w:hAnsi="Times New Roman" w:cs="Times New Roman"/>
          <w:sz w:val="28"/>
          <w:szCs w:val="28"/>
        </w:rPr>
      </w:pPr>
      <w:r w:rsidRPr="007E7A9B">
        <w:rPr>
          <w:rFonts w:ascii="Times New Roman" w:hAnsi="Times New Roman" w:cs="Times New Roman"/>
          <w:sz w:val="28"/>
          <w:szCs w:val="28"/>
        </w:rPr>
        <w:t xml:space="preserve">A comment from a private practitioner in Pima County addressed the appropriateness of </w:t>
      </w:r>
      <w:r w:rsidR="00035801">
        <w:rPr>
          <w:rFonts w:ascii="Times New Roman" w:hAnsi="Times New Roman" w:cs="Times New Roman"/>
          <w:sz w:val="28"/>
          <w:szCs w:val="28"/>
        </w:rPr>
        <w:t xml:space="preserve">mandatory </w:t>
      </w:r>
      <w:r w:rsidRPr="007E7A9B">
        <w:rPr>
          <w:rFonts w:ascii="Times New Roman" w:hAnsi="Times New Roman" w:cs="Times New Roman"/>
          <w:sz w:val="28"/>
          <w:szCs w:val="28"/>
        </w:rPr>
        <w:t xml:space="preserve">RMCs on motions for temporary orders under Rule 47.  The comment contended </w:t>
      </w:r>
      <w:r w:rsidR="007A08B1">
        <w:rPr>
          <w:rFonts w:ascii="Times New Roman" w:hAnsi="Times New Roman" w:cs="Times New Roman"/>
          <w:sz w:val="28"/>
          <w:szCs w:val="28"/>
        </w:rPr>
        <w:t xml:space="preserve">that </w:t>
      </w:r>
      <w:r w:rsidRPr="007E7A9B">
        <w:rPr>
          <w:rFonts w:ascii="Times New Roman" w:hAnsi="Times New Roman" w:cs="Times New Roman"/>
          <w:sz w:val="28"/>
          <w:szCs w:val="28"/>
        </w:rPr>
        <w:t xml:space="preserve">this requirement would “impose multiple burdens on clients” and observed that Pima County generally did not utilize RMCs. </w:t>
      </w:r>
      <w:r w:rsidR="00D362B9">
        <w:rPr>
          <w:rFonts w:ascii="Times New Roman" w:hAnsi="Times New Roman" w:cs="Times New Roman"/>
          <w:sz w:val="28"/>
          <w:szCs w:val="28"/>
        </w:rPr>
        <w:t xml:space="preserve"> </w:t>
      </w:r>
      <w:r w:rsidR="00511A66">
        <w:rPr>
          <w:rFonts w:ascii="Times New Roman" w:hAnsi="Times New Roman" w:cs="Times New Roman"/>
          <w:sz w:val="28"/>
          <w:szCs w:val="28"/>
        </w:rPr>
        <w:t>After considering the comment, t</w:t>
      </w:r>
      <w:r w:rsidRPr="007E7A9B">
        <w:rPr>
          <w:rFonts w:ascii="Times New Roman" w:hAnsi="Times New Roman" w:cs="Times New Roman"/>
          <w:sz w:val="28"/>
          <w:szCs w:val="28"/>
        </w:rPr>
        <w:t xml:space="preserve">he Task Force declined to change </w:t>
      </w:r>
      <w:r w:rsidR="00035801">
        <w:rPr>
          <w:rFonts w:ascii="Times New Roman" w:hAnsi="Times New Roman" w:cs="Times New Roman"/>
          <w:sz w:val="28"/>
          <w:szCs w:val="28"/>
        </w:rPr>
        <w:t>this provision of Rule 47</w:t>
      </w:r>
      <w:r w:rsidRPr="007E7A9B">
        <w:rPr>
          <w:rFonts w:ascii="Times New Roman" w:hAnsi="Times New Roman" w:cs="Times New Roman"/>
          <w:sz w:val="28"/>
          <w:szCs w:val="28"/>
        </w:rPr>
        <w:t>.  However, the Task Force anticipated the issue raised by this comment when i</w:t>
      </w:r>
      <w:r w:rsidR="00A470A4">
        <w:rPr>
          <w:rFonts w:ascii="Times New Roman" w:hAnsi="Times New Roman" w:cs="Times New Roman"/>
          <w:sz w:val="28"/>
          <w:szCs w:val="28"/>
        </w:rPr>
        <w:t>t drafted proposed Rule 47(</w:t>
      </w:r>
      <w:proofErr w:type="spellStart"/>
      <w:r w:rsidR="00A470A4">
        <w:rPr>
          <w:rFonts w:ascii="Times New Roman" w:hAnsi="Times New Roman" w:cs="Times New Roman"/>
          <w:sz w:val="28"/>
          <w:szCs w:val="28"/>
        </w:rPr>
        <w:t>i</w:t>
      </w:r>
      <w:proofErr w:type="spellEnd"/>
      <w:r w:rsidR="00A470A4">
        <w:rPr>
          <w:rFonts w:ascii="Times New Roman" w:hAnsi="Times New Roman" w:cs="Times New Roman"/>
          <w:sz w:val="28"/>
          <w:szCs w:val="28"/>
        </w:rPr>
        <w:t xml:space="preserve">). </w:t>
      </w:r>
      <w:r w:rsidRPr="007E7A9B">
        <w:rPr>
          <w:rFonts w:ascii="Times New Roman" w:hAnsi="Times New Roman" w:cs="Times New Roman"/>
          <w:sz w:val="28"/>
          <w:szCs w:val="28"/>
        </w:rPr>
        <w:t xml:space="preserve">This provision would permit counties </w:t>
      </w:r>
      <w:r w:rsidR="00A470A4" w:rsidRPr="007E7A9B">
        <w:rPr>
          <w:rFonts w:ascii="Times New Roman" w:hAnsi="Times New Roman" w:cs="Times New Roman"/>
          <w:sz w:val="28"/>
          <w:szCs w:val="28"/>
        </w:rPr>
        <w:t xml:space="preserve">by local rules or administrative orders </w:t>
      </w:r>
      <w:r w:rsidRPr="007E7A9B">
        <w:rPr>
          <w:rFonts w:ascii="Times New Roman" w:hAnsi="Times New Roman" w:cs="Times New Roman"/>
          <w:sz w:val="28"/>
          <w:szCs w:val="28"/>
        </w:rPr>
        <w:t>to establish alternative processes</w:t>
      </w:r>
      <w:r w:rsidR="00035801">
        <w:rPr>
          <w:rFonts w:ascii="Times New Roman" w:hAnsi="Times New Roman" w:cs="Times New Roman"/>
          <w:sz w:val="28"/>
          <w:szCs w:val="28"/>
        </w:rPr>
        <w:t>, including alternative</w:t>
      </w:r>
      <w:r w:rsidR="00537E9C">
        <w:rPr>
          <w:rFonts w:ascii="Times New Roman" w:hAnsi="Times New Roman" w:cs="Times New Roman"/>
          <w:sz w:val="28"/>
          <w:szCs w:val="28"/>
        </w:rPr>
        <w:t xml:space="preserve">s to </w:t>
      </w:r>
      <w:r w:rsidR="00035801">
        <w:rPr>
          <w:rFonts w:ascii="Times New Roman" w:hAnsi="Times New Roman" w:cs="Times New Roman"/>
          <w:sz w:val="28"/>
          <w:szCs w:val="28"/>
        </w:rPr>
        <w:t>an RMC</w:t>
      </w:r>
      <w:r w:rsidR="00537E9C">
        <w:rPr>
          <w:rFonts w:ascii="Times New Roman" w:hAnsi="Times New Roman" w:cs="Times New Roman"/>
          <w:sz w:val="28"/>
          <w:szCs w:val="28"/>
        </w:rPr>
        <w:t xml:space="preserve"> under this rule</w:t>
      </w:r>
      <w:r w:rsidRPr="007E7A9B">
        <w:rPr>
          <w:rFonts w:ascii="Times New Roman" w:hAnsi="Times New Roman" w:cs="Times New Roman"/>
          <w:sz w:val="28"/>
          <w:szCs w:val="28"/>
        </w:rPr>
        <w:t>.</w:t>
      </w:r>
    </w:p>
    <w:p w:rsidR="00F45C56" w:rsidRPr="00035801" w:rsidRDefault="00035801" w:rsidP="00035801">
      <w:pPr>
        <w:pStyle w:val="ListParagraph"/>
        <w:numPr>
          <w:ilvl w:val="0"/>
          <w:numId w:val="2"/>
        </w:numPr>
        <w:spacing w:line="480" w:lineRule="auto"/>
        <w:ind w:left="0" w:firstLine="720"/>
        <w:rPr>
          <w:rFonts w:ascii="Times New Roman" w:hAnsi="Times New Roman" w:cs="Times New Roman"/>
          <w:b/>
          <w:sz w:val="28"/>
          <w:szCs w:val="28"/>
        </w:rPr>
      </w:pPr>
      <w:r>
        <w:rPr>
          <w:rFonts w:ascii="Times New Roman" w:hAnsi="Times New Roman" w:cs="Times New Roman"/>
          <w:sz w:val="28"/>
          <w:szCs w:val="28"/>
        </w:rPr>
        <w:t xml:space="preserve"> </w:t>
      </w:r>
      <w:r w:rsidRPr="00035801">
        <w:rPr>
          <w:rFonts w:ascii="Times New Roman" w:hAnsi="Times New Roman" w:cs="Times New Roman"/>
          <w:b/>
          <w:sz w:val="28"/>
          <w:szCs w:val="28"/>
        </w:rPr>
        <w:t xml:space="preserve">Other </w:t>
      </w:r>
      <w:r w:rsidR="00790756">
        <w:rPr>
          <w:rFonts w:ascii="Times New Roman" w:hAnsi="Times New Roman" w:cs="Times New Roman"/>
          <w:b/>
          <w:sz w:val="28"/>
          <w:szCs w:val="28"/>
        </w:rPr>
        <w:t>I</w:t>
      </w:r>
      <w:r w:rsidRPr="00035801">
        <w:rPr>
          <w:rFonts w:ascii="Times New Roman" w:hAnsi="Times New Roman" w:cs="Times New Roman"/>
          <w:b/>
          <w:sz w:val="28"/>
          <w:szCs w:val="28"/>
        </w:rPr>
        <w:t>ssues</w:t>
      </w:r>
      <w:r w:rsidR="00790756">
        <w:rPr>
          <w:rFonts w:ascii="Times New Roman" w:hAnsi="Times New Roman" w:cs="Times New Roman"/>
          <w:b/>
          <w:sz w:val="28"/>
          <w:szCs w:val="28"/>
        </w:rPr>
        <w:t xml:space="preserve"> Raised by the Comments</w:t>
      </w:r>
      <w:r w:rsidRPr="0003580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In addition to the predominant issues, </w:t>
      </w:r>
      <w:r w:rsidR="00D650CF">
        <w:rPr>
          <w:rFonts w:ascii="Times New Roman" w:hAnsi="Times New Roman" w:cs="Times New Roman"/>
          <w:sz w:val="28"/>
          <w:szCs w:val="28"/>
        </w:rPr>
        <w:t xml:space="preserve">the </w:t>
      </w:r>
      <w:r>
        <w:rPr>
          <w:rFonts w:ascii="Times New Roman" w:hAnsi="Times New Roman" w:cs="Times New Roman"/>
          <w:sz w:val="28"/>
          <w:szCs w:val="28"/>
        </w:rPr>
        <w:t xml:space="preserve">comments raised other </w:t>
      </w:r>
      <w:r w:rsidR="005E35B6">
        <w:rPr>
          <w:rFonts w:ascii="Times New Roman" w:hAnsi="Times New Roman" w:cs="Times New Roman"/>
          <w:sz w:val="28"/>
          <w:szCs w:val="28"/>
        </w:rPr>
        <w:t xml:space="preserve">issues </w:t>
      </w:r>
      <w:r>
        <w:rPr>
          <w:rFonts w:ascii="Times New Roman" w:hAnsi="Times New Roman" w:cs="Times New Roman"/>
          <w:sz w:val="28"/>
          <w:szCs w:val="28"/>
        </w:rPr>
        <w:t xml:space="preserve">that </w:t>
      </w:r>
      <w:r w:rsidR="00790756">
        <w:rPr>
          <w:rFonts w:ascii="Times New Roman" w:hAnsi="Times New Roman" w:cs="Times New Roman"/>
          <w:sz w:val="28"/>
          <w:szCs w:val="28"/>
        </w:rPr>
        <w:t>resulted in rule</w:t>
      </w:r>
      <w:r w:rsidR="005E35B6">
        <w:rPr>
          <w:rFonts w:ascii="Times New Roman" w:hAnsi="Times New Roman" w:cs="Times New Roman"/>
          <w:sz w:val="28"/>
          <w:szCs w:val="28"/>
        </w:rPr>
        <w:t xml:space="preserve"> revision</w:t>
      </w:r>
      <w:r w:rsidR="00790756">
        <w:rPr>
          <w:rFonts w:ascii="Times New Roman" w:hAnsi="Times New Roman" w:cs="Times New Roman"/>
          <w:sz w:val="28"/>
          <w:szCs w:val="28"/>
        </w:rPr>
        <w:t>s,</w:t>
      </w:r>
      <w:r>
        <w:rPr>
          <w:rFonts w:ascii="Times New Roman" w:hAnsi="Times New Roman" w:cs="Times New Roman"/>
          <w:sz w:val="28"/>
          <w:szCs w:val="28"/>
        </w:rPr>
        <w:t xml:space="preserve"> including the following</w:t>
      </w:r>
      <w:r w:rsidR="00790756">
        <w:rPr>
          <w:rFonts w:ascii="Times New Roman" w:hAnsi="Times New Roman" w:cs="Times New Roman"/>
          <w:sz w:val="28"/>
          <w:szCs w:val="28"/>
        </w:rPr>
        <w:t xml:space="preserve">. </w:t>
      </w:r>
    </w:p>
    <w:p w:rsidR="00806571" w:rsidRDefault="00806571" w:rsidP="009B1545">
      <w:pPr>
        <w:pStyle w:val="ListParagraph"/>
        <w:numPr>
          <w:ilvl w:val="0"/>
          <w:numId w:val="5"/>
        </w:numPr>
        <w:spacing w:line="480" w:lineRule="auto"/>
        <w:ind w:left="0" w:firstLine="720"/>
        <w:rPr>
          <w:rFonts w:ascii="Times New Roman" w:hAnsi="Times New Roman" w:cs="Times New Roman"/>
          <w:sz w:val="28"/>
          <w:szCs w:val="28"/>
        </w:rPr>
      </w:pPr>
      <w:r w:rsidRPr="00790756">
        <w:rPr>
          <w:rFonts w:ascii="Times New Roman" w:hAnsi="Times New Roman" w:cs="Times New Roman"/>
          <w:b/>
          <w:i/>
          <w:sz w:val="28"/>
          <w:szCs w:val="28"/>
        </w:rPr>
        <w:t>Rule 2:</w:t>
      </w:r>
      <w:r>
        <w:rPr>
          <w:rFonts w:ascii="Times New Roman" w:hAnsi="Times New Roman" w:cs="Times New Roman"/>
          <w:b/>
          <w:sz w:val="28"/>
          <w:szCs w:val="28"/>
        </w:rPr>
        <w:t xml:space="preserve"> </w:t>
      </w:r>
      <w:r w:rsidR="009B1545">
        <w:rPr>
          <w:rFonts w:ascii="Times New Roman" w:hAnsi="Times New Roman" w:cs="Times New Roman"/>
          <w:b/>
          <w:i/>
          <w:sz w:val="28"/>
          <w:szCs w:val="28"/>
        </w:rPr>
        <w:t>Applicability of the Arizona Rules of Evidence.</w:t>
      </w:r>
      <w:r w:rsidRPr="00790756">
        <w:rPr>
          <w:rFonts w:ascii="Times New Roman" w:hAnsi="Times New Roman" w:cs="Times New Roman"/>
          <w:sz w:val="28"/>
          <w:szCs w:val="28"/>
        </w:rPr>
        <w:t xml:space="preserve">  The State Bar disagreed with the Task Force’s treatment of Affidavits of Financial Information under </w:t>
      </w:r>
      <w:r>
        <w:rPr>
          <w:rFonts w:ascii="Times New Roman" w:hAnsi="Times New Roman" w:cs="Times New Roman"/>
          <w:sz w:val="28"/>
          <w:szCs w:val="28"/>
        </w:rPr>
        <w:t xml:space="preserve">proposed </w:t>
      </w:r>
      <w:r w:rsidRPr="00790756">
        <w:rPr>
          <w:rFonts w:ascii="Times New Roman" w:hAnsi="Times New Roman" w:cs="Times New Roman"/>
          <w:sz w:val="28"/>
          <w:szCs w:val="28"/>
        </w:rPr>
        <w:t xml:space="preserve">Rule 2, and after discussion, the Task Force concluded the State Bar’s comment was well-taken.  The Task Force then modified Rule 2 by adding a </w:t>
      </w:r>
      <w:r w:rsidRPr="00790756">
        <w:rPr>
          <w:rFonts w:ascii="Times New Roman" w:hAnsi="Times New Roman" w:cs="Times New Roman"/>
          <w:sz w:val="28"/>
          <w:szCs w:val="28"/>
        </w:rPr>
        <w:lastRenderedPageBreak/>
        <w:t xml:space="preserve">new section (d) that </w:t>
      </w:r>
      <w:r w:rsidR="005E35B6">
        <w:rPr>
          <w:rFonts w:ascii="Times New Roman" w:hAnsi="Times New Roman" w:cs="Times New Roman"/>
          <w:sz w:val="28"/>
          <w:szCs w:val="28"/>
        </w:rPr>
        <w:t>the Task Force</w:t>
      </w:r>
      <w:r w:rsidRPr="00790756">
        <w:rPr>
          <w:rFonts w:ascii="Times New Roman" w:hAnsi="Times New Roman" w:cs="Times New Roman"/>
          <w:sz w:val="28"/>
          <w:szCs w:val="28"/>
        </w:rPr>
        <w:t xml:space="preserve"> believed was consistent with current Rule 2(B)(3)(b</w:t>
      </w:r>
      <w:r w:rsidR="005E35B6">
        <w:rPr>
          <w:rFonts w:ascii="Times New Roman" w:hAnsi="Times New Roman" w:cs="Times New Roman"/>
          <w:sz w:val="28"/>
          <w:szCs w:val="28"/>
        </w:rPr>
        <w:t>)</w:t>
      </w:r>
      <w:r w:rsidRPr="00790756">
        <w:rPr>
          <w:rFonts w:ascii="Times New Roman" w:hAnsi="Times New Roman" w:cs="Times New Roman"/>
          <w:sz w:val="28"/>
          <w:szCs w:val="28"/>
        </w:rPr>
        <w:t xml:space="preserve">. </w:t>
      </w:r>
      <w:r w:rsidR="005E35B6">
        <w:rPr>
          <w:rFonts w:ascii="Times New Roman" w:hAnsi="Times New Roman" w:cs="Times New Roman"/>
          <w:sz w:val="28"/>
          <w:szCs w:val="28"/>
        </w:rPr>
        <w:t xml:space="preserve"> N</w:t>
      </w:r>
      <w:r w:rsidRPr="00790756">
        <w:rPr>
          <w:rFonts w:ascii="Times New Roman" w:hAnsi="Times New Roman" w:cs="Times New Roman"/>
          <w:sz w:val="28"/>
          <w:szCs w:val="28"/>
        </w:rPr>
        <w:t>ew section</w:t>
      </w:r>
      <w:r w:rsidR="005E35B6">
        <w:rPr>
          <w:rFonts w:ascii="Times New Roman" w:hAnsi="Times New Roman" w:cs="Times New Roman"/>
          <w:sz w:val="28"/>
          <w:szCs w:val="28"/>
        </w:rPr>
        <w:t xml:space="preserve"> (d)</w:t>
      </w:r>
      <w:r w:rsidRPr="00790756">
        <w:rPr>
          <w:rFonts w:ascii="Times New Roman" w:hAnsi="Times New Roman" w:cs="Times New Roman"/>
          <w:sz w:val="28"/>
          <w:szCs w:val="28"/>
        </w:rPr>
        <w:t xml:space="preserve"> provides</w:t>
      </w:r>
      <w:r w:rsidR="009B1545">
        <w:rPr>
          <w:rFonts w:ascii="Times New Roman" w:hAnsi="Times New Roman" w:cs="Times New Roman"/>
          <w:sz w:val="28"/>
          <w:szCs w:val="28"/>
        </w:rPr>
        <w:t xml:space="preserve">, </w:t>
      </w:r>
      <w:r w:rsidRPr="00790756">
        <w:rPr>
          <w:rFonts w:ascii="Times New Roman" w:hAnsi="Times New Roman" w:cs="Times New Roman"/>
          <w:sz w:val="28"/>
          <w:szCs w:val="28"/>
        </w:rPr>
        <w:t xml:space="preserve">“Any Affidavit of Financial Information required to be filed or served may be considered as evidence if offered as evidence by a party and admitted into evidence by the court.”  </w:t>
      </w:r>
    </w:p>
    <w:p w:rsidR="009B1545" w:rsidRPr="009B1545" w:rsidRDefault="009B1545" w:rsidP="009B1545">
      <w:pPr>
        <w:pStyle w:val="ListParagraph"/>
        <w:numPr>
          <w:ilvl w:val="0"/>
          <w:numId w:val="5"/>
        </w:numPr>
        <w:spacing w:line="480" w:lineRule="auto"/>
        <w:ind w:left="0" w:firstLine="720"/>
        <w:rPr>
          <w:rFonts w:ascii="Times New Roman" w:hAnsi="Times New Roman" w:cs="Times New Roman"/>
          <w:sz w:val="28"/>
          <w:szCs w:val="28"/>
        </w:rPr>
      </w:pPr>
      <w:r w:rsidRPr="009B1545">
        <w:rPr>
          <w:rFonts w:ascii="Times New Roman" w:hAnsi="Times New Roman" w:cs="Times New Roman"/>
          <w:b/>
          <w:i/>
          <w:sz w:val="28"/>
          <w:szCs w:val="28"/>
        </w:rPr>
        <w:t>Rule 13:</w:t>
      </w:r>
      <w:r w:rsidRPr="009B1545">
        <w:rPr>
          <w:rFonts w:ascii="Times New Roman" w:hAnsi="Times New Roman" w:cs="Times New Roman"/>
          <w:sz w:val="28"/>
          <w:szCs w:val="28"/>
        </w:rPr>
        <w:t xml:space="preserve">  </w:t>
      </w:r>
      <w:r>
        <w:rPr>
          <w:rFonts w:ascii="Times New Roman" w:hAnsi="Times New Roman" w:cs="Times New Roman"/>
          <w:b/>
          <w:i/>
          <w:sz w:val="28"/>
          <w:szCs w:val="28"/>
        </w:rPr>
        <w:t>Public Access to Proceedings and Records</w:t>
      </w:r>
      <w:r w:rsidRPr="009B1545">
        <w:rPr>
          <w:rFonts w:ascii="Times New Roman" w:hAnsi="Times New Roman" w:cs="Times New Roman"/>
          <w:sz w:val="28"/>
          <w:szCs w:val="28"/>
        </w:rPr>
        <w:t xml:space="preserve">.  Rule 13(c) requires the filing of a motion to close the courtroom at least two days before </w:t>
      </w:r>
      <w:r w:rsidR="00511A66">
        <w:rPr>
          <w:rFonts w:ascii="Times New Roman" w:hAnsi="Times New Roman" w:cs="Times New Roman"/>
          <w:sz w:val="28"/>
          <w:szCs w:val="28"/>
        </w:rPr>
        <w:t xml:space="preserve">a </w:t>
      </w:r>
      <w:r w:rsidRPr="009B1545">
        <w:rPr>
          <w:rFonts w:ascii="Times New Roman" w:hAnsi="Times New Roman" w:cs="Times New Roman"/>
          <w:sz w:val="28"/>
          <w:szCs w:val="28"/>
        </w:rPr>
        <w:t xml:space="preserve">hearing.  The Pima </w:t>
      </w:r>
      <w:r w:rsidR="00537E9C">
        <w:rPr>
          <w:rFonts w:ascii="Times New Roman" w:hAnsi="Times New Roman" w:cs="Times New Roman"/>
          <w:sz w:val="28"/>
          <w:szCs w:val="28"/>
        </w:rPr>
        <w:t xml:space="preserve">bench </w:t>
      </w:r>
      <w:r w:rsidRPr="009B1545">
        <w:rPr>
          <w:rFonts w:ascii="Times New Roman" w:hAnsi="Times New Roman" w:cs="Times New Roman"/>
          <w:sz w:val="28"/>
          <w:szCs w:val="28"/>
        </w:rPr>
        <w:t xml:space="preserve">comment observed that information requiring closure might not be known in advance of the hearing. </w:t>
      </w:r>
      <w:r w:rsidR="00E94962">
        <w:rPr>
          <w:rFonts w:ascii="Times New Roman" w:hAnsi="Times New Roman" w:cs="Times New Roman"/>
          <w:sz w:val="28"/>
          <w:szCs w:val="28"/>
        </w:rPr>
        <w:t xml:space="preserve"> </w:t>
      </w:r>
      <w:r w:rsidRPr="009B1545">
        <w:rPr>
          <w:rFonts w:ascii="Times New Roman" w:hAnsi="Times New Roman" w:cs="Times New Roman"/>
          <w:sz w:val="28"/>
          <w:szCs w:val="28"/>
        </w:rPr>
        <w:t>Members agreed with this observation and added a sentence to this rule allowing the court on a party’s motion or on its own to close the courtroom “if unforeseen circumstances arise that require closure.”</w:t>
      </w:r>
    </w:p>
    <w:p w:rsidR="00035801" w:rsidRPr="00035801" w:rsidRDefault="00790756" w:rsidP="009B1545">
      <w:pPr>
        <w:pStyle w:val="ListParagraph"/>
        <w:numPr>
          <w:ilvl w:val="0"/>
          <w:numId w:val="5"/>
        </w:numPr>
        <w:spacing w:line="480" w:lineRule="auto"/>
        <w:ind w:left="0" w:firstLine="720"/>
        <w:rPr>
          <w:rFonts w:ascii="Times New Roman" w:hAnsi="Times New Roman" w:cs="Times New Roman"/>
          <w:b/>
          <w:sz w:val="28"/>
          <w:szCs w:val="28"/>
        </w:rPr>
      </w:pPr>
      <w:r>
        <w:rPr>
          <w:rFonts w:ascii="Times New Roman" w:hAnsi="Times New Roman" w:cs="Times New Roman"/>
          <w:b/>
          <w:i/>
          <w:sz w:val="28"/>
          <w:szCs w:val="28"/>
        </w:rPr>
        <w:t xml:space="preserve">Rule 20: </w:t>
      </w:r>
      <w:r w:rsidR="009B1545">
        <w:rPr>
          <w:rFonts w:ascii="Times New Roman" w:hAnsi="Times New Roman" w:cs="Times New Roman"/>
          <w:b/>
          <w:i/>
          <w:sz w:val="28"/>
          <w:szCs w:val="28"/>
        </w:rPr>
        <w:t>Form of Documents</w:t>
      </w:r>
      <w:r w:rsidR="00035801">
        <w:rPr>
          <w:rFonts w:ascii="Times New Roman" w:hAnsi="Times New Roman" w:cs="Times New Roman"/>
          <w:b/>
          <w:i/>
          <w:sz w:val="28"/>
          <w:szCs w:val="28"/>
        </w:rPr>
        <w:t xml:space="preserve">. </w:t>
      </w:r>
      <w:r w:rsidR="00D362B9">
        <w:rPr>
          <w:rFonts w:ascii="Times New Roman" w:hAnsi="Times New Roman" w:cs="Times New Roman"/>
          <w:b/>
          <w:i/>
          <w:sz w:val="28"/>
          <w:szCs w:val="28"/>
        </w:rPr>
        <w:t xml:space="preserve"> </w:t>
      </w:r>
      <w:r w:rsidR="00035801" w:rsidRPr="00035801">
        <w:rPr>
          <w:rFonts w:ascii="Times New Roman" w:hAnsi="Times New Roman" w:cs="Times New Roman"/>
          <w:sz w:val="28"/>
          <w:szCs w:val="28"/>
        </w:rPr>
        <w:t xml:space="preserve">The A.O.C.’s Information Technology team, which is continuing to develop e-filing applications, expressed concern with a provision in Rule 20(b) regarding document format.  Rule 20(b)(9) says, “Printed court forms may deviate from the requirements of this rule, but they must be single-sided.  Forms provided by the superior court or the Supreme Court meet the requirements of this rule.”  The team’s concern was that with e-filing, many forms that are ultimately filed with the court are, or will be, provided by e-filing vendors rather than the court.  </w:t>
      </w:r>
      <w:r w:rsidR="004708BF">
        <w:rPr>
          <w:rFonts w:ascii="Times New Roman" w:hAnsi="Times New Roman" w:cs="Times New Roman"/>
          <w:sz w:val="28"/>
          <w:szCs w:val="28"/>
        </w:rPr>
        <w:t>The Task Force</w:t>
      </w:r>
      <w:r w:rsidR="00035801" w:rsidRPr="00035801">
        <w:rPr>
          <w:rFonts w:ascii="Times New Roman" w:hAnsi="Times New Roman" w:cs="Times New Roman"/>
          <w:sz w:val="28"/>
          <w:szCs w:val="28"/>
        </w:rPr>
        <w:t xml:space="preserve"> acknowledged the team’s concern by including references to “a court-authorized vendor” in both sentences of subpart (b)(9).</w:t>
      </w:r>
    </w:p>
    <w:p w:rsidR="00806571" w:rsidRPr="00806571" w:rsidRDefault="00806571" w:rsidP="009B1545">
      <w:pPr>
        <w:pStyle w:val="ListParagraph"/>
        <w:numPr>
          <w:ilvl w:val="0"/>
          <w:numId w:val="5"/>
        </w:numPr>
        <w:spacing w:line="480" w:lineRule="auto"/>
        <w:ind w:left="0" w:firstLine="720"/>
        <w:rPr>
          <w:rFonts w:ascii="Times New Roman" w:hAnsi="Times New Roman" w:cs="Times New Roman"/>
          <w:b/>
          <w:sz w:val="28"/>
          <w:szCs w:val="28"/>
        </w:rPr>
      </w:pPr>
      <w:r>
        <w:rPr>
          <w:rFonts w:ascii="Times New Roman" w:hAnsi="Times New Roman" w:cs="Times New Roman"/>
          <w:b/>
          <w:i/>
          <w:sz w:val="28"/>
          <w:szCs w:val="28"/>
        </w:rPr>
        <w:lastRenderedPageBreak/>
        <w:t xml:space="preserve">Rules 45: </w:t>
      </w:r>
      <w:r w:rsidR="00D43174">
        <w:rPr>
          <w:rFonts w:ascii="Times New Roman" w:hAnsi="Times New Roman" w:cs="Times New Roman"/>
          <w:b/>
          <w:i/>
          <w:sz w:val="28"/>
          <w:szCs w:val="28"/>
        </w:rPr>
        <w:t>Consent Decree, Judgment, or Order</w:t>
      </w:r>
      <w:r w:rsidRPr="00035801">
        <w:rPr>
          <w:rFonts w:ascii="Times New Roman" w:hAnsi="Times New Roman" w:cs="Times New Roman"/>
          <w:b/>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The Task Force</w:t>
      </w:r>
      <w:r w:rsidR="005E35B6">
        <w:rPr>
          <w:rFonts w:ascii="Times New Roman" w:hAnsi="Times New Roman" w:cs="Times New Roman"/>
          <w:sz w:val="28"/>
          <w:szCs w:val="28"/>
        </w:rPr>
        <w:t>’s March petition</w:t>
      </w:r>
      <w:r>
        <w:rPr>
          <w:rFonts w:ascii="Times New Roman" w:hAnsi="Times New Roman" w:cs="Times New Roman"/>
          <w:sz w:val="28"/>
          <w:szCs w:val="28"/>
        </w:rPr>
        <w:t xml:space="preserve"> proposed the abrogation of provisions regarding waiver of service.  </w:t>
      </w:r>
      <w:r w:rsidR="005E35B6">
        <w:rPr>
          <w:rFonts w:ascii="Times New Roman" w:hAnsi="Times New Roman" w:cs="Times New Roman"/>
          <w:sz w:val="28"/>
          <w:szCs w:val="28"/>
        </w:rPr>
        <w:t>The Task Force</w:t>
      </w:r>
      <w:r>
        <w:rPr>
          <w:rFonts w:ascii="Times New Roman" w:hAnsi="Times New Roman" w:cs="Times New Roman"/>
          <w:sz w:val="28"/>
          <w:szCs w:val="28"/>
        </w:rPr>
        <w:t xml:space="preserve"> felt these</w:t>
      </w:r>
      <w:r w:rsidR="005E35B6">
        <w:rPr>
          <w:rFonts w:ascii="Times New Roman" w:hAnsi="Times New Roman" w:cs="Times New Roman"/>
          <w:sz w:val="28"/>
          <w:szCs w:val="28"/>
        </w:rPr>
        <w:t xml:space="preserve"> waiver</w:t>
      </w:r>
      <w:r>
        <w:rPr>
          <w:rFonts w:ascii="Times New Roman" w:hAnsi="Times New Roman" w:cs="Times New Roman"/>
          <w:sz w:val="28"/>
          <w:szCs w:val="28"/>
        </w:rPr>
        <w:t xml:space="preserve"> provisions were too complex for self-represented litigants, involved unduly long response times, and were inferior to the process of accepting service.  Unfortunately, some references to waiver</w:t>
      </w:r>
      <w:r w:rsidR="00D43174">
        <w:rPr>
          <w:rFonts w:ascii="Times New Roman" w:hAnsi="Times New Roman" w:cs="Times New Roman"/>
          <w:sz w:val="28"/>
          <w:szCs w:val="28"/>
        </w:rPr>
        <w:t>, including a reference in Rule 45,</w:t>
      </w:r>
      <w:r>
        <w:rPr>
          <w:rFonts w:ascii="Times New Roman" w:hAnsi="Times New Roman" w:cs="Times New Roman"/>
          <w:sz w:val="28"/>
          <w:szCs w:val="28"/>
        </w:rPr>
        <w:t xml:space="preserve"> remained in the March 22 draft.  The</w:t>
      </w:r>
      <w:r w:rsidR="00D43174">
        <w:rPr>
          <w:rFonts w:ascii="Times New Roman" w:hAnsi="Times New Roman" w:cs="Times New Roman"/>
          <w:sz w:val="28"/>
          <w:szCs w:val="28"/>
        </w:rPr>
        <w:t>se references</w:t>
      </w:r>
      <w:r>
        <w:rPr>
          <w:rFonts w:ascii="Times New Roman" w:hAnsi="Times New Roman" w:cs="Times New Roman"/>
          <w:sz w:val="28"/>
          <w:szCs w:val="28"/>
        </w:rPr>
        <w:t xml:space="preserve"> have now been </w:t>
      </w:r>
      <w:r w:rsidR="00D43174">
        <w:rPr>
          <w:rFonts w:ascii="Times New Roman" w:hAnsi="Times New Roman" w:cs="Times New Roman"/>
          <w:sz w:val="28"/>
          <w:szCs w:val="28"/>
        </w:rPr>
        <w:t>corrected</w:t>
      </w:r>
      <w:r>
        <w:rPr>
          <w:rFonts w:ascii="Times New Roman" w:hAnsi="Times New Roman" w:cs="Times New Roman"/>
          <w:sz w:val="28"/>
          <w:szCs w:val="28"/>
        </w:rPr>
        <w:t>.</w:t>
      </w:r>
    </w:p>
    <w:p w:rsidR="00806571" w:rsidRPr="009B1545" w:rsidRDefault="00806571" w:rsidP="009B1545">
      <w:pPr>
        <w:pStyle w:val="ListParagraph"/>
        <w:numPr>
          <w:ilvl w:val="0"/>
          <w:numId w:val="5"/>
        </w:numPr>
        <w:spacing w:line="480" w:lineRule="auto"/>
        <w:ind w:left="0" w:firstLine="720"/>
        <w:rPr>
          <w:rFonts w:ascii="Times New Roman" w:hAnsi="Times New Roman" w:cs="Times New Roman"/>
          <w:b/>
          <w:sz w:val="28"/>
          <w:szCs w:val="28"/>
        </w:rPr>
      </w:pPr>
      <w:r w:rsidRPr="009B1545">
        <w:rPr>
          <w:rFonts w:ascii="Times New Roman" w:hAnsi="Times New Roman" w:cs="Times New Roman"/>
          <w:b/>
          <w:i/>
          <w:sz w:val="28"/>
          <w:szCs w:val="28"/>
        </w:rPr>
        <w:t>Rule 57:</w:t>
      </w:r>
      <w:r w:rsidRPr="009B1545">
        <w:rPr>
          <w:rFonts w:ascii="Times New Roman" w:hAnsi="Times New Roman" w:cs="Times New Roman"/>
          <w:b/>
          <w:sz w:val="28"/>
          <w:szCs w:val="28"/>
        </w:rPr>
        <w:t xml:space="preserve"> </w:t>
      </w:r>
      <w:r w:rsidRPr="009B1545">
        <w:rPr>
          <w:rFonts w:ascii="Times New Roman" w:hAnsi="Times New Roman" w:cs="Times New Roman"/>
          <w:b/>
          <w:i/>
          <w:sz w:val="28"/>
          <w:szCs w:val="28"/>
        </w:rPr>
        <w:t>Depositions</w:t>
      </w:r>
      <w:r w:rsidR="00537E9C">
        <w:rPr>
          <w:rFonts w:ascii="Times New Roman" w:hAnsi="Times New Roman" w:cs="Times New Roman"/>
          <w:b/>
          <w:i/>
          <w:sz w:val="28"/>
          <w:szCs w:val="28"/>
        </w:rPr>
        <w:t xml:space="preserve"> by Oral Examination</w:t>
      </w:r>
      <w:r w:rsidRPr="009B1545">
        <w:rPr>
          <w:rFonts w:ascii="Times New Roman" w:hAnsi="Times New Roman" w:cs="Times New Roman"/>
          <w:b/>
          <w:i/>
          <w:sz w:val="28"/>
          <w:szCs w:val="28"/>
        </w:rPr>
        <w:t xml:space="preserve">.  </w:t>
      </w:r>
      <w:r w:rsidRPr="009B1545">
        <w:rPr>
          <w:rFonts w:ascii="Times New Roman" w:hAnsi="Times New Roman" w:cs="Times New Roman"/>
          <w:sz w:val="28"/>
          <w:szCs w:val="28"/>
        </w:rPr>
        <w:t>The State Bar had concerns with a provision in Rule 57(a)(1) (“when a deposition may be taken: depositions permitted”) that precluded taking a person’s deposition when the person had already been deposed.  The State Bar observed that this might cause confusion about whether depositions are precluded in post-decree proceedings.  Members ag</w:t>
      </w:r>
      <w:r w:rsidR="005C01AD">
        <w:rPr>
          <w:rFonts w:ascii="Times New Roman" w:hAnsi="Times New Roman" w:cs="Times New Roman"/>
          <w:sz w:val="28"/>
          <w:szCs w:val="28"/>
        </w:rPr>
        <w:t>reed with this observation,</w:t>
      </w:r>
      <w:r w:rsidR="00511A66">
        <w:rPr>
          <w:rFonts w:ascii="Times New Roman" w:hAnsi="Times New Roman" w:cs="Times New Roman"/>
          <w:sz w:val="28"/>
          <w:szCs w:val="28"/>
        </w:rPr>
        <w:t xml:space="preserve"> and they added</w:t>
      </w:r>
      <w:r w:rsidR="005C01AD">
        <w:rPr>
          <w:rFonts w:ascii="Times New Roman" w:hAnsi="Times New Roman" w:cs="Times New Roman"/>
          <w:sz w:val="28"/>
          <w:szCs w:val="28"/>
        </w:rPr>
        <w:t xml:space="preserve"> </w:t>
      </w:r>
      <w:r w:rsidRPr="009B1545">
        <w:rPr>
          <w:rFonts w:ascii="Times New Roman" w:hAnsi="Times New Roman" w:cs="Times New Roman"/>
          <w:sz w:val="28"/>
          <w:szCs w:val="28"/>
        </w:rPr>
        <w:t xml:space="preserve">after the words “had already been deposed” the words “under the current petition.”  </w:t>
      </w:r>
    </w:p>
    <w:p w:rsidR="009B1545" w:rsidRPr="009B1545" w:rsidRDefault="009B1545" w:rsidP="00D43174">
      <w:pPr>
        <w:pStyle w:val="ListParagraph"/>
        <w:numPr>
          <w:ilvl w:val="0"/>
          <w:numId w:val="5"/>
        </w:numPr>
        <w:tabs>
          <w:tab w:val="left" w:pos="720"/>
        </w:tabs>
        <w:spacing w:line="480" w:lineRule="auto"/>
        <w:ind w:left="90" w:firstLine="630"/>
        <w:rPr>
          <w:rFonts w:ascii="Times New Roman" w:hAnsi="Times New Roman" w:cs="Times New Roman"/>
          <w:sz w:val="28"/>
          <w:szCs w:val="28"/>
        </w:rPr>
      </w:pPr>
      <w:r w:rsidRPr="009B1545">
        <w:rPr>
          <w:rFonts w:ascii="Times New Roman" w:hAnsi="Times New Roman" w:cs="Times New Roman"/>
          <w:b/>
          <w:i/>
          <w:sz w:val="28"/>
          <w:szCs w:val="28"/>
        </w:rPr>
        <w:t>Rule 59:</w:t>
      </w:r>
      <w:r w:rsidRPr="009B1545">
        <w:rPr>
          <w:rFonts w:ascii="Times New Roman" w:hAnsi="Times New Roman" w:cs="Times New Roman"/>
          <w:b/>
          <w:sz w:val="28"/>
          <w:szCs w:val="28"/>
        </w:rPr>
        <w:t xml:space="preserve">  </w:t>
      </w:r>
      <w:r w:rsidR="00D43174" w:rsidRPr="00D43174">
        <w:rPr>
          <w:rFonts w:ascii="Times New Roman" w:hAnsi="Times New Roman" w:cs="Times New Roman"/>
          <w:b/>
          <w:i/>
          <w:sz w:val="28"/>
          <w:szCs w:val="28"/>
        </w:rPr>
        <w:t>Using Depositions in Court Proceedings</w:t>
      </w:r>
      <w:r w:rsidRPr="00D43174">
        <w:rPr>
          <w:rFonts w:ascii="Times New Roman" w:hAnsi="Times New Roman" w:cs="Times New Roman"/>
          <w:b/>
          <w:i/>
          <w:sz w:val="28"/>
          <w:szCs w:val="28"/>
        </w:rPr>
        <w:t>.</w:t>
      </w:r>
      <w:r w:rsidRPr="009B1545">
        <w:rPr>
          <w:rFonts w:ascii="Times New Roman" w:hAnsi="Times New Roman" w:cs="Times New Roman"/>
          <w:b/>
          <w:sz w:val="28"/>
          <w:szCs w:val="28"/>
        </w:rPr>
        <w:t xml:space="preserve"> </w:t>
      </w:r>
      <w:r w:rsidR="00D362B9">
        <w:rPr>
          <w:rFonts w:ascii="Times New Roman" w:hAnsi="Times New Roman" w:cs="Times New Roman"/>
          <w:b/>
          <w:sz w:val="28"/>
          <w:szCs w:val="28"/>
        </w:rPr>
        <w:t xml:space="preserve"> </w:t>
      </w:r>
      <w:r w:rsidRPr="009B1545">
        <w:rPr>
          <w:rFonts w:ascii="Times New Roman" w:hAnsi="Times New Roman" w:cs="Times New Roman"/>
          <w:sz w:val="28"/>
          <w:szCs w:val="28"/>
        </w:rPr>
        <w:t>The State Bar also had concern</w:t>
      </w:r>
      <w:r w:rsidR="00D43174">
        <w:rPr>
          <w:rFonts w:ascii="Times New Roman" w:hAnsi="Times New Roman" w:cs="Times New Roman"/>
          <w:sz w:val="28"/>
          <w:szCs w:val="28"/>
        </w:rPr>
        <w:t>s</w:t>
      </w:r>
      <w:r w:rsidRPr="009B1545">
        <w:rPr>
          <w:rFonts w:ascii="Times New Roman" w:hAnsi="Times New Roman" w:cs="Times New Roman"/>
          <w:sz w:val="28"/>
          <w:szCs w:val="28"/>
        </w:rPr>
        <w:t xml:space="preserve"> with a provision in Rule 59(d)(3)(A) that would require a party who object</w:t>
      </w:r>
      <w:r w:rsidR="005C01AD">
        <w:rPr>
          <w:rFonts w:ascii="Times New Roman" w:hAnsi="Times New Roman" w:cs="Times New Roman"/>
          <w:sz w:val="28"/>
          <w:szCs w:val="28"/>
        </w:rPr>
        <w:t>ed</w:t>
      </w:r>
      <w:r w:rsidRPr="009B1545">
        <w:rPr>
          <w:rFonts w:ascii="Times New Roman" w:hAnsi="Times New Roman" w:cs="Times New Roman"/>
          <w:sz w:val="28"/>
          <w:szCs w:val="28"/>
        </w:rPr>
        <w:t xml:space="preserve"> to a deponent’s competence, or to the competence, relevance, or materiality of the deponent’s testimony, to make the objection before or during the deposition. </w:t>
      </w:r>
      <w:r w:rsidR="00D362B9">
        <w:rPr>
          <w:rFonts w:ascii="Times New Roman" w:hAnsi="Times New Roman" w:cs="Times New Roman"/>
          <w:sz w:val="28"/>
          <w:szCs w:val="28"/>
        </w:rPr>
        <w:t xml:space="preserve"> </w:t>
      </w:r>
      <w:r w:rsidR="005E35B6">
        <w:rPr>
          <w:rFonts w:ascii="Times New Roman" w:hAnsi="Times New Roman" w:cs="Times New Roman"/>
          <w:sz w:val="28"/>
          <w:szCs w:val="28"/>
        </w:rPr>
        <w:t>Task Force m</w:t>
      </w:r>
      <w:r w:rsidRPr="009B1545">
        <w:rPr>
          <w:rFonts w:ascii="Times New Roman" w:hAnsi="Times New Roman" w:cs="Times New Roman"/>
          <w:sz w:val="28"/>
          <w:szCs w:val="28"/>
        </w:rPr>
        <w:t>embers noted that this provision parallel</w:t>
      </w:r>
      <w:r w:rsidR="005E35B6">
        <w:rPr>
          <w:rFonts w:ascii="Times New Roman" w:hAnsi="Times New Roman" w:cs="Times New Roman"/>
          <w:sz w:val="28"/>
          <w:szCs w:val="28"/>
        </w:rPr>
        <w:t>s</w:t>
      </w:r>
      <w:r w:rsidRPr="009B1545">
        <w:rPr>
          <w:rFonts w:ascii="Times New Roman" w:hAnsi="Times New Roman" w:cs="Times New Roman"/>
          <w:sz w:val="28"/>
          <w:szCs w:val="28"/>
        </w:rPr>
        <w:t xml:space="preserve"> Civil Rule 32(d)(3)(A), but after discussion, they believed the Civil Rule was incorrect.  </w:t>
      </w:r>
      <w:r w:rsidRPr="009B1545">
        <w:rPr>
          <w:rFonts w:ascii="Times New Roman" w:hAnsi="Times New Roman" w:cs="Times New Roman"/>
          <w:sz w:val="28"/>
          <w:szCs w:val="28"/>
        </w:rPr>
        <w:lastRenderedPageBreak/>
        <w:t xml:space="preserve">Accordingly, they reverted to the former Family Law rule so that objections on these grounds are “not waived” by failure to make them before or during the deposition. </w:t>
      </w:r>
    </w:p>
    <w:p w:rsidR="009B1545" w:rsidRPr="00D43174" w:rsidRDefault="009B1545" w:rsidP="00D43174">
      <w:pPr>
        <w:pStyle w:val="ListParagraph"/>
        <w:numPr>
          <w:ilvl w:val="0"/>
          <w:numId w:val="5"/>
        </w:numPr>
        <w:spacing w:line="480" w:lineRule="auto"/>
        <w:ind w:left="0" w:firstLine="720"/>
        <w:rPr>
          <w:rFonts w:ascii="Times New Roman" w:hAnsi="Times New Roman" w:cs="Times New Roman"/>
          <w:b/>
          <w:sz w:val="28"/>
          <w:szCs w:val="28"/>
        </w:rPr>
      </w:pPr>
      <w:r w:rsidRPr="00D43174">
        <w:rPr>
          <w:rFonts w:ascii="Times New Roman" w:hAnsi="Times New Roman" w:cs="Times New Roman"/>
          <w:b/>
          <w:i/>
          <w:sz w:val="28"/>
          <w:szCs w:val="28"/>
        </w:rPr>
        <w:t>Rule 70</w:t>
      </w:r>
      <w:r w:rsidR="00D43174" w:rsidRPr="00D43174">
        <w:rPr>
          <w:rFonts w:ascii="Times New Roman" w:hAnsi="Times New Roman" w:cs="Times New Roman"/>
          <w:b/>
          <w:i/>
          <w:sz w:val="28"/>
          <w:szCs w:val="28"/>
        </w:rPr>
        <w:t xml:space="preserve">: </w:t>
      </w:r>
      <w:r w:rsidR="00D43174">
        <w:rPr>
          <w:rFonts w:ascii="Times New Roman" w:hAnsi="Times New Roman" w:cs="Times New Roman"/>
          <w:b/>
          <w:i/>
          <w:sz w:val="28"/>
          <w:szCs w:val="28"/>
        </w:rPr>
        <w:t>N</w:t>
      </w:r>
      <w:r w:rsidRPr="00D43174">
        <w:rPr>
          <w:rFonts w:ascii="Times New Roman" w:hAnsi="Times New Roman" w:cs="Times New Roman"/>
          <w:b/>
          <w:i/>
          <w:sz w:val="28"/>
          <w:szCs w:val="28"/>
        </w:rPr>
        <w:t xml:space="preserve">otice of </w:t>
      </w:r>
      <w:r w:rsidR="00D43174">
        <w:rPr>
          <w:rFonts w:ascii="Times New Roman" w:hAnsi="Times New Roman" w:cs="Times New Roman"/>
          <w:b/>
          <w:i/>
          <w:sz w:val="28"/>
          <w:szCs w:val="28"/>
        </w:rPr>
        <w:t>S</w:t>
      </w:r>
      <w:r w:rsidRPr="00D43174">
        <w:rPr>
          <w:rFonts w:ascii="Times New Roman" w:hAnsi="Times New Roman" w:cs="Times New Roman"/>
          <w:b/>
          <w:i/>
          <w:sz w:val="28"/>
          <w:szCs w:val="28"/>
        </w:rPr>
        <w:t>ettlement:</w:t>
      </w:r>
      <w:r w:rsidRPr="00D43174">
        <w:rPr>
          <w:rFonts w:ascii="Times New Roman" w:hAnsi="Times New Roman" w:cs="Times New Roman"/>
          <w:sz w:val="28"/>
          <w:szCs w:val="28"/>
        </w:rPr>
        <w:t xml:space="preserve">  The proposed rule required that notice of settlement be given to the assigned judge or commissioner, the clerk, and the court administrator. </w:t>
      </w:r>
      <w:r w:rsidR="00D362B9">
        <w:rPr>
          <w:rFonts w:ascii="Times New Roman" w:hAnsi="Times New Roman" w:cs="Times New Roman"/>
          <w:sz w:val="28"/>
          <w:szCs w:val="28"/>
        </w:rPr>
        <w:t xml:space="preserve"> </w:t>
      </w:r>
      <w:r w:rsidRPr="00D43174">
        <w:rPr>
          <w:rFonts w:ascii="Times New Roman" w:hAnsi="Times New Roman" w:cs="Times New Roman"/>
          <w:sz w:val="28"/>
          <w:szCs w:val="28"/>
        </w:rPr>
        <w:t xml:space="preserve">The Pima </w:t>
      </w:r>
      <w:r w:rsidR="00537E9C">
        <w:rPr>
          <w:rFonts w:ascii="Times New Roman" w:hAnsi="Times New Roman" w:cs="Times New Roman"/>
          <w:sz w:val="28"/>
          <w:szCs w:val="28"/>
        </w:rPr>
        <w:t xml:space="preserve">bench </w:t>
      </w:r>
      <w:r w:rsidRPr="00D43174">
        <w:rPr>
          <w:rFonts w:ascii="Times New Roman" w:hAnsi="Times New Roman" w:cs="Times New Roman"/>
          <w:sz w:val="28"/>
          <w:szCs w:val="28"/>
        </w:rPr>
        <w:t xml:space="preserve">comment though this was unnecessarily burdensome. </w:t>
      </w:r>
      <w:r w:rsidR="00D362B9">
        <w:rPr>
          <w:rFonts w:ascii="Times New Roman" w:hAnsi="Times New Roman" w:cs="Times New Roman"/>
          <w:sz w:val="28"/>
          <w:szCs w:val="28"/>
        </w:rPr>
        <w:t xml:space="preserve"> </w:t>
      </w:r>
      <w:r w:rsidR="005C01AD">
        <w:rPr>
          <w:rFonts w:ascii="Times New Roman" w:hAnsi="Times New Roman" w:cs="Times New Roman"/>
          <w:sz w:val="28"/>
          <w:szCs w:val="28"/>
        </w:rPr>
        <w:t>Task Force m</w:t>
      </w:r>
      <w:r w:rsidRPr="00D43174">
        <w:rPr>
          <w:rFonts w:ascii="Times New Roman" w:hAnsi="Times New Roman" w:cs="Times New Roman"/>
          <w:sz w:val="28"/>
          <w:szCs w:val="28"/>
        </w:rPr>
        <w:t xml:space="preserve">embers agreed and deleted the requirement of providing notice to the clerk and court administrator.  </w:t>
      </w:r>
    </w:p>
    <w:p w:rsidR="009701B8" w:rsidRPr="00D43174" w:rsidRDefault="00D43174" w:rsidP="00D43174">
      <w:pPr>
        <w:pStyle w:val="ListParagraph"/>
        <w:numPr>
          <w:ilvl w:val="0"/>
          <w:numId w:val="5"/>
        </w:numPr>
        <w:spacing w:line="480" w:lineRule="auto"/>
        <w:ind w:left="0" w:firstLine="720"/>
        <w:rPr>
          <w:rFonts w:ascii="Times New Roman" w:hAnsi="Times New Roman" w:cs="Times New Roman"/>
          <w:sz w:val="28"/>
          <w:szCs w:val="28"/>
        </w:rPr>
      </w:pPr>
      <w:r>
        <w:rPr>
          <w:rFonts w:ascii="Times New Roman" w:hAnsi="Times New Roman" w:cs="Times New Roman"/>
          <w:b/>
          <w:i/>
          <w:sz w:val="28"/>
          <w:szCs w:val="28"/>
        </w:rPr>
        <w:t xml:space="preserve">  </w:t>
      </w:r>
      <w:r w:rsidRPr="00D43174">
        <w:rPr>
          <w:rFonts w:ascii="Times New Roman" w:hAnsi="Times New Roman" w:cs="Times New Roman"/>
          <w:b/>
          <w:i/>
          <w:sz w:val="28"/>
          <w:szCs w:val="28"/>
        </w:rPr>
        <w:t>Rule 72: Family Law Master</w:t>
      </w:r>
      <w:r w:rsidR="009B1545" w:rsidRPr="00D43174">
        <w:rPr>
          <w:rFonts w:ascii="Times New Roman" w:hAnsi="Times New Roman" w:cs="Times New Roman"/>
          <w:b/>
          <w:i/>
          <w:sz w:val="28"/>
          <w:szCs w:val="28"/>
        </w:rPr>
        <w:t>:</w:t>
      </w:r>
      <w:r w:rsidR="009B1545" w:rsidRPr="00D43174">
        <w:rPr>
          <w:rFonts w:ascii="Times New Roman" w:hAnsi="Times New Roman" w:cs="Times New Roman"/>
          <w:sz w:val="28"/>
          <w:szCs w:val="28"/>
        </w:rPr>
        <w:t xml:space="preserve">  The proposed rule repeatedly used the term “order of reference.” </w:t>
      </w:r>
      <w:r w:rsidR="00D362B9">
        <w:rPr>
          <w:rFonts w:ascii="Times New Roman" w:hAnsi="Times New Roman" w:cs="Times New Roman"/>
          <w:sz w:val="28"/>
          <w:szCs w:val="28"/>
        </w:rPr>
        <w:t xml:space="preserve"> </w:t>
      </w:r>
      <w:r w:rsidR="009B1545" w:rsidRPr="00D43174">
        <w:rPr>
          <w:rFonts w:ascii="Times New Roman" w:hAnsi="Times New Roman" w:cs="Times New Roman"/>
          <w:sz w:val="28"/>
          <w:szCs w:val="28"/>
        </w:rPr>
        <w:t>Members agreed with a suggestion in the Pima</w:t>
      </w:r>
      <w:r w:rsidR="00537E9C">
        <w:rPr>
          <w:rFonts w:ascii="Times New Roman" w:hAnsi="Times New Roman" w:cs="Times New Roman"/>
          <w:sz w:val="28"/>
          <w:szCs w:val="28"/>
        </w:rPr>
        <w:t xml:space="preserve"> bench</w:t>
      </w:r>
      <w:r w:rsidR="009B1545" w:rsidRPr="00D43174">
        <w:rPr>
          <w:rFonts w:ascii="Times New Roman" w:hAnsi="Times New Roman" w:cs="Times New Roman"/>
          <w:sz w:val="28"/>
          <w:szCs w:val="28"/>
        </w:rPr>
        <w:t xml:space="preserve"> comment to change this to “appointment order” or, in a subpart title, to “order of appointment.”  They also agreed with </w:t>
      </w:r>
      <w:r w:rsidR="00537E9C">
        <w:rPr>
          <w:rFonts w:ascii="Times New Roman" w:hAnsi="Times New Roman" w:cs="Times New Roman"/>
          <w:sz w:val="28"/>
          <w:szCs w:val="28"/>
        </w:rPr>
        <w:t xml:space="preserve">the </w:t>
      </w:r>
      <w:r w:rsidR="009B1545" w:rsidRPr="00D43174">
        <w:rPr>
          <w:rFonts w:ascii="Times New Roman" w:hAnsi="Times New Roman" w:cs="Times New Roman"/>
          <w:sz w:val="28"/>
          <w:szCs w:val="28"/>
        </w:rPr>
        <w:t>Pima</w:t>
      </w:r>
      <w:r w:rsidR="00537E9C">
        <w:rPr>
          <w:rFonts w:ascii="Times New Roman" w:hAnsi="Times New Roman" w:cs="Times New Roman"/>
          <w:sz w:val="28"/>
          <w:szCs w:val="28"/>
        </w:rPr>
        <w:t xml:space="preserve"> bench</w:t>
      </w:r>
      <w:r w:rsidR="009B1545" w:rsidRPr="00D43174">
        <w:rPr>
          <w:rFonts w:ascii="Times New Roman" w:hAnsi="Times New Roman" w:cs="Times New Roman"/>
          <w:sz w:val="28"/>
          <w:szCs w:val="28"/>
        </w:rPr>
        <w:t xml:space="preserve">’s suggestion that a copy of a </w:t>
      </w:r>
      <w:r w:rsidR="005C01AD">
        <w:rPr>
          <w:rFonts w:ascii="Times New Roman" w:hAnsi="Times New Roman" w:cs="Times New Roman"/>
          <w:sz w:val="28"/>
          <w:szCs w:val="28"/>
        </w:rPr>
        <w:t xml:space="preserve">master’s </w:t>
      </w:r>
      <w:r w:rsidR="009B1545" w:rsidRPr="00D43174">
        <w:rPr>
          <w:rFonts w:ascii="Times New Roman" w:hAnsi="Times New Roman" w:cs="Times New Roman"/>
          <w:sz w:val="28"/>
          <w:szCs w:val="28"/>
        </w:rPr>
        <w:t xml:space="preserve">report be provided to “any </w:t>
      </w:r>
      <w:r w:rsidR="007A08B1">
        <w:rPr>
          <w:rFonts w:ascii="Times New Roman" w:hAnsi="Times New Roman" w:cs="Times New Roman"/>
          <w:sz w:val="28"/>
          <w:szCs w:val="28"/>
        </w:rPr>
        <w:t>self-</w:t>
      </w:r>
      <w:r w:rsidR="009B1545" w:rsidRPr="00D43174">
        <w:rPr>
          <w:rFonts w:ascii="Times New Roman" w:hAnsi="Times New Roman" w:cs="Times New Roman"/>
          <w:sz w:val="28"/>
          <w:szCs w:val="28"/>
        </w:rPr>
        <w:t xml:space="preserve">represented party,” in addition to represented parties’ counsel.  </w:t>
      </w:r>
    </w:p>
    <w:p w:rsidR="00454850" w:rsidRPr="00D43174" w:rsidRDefault="00D43174" w:rsidP="00D43174">
      <w:pPr>
        <w:pStyle w:val="ListParagraph"/>
        <w:numPr>
          <w:ilvl w:val="0"/>
          <w:numId w:val="2"/>
        </w:numPr>
        <w:spacing w:line="480" w:lineRule="auto"/>
        <w:ind w:left="0" w:firstLine="720"/>
        <w:rPr>
          <w:rFonts w:ascii="Times New Roman" w:hAnsi="Times New Roman" w:cs="Times New Roman"/>
          <w:b/>
          <w:sz w:val="28"/>
          <w:szCs w:val="28"/>
        </w:rPr>
      </w:pPr>
      <w:r w:rsidRPr="00D43174">
        <w:rPr>
          <w:rFonts w:ascii="Times New Roman" w:hAnsi="Times New Roman" w:cs="Times New Roman"/>
          <w:b/>
          <w:sz w:val="28"/>
          <w:szCs w:val="28"/>
        </w:rPr>
        <w:t>The Task Force’s Revisions.</w:t>
      </w:r>
      <w:r>
        <w:rPr>
          <w:rFonts w:ascii="Times New Roman" w:hAnsi="Times New Roman" w:cs="Times New Roman"/>
          <w:b/>
          <w:sz w:val="28"/>
          <w:szCs w:val="28"/>
        </w:rPr>
        <w:t xml:space="preserve">  </w:t>
      </w:r>
      <w:r>
        <w:rPr>
          <w:rFonts w:ascii="Times New Roman" w:hAnsi="Times New Roman" w:cs="Times New Roman"/>
          <w:sz w:val="28"/>
          <w:szCs w:val="28"/>
        </w:rPr>
        <w:t>The Task Force on its own initiative made other revisions to the proposed rules.</w:t>
      </w:r>
    </w:p>
    <w:p w:rsidR="004F1D99" w:rsidRPr="004F1D99" w:rsidRDefault="004F1D99" w:rsidP="004F1D99">
      <w:pPr>
        <w:pStyle w:val="ListParagraph"/>
        <w:numPr>
          <w:ilvl w:val="0"/>
          <w:numId w:val="8"/>
        </w:numPr>
        <w:spacing w:line="480" w:lineRule="auto"/>
        <w:ind w:left="0" w:firstLine="720"/>
        <w:rPr>
          <w:rFonts w:ascii="Times New Roman" w:hAnsi="Times New Roman" w:cs="Times New Roman"/>
          <w:sz w:val="28"/>
          <w:szCs w:val="28"/>
        </w:rPr>
      </w:pPr>
      <w:r w:rsidRPr="004F1D99">
        <w:rPr>
          <w:rFonts w:ascii="Times New Roman" w:hAnsi="Times New Roman" w:cs="Times New Roman"/>
          <w:b/>
          <w:i/>
          <w:sz w:val="28"/>
          <w:szCs w:val="28"/>
        </w:rPr>
        <w:t xml:space="preserve">Rule 3: Definitions.  </w:t>
      </w:r>
      <w:r w:rsidRPr="004F1D99">
        <w:rPr>
          <w:rFonts w:ascii="Times New Roman" w:hAnsi="Times New Roman" w:cs="Times New Roman"/>
          <w:sz w:val="28"/>
          <w:szCs w:val="28"/>
        </w:rPr>
        <w:t xml:space="preserve">The title of Part II is “pleadings and motions,” and the title of Rule 23 is “pleadings: petition and response,” but there </w:t>
      </w:r>
      <w:r w:rsidR="005C01AD">
        <w:rPr>
          <w:rFonts w:ascii="Times New Roman" w:hAnsi="Times New Roman" w:cs="Times New Roman"/>
          <w:sz w:val="28"/>
          <w:szCs w:val="28"/>
        </w:rPr>
        <w:t>was</w:t>
      </w:r>
      <w:r w:rsidRPr="004F1D99">
        <w:rPr>
          <w:rFonts w:ascii="Times New Roman" w:hAnsi="Times New Roman" w:cs="Times New Roman"/>
          <w:sz w:val="28"/>
          <w:szCs w:val="28"/>
        </w:rPr>
        <w:t xml:space="preserve"> no definition of “pleading” in the rules.  Members </w:t>
      </w:r>
      <w:r>
        <w:rPr>
          <w:rFonts w:ascii="Times New Roman" w:hAnsi="Times New Roman" w:cs="Times New Roman"/>
          <w:sz w:val="28"/>
          <w:szCs w:val="28"/>
        </w:rPr>
        <w:t>agreed</w:t>
      </w:r>
      <w:r w:rsidRPr="004F1D99">
        <w:rPr>
          <w:rFonts w:ascii="Times New Roman" w:hAnsi="Times New Roman" w:cs="Times New Roman"/>
          <w:sz w:val="28"/>
          <w:szCs w:val="28"/>
        </w:rPr>
        <w:t xml:space="preserve"> that a definition was necessary because, for example, Rule 29 concerns motions for judgment on the pleadings, and includes </w:t>
      </w:r>
      <w:r w:rsidRPr="004F1D99">
        <w:rPr>
          <w:rFonts w:ascii="Times New Roman" w:hAnsi="Times New Roman" w:cs="Times New Roman"/>
          <w:sz w:val="28"/>
          <w:szCs w:val="28"/>
        </w:rPr>
        <w:lastRenderedPageBreak/>
        <w:t xml:space="preserve">a provision for considering matters outside the pleadings.  </w:t>
      </w:r>
      <w:r w:rsidR="005C01AD">
        <w:rPr>
          <w:rFonts w:ascii="Times New Roman" w:hAnsi="Times New Roman" w:cs="Times New Roman"/>
          <w:sz w:val="28"/>
          <w:szCs w:val="28"/>
        </w:rPr>
        <w:t xml:space="preserve">The Task Force therefore </w:t>
      </w:r>
      <w:r w:rsidR="005C01AD" w:rsidRPr="004F1D99">
        <w:rPr>
          <w:rFonts w:ascii="Times New Roman" w:hAnsi="Times New Roman" w:cs="Times New Roman"/>
          <w:sz w:val="28"/>
          <w:szCs w:val="28"/>
        </w:rPr>
        <w:t>added</w:t>
      </w:r>
      <w:r w:rsidRPr="004F1D99">
        <w:rPr>
          <w:rFonts w:ascii="Times New Roman" w:hAnsi="Times New Roman" w:cs="Times New Roman"/>
          <w:sz w:val="28"/>
          <w:szCs w:val="28"/>
        </w:rPr>
        <w:t xml:space="preserve"> a definition of pleadings in Rule 3 as follows: </w:t>
      </w:r>
      <w:r w:rsidR="005E35B6">
        <w:rPr>
          <w:rFonts w:ascii="Times New Roman" w:hAnsi="Times New Roman" w:cs="Times New Roman"/>
          <w:sz w:val="28"/>
          <w:szCs w:val="28"/>
        </w:rPr>
        <w:t>“</w:t>
      </w:r>
      <w:r w:rsidRPr="004F1D99">
        <w:rPr>
          <w:rFonts w:ascii="Times New Roman" w:hAnsi="Times New Roman" w:cs="Times New Roman"/>
          <w:sz w:val="28"/>
          <w:szCs w:val="28"/>
        </w:rPr>
        <w:t xml:space="preserve">A </w:t>
      </w:r>
      <w:r w:rsidR="005E35B6">
        <w:rPr>
          <w:rFonts w:ascii="Times New Roman" w:hAnsi="Times New Roman" w:cs="Times New Roman"/>
          <w:sz w:val="28"/>
          <w:szCs w:val="28"/>
        </w:rPr>
        <w:t>‘</w:t>
      </w:r>
      <w:r w:rsidRPr="004F1D99">
        <w:rPr>
          <w:rFonts w:ascii="Times New Roman" w:hAnsi="Times New Roman" w:cs="Times New Roman"/>
          <w:sz w:val="28"/>
          <w:szCs w:val="28"/>
        </w:rPr>
        <w:t>pleading</w:t>
      </w:r>
      <w:r w:rsidR="005E35B6">
        <w:rPr>
          <w:rFonts w:ascii="Times New Roman" w:hAnsi="Times New Roman" w:cs="Times New Roman"/>
          <w:sz w:val="28"/>
          <w:szCs w:val="28"/>
        </w:rPr>
        <w:t xml:space="preserve">’ </w:t>
      </w:r>
      <w:r w:rsidRPr="004F1D99">
        <w:rPr>
          <w:rFonts w:ascii="Times New Roman" w:hAnsi="Times New Roman" w:cs="Times New Roman"/>
          <w:sz w:val="28"/>
          <w:szCs w:val="28"/>
        </w:rPr>
        <w:t>is a document filed under Rule</w:t>
      </w:r>
      <w:r w:rsidR="003D103B">
        <w:rPr>
          <w:rFonts w:ascii="Times New Roman" w:hAnsi="Times New Roman" w:cs="Times New Roman"/>
          <w:sz w:val="28"/>
          <w:szCs w:val="28"/>
        </w:rPr>
        <w:t>s</w:t>
      </w:r>
      <w:r w:rsidRPr="004F1D99">
        <w:rPr>
          <w:rFonts w:ascii="Times New Roman" w:hAnsi="Times New Roman" w:cs="Times New Roman"/>
          <w:sz w:val="28"/>
          <w:szCs w:val="28"/>
        </w:rPr>
        <w:t xml:space="preserve"> 23(a), 23(c), 23(f), 28, or 33.</w:t>
      </w:r>
      <w:r w:rsidR="005E35B6">
        <w:rPr>
          <w:rFonts w:ascii="Times New Roman" w:hAnsi="Times New Roman" w:cs="Times New Roman"/>
          <w:sz w:val="28"/>
          <w:szCs w:val="28"/>
        </w:rPr>
        <w:t>”</w:t>
      </w:r>
      <w:r w:rsidRPr="004F1D99">
        <w:rPr>
          <w:rFonts w:ascii="Times New Roman" w:hAnsi="Times New Roman" w:cs="Times New Roman"/>
          <w:sz w:val="28"/>
          <w:szCs w:val="28"/>
        </w:rPr>
        <w:t xml:space="preserve">  </w:t>
      </w:r>
    </w:p>
    <w:p w:rsidR="00D43174" w:rsidRPr="00812620" w:rsidRDefault="004F1D99" w:rsidP="004F1D99">
      <w:pPr>
        <w:pStyle w:val="ListParagraph"/>
        <w:numPr>
          <w:ilvl w:val="0"/>
          <w:numId w:val="8"/>
        </w:numPr>
        <w:spacing w:line="480" w:lineRule="auto"/>
        <w:ind w:left="0" w:firstLine="720"/>
        <w:rPr>
          <w:rFonts w:ascii="Times New Roman" w:hAnsi="Times New Roman" w:cs="Times New Roman"/>
          <w:b/>
          <w:i/>
          <w:sz w:val="28"/>
          <w:szCs w:val="28"/>
        </w:rPr>
      </w:pPr>
      <w:r w:rsidRPr="004F1D99">
        <w:rPr>
          <w:rFonts w:ascii="Times New Roman" w:hAnsi="Times New Roman" w:cs="Times New Roman"/>
          <w:b/>
          <w:i/>
          <w:sz w:val="28"/>
          <w:szCs w:val="28"/>
        </w:rPr>
        <w:t xml:space="preserve">Rule 24.1: Time to File and Serve a Response to a Petition. </w:t>
      </w:r>
      <w:r w:rsidR="00D362B9">
        <w:rPr>
          <w:rFonts w:ascii="Times New Roman" w:hAnsi="Times New Roman" w:cs="Times New Roman"/>
          <w:b/>
          <w:i/>
          <w:sz w:val="28"/>
          <w:szCs w:val="28"/>
        </w:rPr>
        <w:t xml:space="preserve"> </w:t>
      </w:r>
      <w:r>
        <w:rPr>
          <w:rFonts w:ascii="Times New Roman" w:hAnsi="Times New Roman" w:cs="Times New Roman"/>
          <w:sz w:val="28"/>
          <w:szCs w:val="28"/>
        </w:rPr>
        <w:t>Members spent considerable time during the</w:t>
      </w:r>
      <w:r w:rsidR="008B420C">
        <w:rPr>
          <w:rFonts w:ascii="Times New Roman" w:hAnsi="Times New Roman" w:cs="Times New Roman"/>
          <w:sz w:val="28"/>
          <w:szCs w:val="28"/>
        </w:rPr>
        <w:t>ir</w:t>
      </w:r>
      <w:r>
        <w:rPr>
          <w:rFonts w:ascii="Times New Roman" w:hAnsi="Times New Roman" w:cs="Times New Roman"/>
          <w:sz w:val="28"/>
          <w:szCs w:val="28"/>
        </w:rPr>
        <w:t xml:space="preserve"> June 11 meeting discussing Rule 29(a)</w:t>
      </w:r>
      <w:r w:rsidR="008B420C">
        <w:rPr>
          <w:rFonts w:ascii="Times New Roman" w:hAnsi="Times New Roman" w:cs="Times New Roman"/>
          <w:sz w:val="28"/>
          <w:szCs w:val="28"/>
        </w:rPr>
        <w:t>, which is</w:t>
      </w:r>
      <w:r>
        <w:rPr>
          <w:rFonts w:ascii="Times New Roman" w:hAnsi="Times New Roman" w:cs="Times New Roman"/>
          <w:sz w:val="28"/>
          <w:szCs w:val="28"/>
        </w:rPr>
        <w:t xml:space="preserve"> titled “Time to File and Serve a Responsive Pleading.”  They concluded that th</w:t>
      </w:r>
      <w:r w:rsidR="000A70D0">
        <w:rPr>
          <w:rFonts w:ascii="Times New Roman" w:hAnsi="Times New Roman" w:cs="Times New Roman"/>
          <w:sz w:val="28"/>
          <w:szCs w:val="28"/>
        </w:rPr>
        <w:t xml:space="preserve">is </w:t>
      </w:r>
      <w:r>
        <w:rPr>
          <w:rFonts w:ascii="Times New Roman" w:hAnsi="Times New Roman" w:cs="Times New Roman"/>
          <w:sz w:val="28"/>
          <w:szCs w:val="28"/>
        </w:rPr>
        <w:t>provision was not comprehensive or clear, and that its loca</w:t>
      </w:r>
      <w:r w:rsidR="00812620">
        <w:rPr>
          <w:rFonts w:ascii="Times New Roman" w:hAnsi="Times New Roman" w:cs="Times New Roman"/>
          <w:sz w:val="28"/>
          <w:szCs w:val="28"/>
        </w:rPr>
        <w:t xml:space="preserve">tion should be </w:t>
      </w:r>
      <w:r w:rsidR="005E35B6">
        <w:rPr>
          <w:rFonts w:ascii="Times New Roman" w:hAnsi="Times New Roman" w:cs="Times New Roman"/>
          <w:sz w:val="28"/>
          <w:szCs w:val="28"/>
        </w:rPr>
        <w:t xml:space="preserve">more </w:t>
      </w:r>
      <w:r w:rsidR="00812620">
        <w:rPr>
          <w:rFonts w:ascii="Times New Roman" w:hAnsi="Times New Roman" w:cs="Times New Roman"/>
          <w:sz w:val="28"/>
          <w:szCs w:val="28"/>
        </w:rPr>
        <w:t xml:space="preserve">proximate to Rule 24 concerning “Contents of Pleadings.”  They accordingly deleted Rule 29(a) and </w:t>
      </w:r>
      <w:r w:rsidR="00812620" w:rsidRPr="00812620">
        <w:rPr>
          <w:rFonts w:ascii="Times New Roman" w:hAnsi="Times New Roman" w:cs="Times New Roman"/>
          <w:sz w:val="28"/>
          <w:szCs w:val="28"/>
        </w:rPr>
        <w:t>relocated its pertinent content to a new Rule 24.1</w:t>
      </w:r>
      <w:r w:rsidR="002D343E">
        <w:rPr>
          <w:rFonts w:ascii="Times New Roman" w:hAnsi="Times New Roman" w:cs="Times New Roman"/>
          <w:sz w:val="28"/>
          <w:szCs w:val="28"/>
        </w:rPr>
        <w:t xml:space="preserve">. </w:t>
      </w:r>
      <w:r w:rsidR="00537E9C">
        <w:rPr>
          <w:rFonts w:ascii="Times New Roman" w:hAnsi="Times New Roman" w:cs="Times New Roman"/>
          <w:sz w:val="28"/>
          <w:szCs w:val="28"/>
        </w:rPr>
        <w:t xml:space="preserve"> </w:t>
      </w:r>
      <w:r w:rsidR="00812620" w:rsidRPr="00812620">
        <w:rPr>
          <w:rFonts w:ascii="Times New Roman" w:hAnsi="Times New Roman" w:cs="Times New Roman"/>
          <w:sz w:val="28"/>
          <w:szCs w:val="28"/>
        </w:rPr>
        <w:t xml:space="preserve">New Rule 24.1 </w:t>
      </w:r>
      <w:r w:rsidR="005E35B6">
        <w:rPr>
          <w:rFonts w:ascii="Times New Roman" w:hAnsi="Times New Roman" w:cs="Times New Roman"/>
          <w:sz w:val="28"/>
          <w:szCs w:val="28"/>
        </w:rPr>
        <w:t>explain</w:t>
      </w:r>
      <w:r w:rsidR="004A7CF9">
        <w:rPr>
          <w:rFonts w:ascii="Times New Roman" w:hAnsi="Times New Roman" w:cs="Times New Roman"/>
          <w:sz w:val="28"/>
          <w:szCs w:val="28"/>
        </w:rPr>
        <w:t>s</w:t>
      </w:r>
      <w:r w:rsidR="005E35B6">
        <w:rPr>
          <w:rFonts w:ascii="Times New Roman" w:hAnsi="Times New Roman" w:cs="Times New Roman"/>
          <w:sz w:val="28"/>
          <w:szCs w:val="28"/>
        </w:rPr>
        <w:t xml:space="preserve"> the time</w:t>
      </w:r>
      <w:r w:rsidR="007C40AE">
        <w:rPr>
          <w:rFonts w:ascii="Times New Roman" w:hAnsi="Times New Roman" w:cs="Times New Roman"/>
          <w:sz w:val="28"/>
          <w:szCs w:val="28"/>
        </w:rPr>
        <w:t xml:space="preserve"> for filing and serving</w:t>
      </w:r>
      <w:r w:rsidR="005E35B6">
        <w:rPr>
          <w:rFonts w:ascii="Times New Roman" w:hAnsi="Times New Roman" w:cs="Times New Roman"/>
          <w:sz w:val="28"/>
          <w:szCs w:val="28"/>
        </w:rPr>
        <w:t xml:space="preserve"> a responsive pleading</w:t>
      </w:r>
      <w:r w:rsidR="004A7CF9">
        <w:rPr>
          <w:rFonts w:ascii="Times New Roman" w:hAnsi="Times New Roman" w:cs="Times New Roman"/>
          <w:sz w:val="28"/>
          <w:szCs w:val="28"/>
        </w:rPr>
        <w:t xml:space="preserve"> in six sections titled</w:t>
      </w:r>
      <w:r w:rsidR="00812620" w:rsidRPr="00812620">
        <w:rPr>
          <w:rFonts w:ascii="Times New Roman" w:hAnsi="Times New Roman" w:cs="Times New Roman"/>
          <w:sz w:val="28"/>
          <w:szCs w:val="28"/>
        </w:rPr>
        <w:t xml:space="preserve"> </w:t>
      </w:r>
      <w:r w:rsidR="007A08B1">
        <w:rPr>
          <w:rFonts w:ascii="Times New Roman" w:hAnsi="Times New Roman" w:cs="Times New Roman"/>
          <w:sz w:val="28"/>
          <w:szCs w:val="28"/>
        </w:rPr>
        <w:t>“</w:t>
      </w:r>
      <w:r w:rsidR="00812620" w:rsidRPr="00812620">
        <w:rPr>
          <w:rFonts w:ascii="Times New Roman" w:hAnsi="Times New Roman" w:cs="Times New Roman"/>
          <w:sz w:val="28"/>
          <w:szCs w:val="28"/>
        </w:rPr>
        <w:t>generally,</w:t>
      </w:r>
      <w:r w:rsidR="007A08B1">
        <w:rPr>
          <w:rFonts w:ascii="Times New Roman" w:hAnsi="Times New Roman" w:cs="Times New Roman"/>
          <w:sz w:val="28"/>
          <w:szCs w:val="28"/>
        </w:rPr>
        <w:t>”</w:t>
      </w:r>
      <w:r w:rsidR="00812620" w:rsidRPr="00812620">
        <w:rPr>
          <w:rFonts w:ascii="Times New Roman" w:hAnsi="Times New Roman" w:cs="Times New Roman"/>
          <w:sz w:val="28"/>
          <w:szCs w:val="28"/>
        </w:rPr>
        <w:t xml:space="preserve"> </w:t>
      </w:r>
      <w:r w:rsidR="007A08B1">
        <w:rPr>
          <w:rFonts w:ascii="Times New Roman" w:hAnsi="Times New Roman" w:cs="Times New Roman"/>
          <w:sz w:val="28"/>
          <w:szCs w:val="28"/>
        </w:rPr>
        <w:t>“</w:t>
      </w:r>
      <w:r w:rsidR="00812620" w:rsidRPr="00812620">
        <w:rPr>
          <w:rFonts w:ascii="Times New Roman" w:hAnsi="Times New Roman" w:cs="Times New Roman"/>
          <w:sz w:val="28"/>
          <w:szCs w:val="28"/>
        </w:rPr>
        <w:t>service in Arizona,</w:t>
      </w:r>
      <w:r w:rsidR="007A08B1">
        <w:rPr>
          <w:rFonts w:ascii="Times New Roman" w:hAnsi="Times New Roman" w:cs="Times New Roman"/>
          <w:sz w:val="28"/>
          <w:szCs w:val="28"/>
        </w:rPr>
        <w:t>”</w:t>
      </w:r>
      <w:r w:rsidR="00812620" w:rsidRPr="00812620">
        <w:rPr>
          <w:rFonts w:ascii="Times New Roman" w:hAnsi="Times New Roman" w:cs="Times New Roman"/>
          <w:sz w:val="28"/>
          <w:szCs w:val="28"/>
        </w:rPr>
        <w:t xml:space="preserve"> </w:t>
      </w:r>
      <w:r w:rsidR="007A08B1">
        <w:rPr>
          <w:rFonts w:ascii="Times New Roman" w:hAnsi="Times New Roman" w:cs="Times New Roman"/>
          <w:sz w:val="28"/>
          <w:szCs w:val="28"/>
        </w:rPr>
        <w:t>“</w:t>
      </w:r>
      <w:r w:rsidR="00812620" w:rsidRPr="00812620">
        <w:rPr>
          <w:rFonts w:ascii="Times New Roman" w:hAnsi="Times New Roman" w:cs="Times New Roman"/>
          <w:sz w:val="28"/>
          <w:szCs w:val="28"/>
        </w:rPr>
        <w:t>service outside Arizona,</w:t>
      </w:r>
      <w:r w:rsidR="007A08B1">
        <w:rPr>
          <w:rFonts w:ascii="Times New Roman" w:hAnsi="Times New Roman" w:cs="Times New Roman"/>
          <w:sz w:val="28"/>
          <w:szCs w:val="28"/>
        </w:rPr>
        <w:t>”</w:t>
      </w:r>
      <w:r w:rsidR="00812620" w:rsidRPr="00812620">
        <w:rPr>
          <w:rFonts w:ascii="Times New Roman" w:hAnsi="Times New Roman" w:cs="Times New Roman"/>
          <w:sz w:val="28"/>
          <w:szCs w:val="28"/>
        </w:rPr>
        <w:t xml:space="preserve"> </w:t>
      </w:r>
      <w:r w:rsidR="007A08B1">
        <w:rPr>
          <w:rFonts w:ascii="Times New Roman" w:hAnsi="Times New Roman" w:cs="Times New Roman"/>
          <w:sz w:val="28"/>
          <w:szCs w:val="28"/>
        </w:rPr>
        <w:t>“</w:t>
      </w:r>
      <w:r w:rsidR="00812620" w:rsidRPr="00812620">
        <w:rPr>
          <w:rFonts w:ascii="Times New Roman" w:hAnsi="Times New Roman" w:cs="Times New Roman"/>
          <w:sz w:val="28"/>
          <w:szCs w:val="28"/>
        </w:rPr>
        <w:t>acceptance of service,</w:t>
      </w:r>
      <w:r w:rsidR="007A08B1">
        <w:rPr>
          <w:rFonts w:ascii="Times New Roman" w:hAnsi="Times New Roman" w:cs="Times New Roman"/>
          <w:sz w:val="28"/>
          <w:szCs w:val="28"/>
        </w:rPr>
        <w:t>”</w:t>
      </w:r>
      <w:r w:rsidR="00812620" w:rsidRPr="00812620">
        <w:rPr>
          <w:rFonts w:ascii="Times New Roman" w:hAnsi="Times New Roman" w:cs="Times New Roman"/>
          <w:sz w:val="28"/>
          <w:szCs w:val="28"/>
        </w:rPr>
        <w:t xml:space="preserve"> </w:t>
      </w:r>
      <w:r w:rsidR="007A08B1">
        <w:rPr>
          <w:rFonts w:ascii="Times New Roman" w:hAnsi="Times New Roman" w:cs="Times New Roman"/>
          <w:sz w:val="28"/>
          <w:szCs w:val="28"/>
        </w:rPr>
        <w:t>“</w:t>
      </w:r>
      <w:r w:rsidR="00812620" w:rsidRPr="00812620">
        <w:rPr>
          <w:rFonts w:ascii="Times New Roman" w:hAnsi="Times New Roman" w:cs="Times New Roman"/>
          <w:sz w:val="28"/>
          <w:szCs w:val="28"/>
        </w:rPr>
        <w:t>response after court rulings on Rule 29 motions,</w:t>
      </w:r>
      <w:r w:rsidR="007A08B1">
        <w:rPr>
          <w:rFonts w:ascii="Times New Roman" w:hAnsi="Times New Roman" w:cs="Times New Roman"/>
          <w:sz w:val="28"/>
          <w:szCs w:val="28"/>
        </w:rPr>
        <w:t>”</w:t>
      </w:r>
      <w:r w:rsidR="00812620" w:rsidRPr="00812620">
        <w:rPr>
          <w:rFonts w:ascii="Times New Roman" w:hAnsi="Times New Roman" w:cs="Times New Roman"/>
          <w:sz w:val="28"/>
          <w:szCs w:val="28"/>
        </w:rPr>
        <w:t xml:space="preserve"> and </w:t>
      </w:r>
      <w:r w:rsidR="007A08B1">
        <w:rPr>
          <w:rFonts w:ascii="Times New Roman" w:hAnsi="Times New Roman" w:cs="Times New Roman"/>
          <w:sz w:val="28"/>
          <w:szCs w:val="28"/>
        </w:rPr>
        <w:t>“</w:t>
      </w:r>
      <w:r w:rsidR="00812620" w:rsidRPr="00812620">
        <w:rPr>
          <w:rFonts w:ascii="Times New Roman" w:hAnsi="Times New Roman" w:cs="Times New Roman"/>
          <w:sz w:val="28"/>
          <w:szCs w:val="28"/>
        </w:rPr>
        <w:t>default.</w:t>
      </w:r>
      <w:r w:rsidR="007A08B1">
        <w:rPr>
          <w:rFonts w:ascii="Times New Roman" w:hAnsi="Times New Roman" w:cs="Times New Roman"/>
          <w:sz w:val="28"/>
          <w:szCs w:val="28"/>
        </w:rPr>
        <w:t>”</w:t>
      </w:r>
      <w:r w:rsidR="00812620">
        <w:rPr>
          <w:rFonts w:ascii="Book Antiqua" w:hAnsi="Book Antiqua"/>
          <w:sz w:val="24"/>
          <w:szCs w:val="24"/>
        </w:rPr>
        <w:t xml:space="preserve">  </w:t>
      </w:r>
    </w:p>
    <w:p w:rsidR="00812620" w:rsidRPr="00812620" w:rsidRDefault="00812620" w:rsidP="004F1D99">
      <w:pPr>
        <w:pStyle w:val="ListParagraph"/>
        <w:numPr>
          <w:ilvl w:val="0"/>
          <w:numId w:val="8"/>
        </w:numPr>
        <w:spacing w:line="480" w:lineRule="auto"/>
        <w:ind w:left="0" w:firstLine="720"/>
        <w:rPr>
          <w:rFonts w:ascii="Times New Roman" w:hAnsi="Times New Roman" w:cs="Times New Roman"/>
          <w:b/>
          <w:i/>
          <w:sz w:val="28"/>
          <w:szCs w:val="28"/>
        </w:rPr>
      </w:pPr>
      <w:r w:rsidRPr="00812620">
        <w:rPr>
          <w:rFonts w:ascii="Times New Roman" w:hAnsi="Times New Roman" w:cs="Times New Roman"/>
          <w:b/>
          <w:i/>
          <w:sz w:val="28"/>
          <w:szCs w:val="28"/>
        </w:rPr>
        <w:t xml:space="preserve">Rule 29: Defenses and Objections; Motion for Judgment on the Pleadings; Joining Motions; Waiving Defenses; Pretrial Hearing.  </w:t>
      </w:r>
      <w:r w:rsidR="002D343E">
        <w:rPr>
          <w:rFonts w:ascii="Times New Roman" w:hAnsi="Times New Roman" w:cs="Times New Roman"/>
          <w:sz w:val="28"/>
          <w:szCs w:val="28"/>
        </w:rPr>
        <w:t xml:space="preserve">In addition to </w:t>
      </w:r>
      <w:r w:rsidRPr="00812620">
        <w:rPr>
          <w:rFonts w:ascii="Times New Roman" w:hAnsi="Times New Roman" w:cs="Times New Roman"/>
          <w:sz w:val="28"/>
          <w:szCs w:val="28"/>
        </w:rPr>
        <w:t xml:space="preserve">moving </w:t>
      </w:r>
      <w:r w:rsidR="002D343E">
        <w:rPr>
          <w:rFonts w:ascii="Times New Roman" w:hAnsi="Times New Roman" w:cs="Times New Roman"/>
          <w:sz w:val="28"/>
          <w:szCs w:val="28"/>
        </w:rPr>
        <w:t>Rule 29</w:t>
      </w:r>
      <w:r w:rsidRPr="00812620">
        <w:rPr>
          <w:rFonts w:ascii="Times New Roman" w:hAnsi="Times New Roman" w:cs="Times New Roman"/>
          <w:sz w:val="28"/>
          <w:szCs w:val="28"/>
        </w:rPr>
        <w:t xml:space="preserve">(a) as discussed above, the Task Force made other changes to </w:t>
      </w:r>
      <w:r w:rsidR="007C40AE">
        <w:rPr>
          <w:rFonts w:ascii="Times New Roman" w:hAnsi="Times New Roman" w:cs="Times New Roman"/>
          <w:sz w:val="28"/>
          <w:szCs w:val="28"/>
        </w:rPr>
        <w:t>Rule 29</w:t>
      </w:r>
      <w:r w:rsidRPr="00812620">
        <w:rPr>
          <w:rFonts w:ascii="Times New Roman" w:hAnsi="Times New Roman" w:cs="Times New Roman"/>
          <w:sz w:val="28"/>
          <w:szCs w:val="28"/>
        </w:rPr>
        <w:t xml:space="preserve">, beginning with its title.  Because Rule 29 </w:t>
      </w:r>
      <w:r w:rsidR="005E35B6">
        <w:rPr>
          <w:rFonts w:ascii="Times New Roman" w:hAnsi="Times New Roman" w:cs="Times New Roman"/>
          <w:sz w:val="28"/>
          <w:szCs w:val="28"/>
        </w:rPr>
        <w:t>makes</w:t>
      </w:r>
      <w:r w:rsidRPr="00812620">
        <w:rPr>
          <w:rFonts w:ascii="Times New Roman" w:hAnsi="Times New Roman" w:cs="Times New Roman"/>
          <w:sz w:val="28"/>
          <w:szCs w:val="28"/>
        </w:rPr>
        <w:t xml:space="preserve"> no mention of objections, the title of the rule was modified by removing the words “and objections.”  Rule 29 now includes a new section (f) concerning a motion for a more definite statement that contains text taken from Civil Rule 12(e). The title of Rule 29(h) was changed to “disposition of Rule 29 motions,” and the text of that section </w:t>
      </w:r>
      <w:r w:rsidR="007C40AE">
        <w:rPr>
          <w:rFonts w:ascii="Times New Roman" w:hAnsi="Times New Roman" w:cs="Times New Roman"/>
          <w:sz w:val="28"/>
          <w:szCs w:val="28"/>
        </w:rPr>
        <w:t>was</w:t>
      </w:r>
      <w:r w:rsidRPr="00812620">
        <w:rPr>
          <w:rFonts w:ascii="Times New Roman" w:hAnsi="Times New Roman" w:cs="Times New Roman"/>
          <w:sz w:val="28"/>
          <w:szCs w:val="28"/>
        </w:rPr>
        <w:t xml:space="preserve"> clarified.</w:t>
      </w:r>
    </w:p>
    <w:p w:rsidR="00812620" w:rsidRPr="00AA2432" w:rsidRDefault="00812620" w:rsidP="004F1D99">
      <w:pPr>
        <w:pStyle w:val="ListParagraph"/>
        <w:numPr>
          <w:ilvl w:val="0"/>
          <w:numId w:val="8"/>
        </w:numPr>
        <w:spacing w:line="480" w:lineRule="auto"/>
        <w:ind w:left="0" w:firstLine="720"/>
        <w:rPr>
          <w:rFonts w:ascii="Times New Roman" w:hAnsi="Times New Roman" w:cs="Times New Roman"/>
          <w:b/>
          <w:i/>
          <w:sz w:val="28"/>
          <w:szCs w:val="28"/>
        </w:rPr>
      </w:pPr>
      <w:r>
        <w:rPr>
          <w:rFonts w:ascii="Times New Roman" w:hAnsi="Times New Roman" w:cs="Times New Roman"/>
          <w:b/>
          <w:i/>
          <w:sz w:val="28"/>
          <w:szCs w:val="28"/>
        </w:rPr>
        <w:lastRenderedPageBreak/>
        <w:t xml:space="preserve">Rule 76.1: </w:t>
      </w:r>
      <w:r w:rsidR="008D5B2F">
        <w:rPr>
          <w:rFonts w:ascii="Times New Roman" w:hAnsi="Times New Roman" w:cs="Times New Roman"/>
          <w:b/>
          <w:i/>
          <w:sz w:val="28"/>
          <w:szCs w:val="28"/>
        </w:rPr>
        <w:t xml:space="preserve">Scheduling Conference; Scheduling Statement; Pretrial Statement. </w:t>
      </w:r>
      <w:r w:rsidR="00D362B9">
        <w:rPr>
          <w:rFonts w:ascii="Times New Roman" w:hAnsi="Times New Roman" w:cs="Times New Roman"/>
          <w:b/>
          <w:i/>
          <w:sz w:val="28"/>
          <w:szCs w:val="28"/>
        </w:rPr>
        <w:t xml:space="preserve"> </w:t>
      </w:r>
      <w:r w:rsidRPr="008D5B2F">
        <w:rPr>
          <w:rFonts w:ascii="Times New Roman" w:hAnsi="Times New Roman" w:cs="Times New Roman"/>
          <w:sz w:val="28"/>
          <w:szCs w:val="28"/>
        </w:rPr>
        <w:t xml:space="preserve">The </w:t>
      </w:r>
      <w:r w:rsidR="008D5B2F">
        <w:rPr>
          <w:rFonts w:ascii="Times New Roman" w:hAnsi="Times New Roman" w:cs="Times New Roman"/>
          <w:sz w:val="28"/>
          <w:szCs w:val="28"/>
        </w:rPr>
        <w:t xml:space="preserve">Task Force deleted the </w:t>
      </w:r>
      <w:r w:rsidRPr="008D5B2F">
        <w:rPr>
          <w:rFonts w:ascii="Times New Roman" w:hAnsi="Times New Roman" w:cs="Times New Roman"/>
          <w:sz w:val="28"/>
          <w:szCs w:val="28"/>
        </w:rPr>
        <w:t xml:space="preserve">words, “Form X, Rule 97 (‘Simplified Affidavit of Financial Information’) or in such other form permitted by local rule,” </w:t>
      </w:r>
      <w:r w:rsidR="008D5B2F">
        <w:rPr>
          <w:rFonts w:ascii="Times New Roman" w:hAnsi="Times New Roman" w:cs="Times New Roman"/>
          <w:sz w:val="28"/>
          <w:szCs w:val="28"/>
        </w:rPr>
        <w:t xml:space="preserve">from proposed Rule 76.1(g)(1)(A) </w:t>
      </w:r>
      <w:r w:rsidRPr="008D5B2F">
        <w:rPr>
          <w:rFonts w:ascii="Times New Roman" w:hAnsi="Times New Roman" w:cs="Times New Roman"/>
          <w:sz w:val="28"/>
          <w:szCs w:val="28"/>
        </w:rPr>
        <w:t xml:space="preserve">because such a form, although contemplated, </w:t>
      </w:r>
      <w:r w:rsidRPr="00AA2432">
        <w:rPr>
          <w:rFonts w:ascii="Times New Roman" w:hAnsi="Times New Roman" w:cs="Times New Roman"/>
          <w:sz w:val="28"/>
          <w:szCs w:val="28"/>
        </w:rPr>
        <w:t>does not currently exist.</w:t>
      </w:r>
    </w:p>
    <w:p w:rsidR="008D5B2F" w:rsidRPr="00AA2432" w:rsidRDefault="008D5B2F" w:rsidP="004F1D99">
      <w:pPr>
        <w:pStyle w:val="ListParagraph"/>
        <w:numPr>
          <w:ilvl w:val="0"/>
          <w:numId w:val="8"/>
        </w:numPr>
        <w:spacing w:line="480" w:lineRule="auto"/>
        <w:ind w:left="0" w:firstLine="720"/>
        <w:rPr>
          <w:rFonts w:ascii="Times New Roman" w:hAnsi="Times New Roman" w:cs="Times New Roman"/>
          <w:b/>
          <w:i/>
          <w:sz w:val="28"/>
          <w:szCs w:val="28"/>
        </w:rPr>
      </w:pPr>
      <w:r w:rsidRPr="003D103B">
        <w:rPr>
          <w:rFonts w:ascii="Times New Roman" w:hAnsi="Times New Roman" w:cs="Times New Roman"/>
          <w:b/>
          <w:i/>
          <w:sz w:val="28"/>
          <w:szCs w:val="28"/>
        </w:rPr>
        <w:t xml:space="preserve">Correlation Table.  </w:t>
      </w:r>
      <w:r w:rsidR="00AA2432" w:rsidRPr="003D103B">
        <w:rPr>
          <w:rFonts w:ascii="Times New Roman" w:hAnsi="Times New Roman" w:cs="Times New Roman"/>
          <w:sz w:val="28"/>
          <w:szCs w:val="28"/>
        </w:rPr>
        <w:t>Appendix</w:t>
      </w:r>
      <w:r w:rsidR="00AA2432" w:rsidRPr="00AA2432">
        <w:rPr>
          <w:rFonts w:ascii="Times New Roman" w:hAnsi="Times New Roman" w:cs="Times New Roman"/>
          <w:sz w:val="28"/>
          <w:szCs w:val="28"/>
        </w:rPr>
        <w:t xml:space="preserve"> C to the March petition </w:t>
      </w:r>
      <w:r w:rsidR="005E35B6">
        <w:rPr>
          <w:rFonts w:ascii="Times New Roman" w:hAnsi="Times New Roman" w:cs="Times New Roman"/>
          <w:sz w:val="28"/>
          <w:szCs w:val="28"/>
        </w:rPr>
        <w:t>was</w:t>
      </w:r>
      <w:r w:rsidR="00AA2432" w:rsidRPr="00AA2432">
        <w:rPr>
          <w:rFonts w:ascii="Times New Roman" w:hAnsi="Times New Roman" w:cs="Times New Roman"/>
          <w:sz w:val="28"/>
          <w:szCs w:val="28"/>
        </w:rPr>
        <w:t xml:space="preserve"> a</w:t>
      </w:r>
      <w:r w:rsidR="005E35B6">
        <w:rPr>
          <w:rFonts w:ascii="Times New Roman" w:hAnsi="Times New Roman" w:cs="Times New Roman"/>
          <w:sz w:val="28"/>
          <w:szCs w:val="28"/>
        </w:rPr>
        <w:t xml:space="preserve"> separate</w:t>
      </w:r>
      <w:r w:rsidR="00AA2432" w:rsidRPr="00AA2432">
        <w:rPr>
          <w:rFonts w:ascii="Times New Roman" w:hAnsi="Times New Roman" w:cs="Times New Roman"/>
          <w:sz w:val="28"/>
          <w:szCs w:val="28"/>
        </w:rPr>
        <w:t xml:space="preserve"> table correlating the proposed family law rules with the current family law rules and with the civil rules.</w:t>
      </w:r>
      <w:r w:rsidR="00D362B9">
        <w:rPr>
          <w:rFonts w:ascii="Times New Roman" w:hAnsi="Times New Roman" w:cs="Times New Roman"/>
          <w:sz w:val="28"/>
          <w:szCs w:val="28"/>
        </w:rPr>
        <w:t xml:space="preserve"> </w:t>
      </w:r>
      <w:r w:rsidR="00AA2432" w:rsidRPr="00AA2432">
        <w:rPr>
          <w:rFonts w:ascii="Times New Roman" w:hAnsi="Times New Roman" w:cs="Times New Roman"/>
          <w:sz w:val="28"/>
          <w:szCs w:val="28"/>
        </w:rPr>
        <w:t xml:space="preserve"> </w:t>
      </w:r>
      <w:r w:rsidR="00AA2432" w:rsidRPr="003D103B">
        <w:rPr>
          <w:rFonts w:ascii="Times New Roman" w:hAnsi="Times New Roman" w:cs="Times New Roman"/>
          <w:sz w:val="28"/>
          <w:szCs w:val="28"/>
        </w:rPr>
        <w:t xml:space="preserve">Members agreed that this table should now </w:t>
      </w:r>
      <w:r w:rsidR="003D103B" w:rsidRPr="003D103B">
        <w:rPr>
          <w:rFonts w:ascii="Times New Roman" w:hAnsi="Times New Roman" w:cs="Times New Roman"/>
          <w:sz w:val="28"/>
          <w:szCs w:val="28"/>
        </w:rPr>
        <w:t>be</w:t>
      </w:r>
      <w:r w:rsidR="003D103B">
        <w:rPr>
          <w:rFonts w:ascii="Times New Roman" w:hAnsi="Times New Roman" w:cs="Times New Roman"/>
          <w:sz w:val="28"/>
          <w:szCs w:val="28"/>
        </w:rPr>
        <w:t xml:space="preserve"> included with the restyled rules, as</w:t>
      </w:r>
      <w:r w:rsidR="00AA2432" w:rsidRPr="00AA2432">
        <w:rPr>
          <w:rFonts w:ascii="Times New Roman" w:hAnsi="Times New Roman" w:cs="Times New Roman"/>
          <w:sz w:val="28"/>
          <w:szCs w:val="28"/>
        </w:rPr>
        <w:t xml:space="preserve"> shown in the Appendix to this Reply.</w:t>
      </w:r>
    </w:p>
    <w:p w:rsidR="00AA2432" w:rsidRPr="009241F3" w:rsidRDefault="00AA2432" w:rsidP="004F1D99">
      <w:pPr>
        <w:pStyle w:val="ListParagraph"/>
        <w:numPr>
          <w:ilvl w:val="0"/>
          <w:numId w:val="8"/>
        </w:numPr>
        <w:spacing w:line="480" w:lineRule="auto"/>
        <w:ind w:left="0" w:firstLine="720"/>
        <w:rPr>
          <w:rFonts w:ascii="Times New Roman" w:hAnsi="Times New Roman" w:cs="Times New Roman"/>
          <w:b/>
          <w:i/>
          <w:sz w:val="28"/>
          <w:szCs w:val="28"/>
        </w:rPr>
      </w:pPr>
      <w:r w:rsidRPr="00AA2432">
        <w:rPr>
          <w:rFonts w:ascii="Times New Roman" w:hAnsi="Times New Roman" w:cs="Times New Roman"/>
          <w:b/>
          <w:i/>
          <w:sz w:val="28"/>
          <w:szCs w:val="28"/>
        </w:rPr>
        <w:t xml:space="preserve">ARCAP 9. </w:t>
      </w:r>
      <w:r w:rsidRPr="00AA2432">
        <w:rPr>
          <w:rFonts w:ascii="Times New Roman" w:hAnsi="Times New Roman" w:cs="Times New Roman"/>
          <w:sz w:val="28"/>
          <w:szCs w:val="28"/>
        </w:rPr>
        <w:t xml:space="preserve"> Appendix B to the March petition contain</w:t>
      </w:r>
      <w:r w:rsidR="005E35B6">
        <w:rPr>
          <w:rFonts w:ascii="Times New Roman" w:hAnsi="Times New Roman" w:cs="Times New Roman"/>
          <w:sz w:val="28"/>
          <w:szCs w:val="28"/>
        </w:rPr>
        <w:t>ed</w:t>
      </w:r>
      <w:r w:rsidRPr="00AA2432">
        <w:rPr>
          <w:rFonts w:ascii="Times New Roman" w:hAnsi="Times New Roman" w:cs="Times New Roman"/>
          <w:sz w:val="28"/>
          <w:szCs w:val="28"/>
        </w:rPr>
        <w:t xml:space="preserve"> </w:t>
      </w:r>
      <w:r>
        <w:rPr>
          <w:rFonts w:ascii="Times New Roman" w:hAnsi="Times New Roman" w:cs="Times New Roman"/>
          <w:sz w:val="28"/>
          <w:szCs w:val="28"/>
        </w:rPr>
        <w:t xml:space="preserve">proposed amendments to ARCAP 9 that would </w:t>
      </w:r>
      <w:r w:rsidRPr="00AA2432">
        <w:rPr>
          <w:rFonts w:ascii="Times New Roman" w:hAnsi="Times New Roman" w:cs="Times New Roman"/>
          <w:sz w:val="28"/>
          <w:szCs w:val="28"/>
        </w:rPr>
        <w:t xml:space="preserve">conform the civil appellate rule to </w:t>
      </w:r>
      <w:r w:rsidR="004A7CF9">
        <w:rPr>
          <w:rFonts w:ascii="Times New Roman" w:hAnsi="Times New Roman" w:cs="Times New Roman"/>
          <w:sz w:val="28"/>
          <w:szCs w:val="28"/>
        </w:rPr>
        <w:t xml:space="preserve">proposed </w:t>
      </w:r>
      <w:r w:rsidRPr="00AA2432">
        <w:rPr>
          <w:rFonts w:ascii="Times New Roman" w:hAnsi="Times New Roman" w:cs="Times New Roman"/>
          <w:sz w:val="28"/>
          <w:szCs w:val="28"/>
        </w:rPr>
        <w:t xml:space="preserve">Family Law </w:t>
      </w:r>
      <w:r w:rsidR="004A7CF9">
        <w:rPr>
          <w:rFonts w:ascii="Times New Roman" w:hAnsi="Times New Roman" w:cs="Times New Roman"/>
          <w:sz w:val="28"/>
          <w:szCs w:val="28"/>
        </w:rPr>
        <w:t>r</w:t>
      </w:r>
      <w:r w:rsidRPr="00AA2432">
        <w:rPr>
          <w:rFonts w:ascii="Times New Roman" w:hAnsi="Times New Roman" w:cs="Times New Roman"/>
          <w:sz w:val="28"/>
          <w:szCs w:val="28"/>
        </w:rPr>
        <w:t>ule</w:t>
      </w:r>
      <w:r w:rsidR="004A7CF9">
        <w:rPr>
          <w:rFonts w:ascii="Times New Roman" w:hAnsi="Times New Roman" w:cs="Times New Roman"/>
          <w:sz w:val="28"/>
          <w:szCs w:val="28"/>
        </w:rPr>
        <w:t xml:space="preserve"> revisions</w:t>
      </w:r>
      <w:r w:rsidRPr="00AA2432">
        <w:rPr>
          <w:rFonts w:ascii="Times New Roman" w:hAnsi="Times New Roman" w:cs="Times New Roman"/>
          <w:sz w:val="28"/>
          <w:szCs w:val="28"/>
        </w:rPr>
        <w:t xml:space="preserve">.  There were no comments </w:t>
      </w:r>
      <w:r>
        <w:rPr>
          <w:rFonts w:ascii="Times New Roman" w:hAnsi="Times New Roman" w:cs="Times New Roman"/>
          <w:sz w:val="28"/>
          <w:szCs w:val="28"/>
        </w:rPr>
        <w:t xml:space="preserve">concerning </w:t>
      </w:r>
      <w:r w:rsidRPr="00AA2432">
        <w:rPr>
          <w:rFonts w:ascii="Times New Roman" w:hAnsi="Times New Roman" w:cs="Times New Roman"/>
          <w:sz w:val="28"/>
          <w:szCs w:val="28"/>
        </w:rPr>
        <w:t xml:space="preserve">the proposed amendments to ARCAP 9, and </w:t>
      </w:r>
      <w:r>
        <w:rPr>
          <w:rFonts w:ascii="Times New Roman" w:hAnsi="Times New Roman" w:cs="Times New Roman"/>
          <w:sz w:val="28"/>
          <w:szCs w:val="28"/>
        </w:rPr>
        <w:t xml:space="preserve">accordingly, </w:t>
      </w:r>
      <w:r w:rsidRPr="00AA2432">
        <w:rPr>
          <w:rFonts w:ascii="Times New Roman" w:hAnsi="Times New Roman" w:cs="Times New Roman"/>
          <w:sz w:val="28"/>
          <w:szCs w:val="28"/>
        </w:rPr>
        <w:t>this Reply is not resubmitting Appendix</w:t>
      </w:r>
      <w:r w:rsidR="004A7CF9">
        <w:rPr>
          <w:rFonts w:ascii="Times New Roman" w:hAnsi="Times New Roman" w:cs="Times New Roman"/>
          <w:sz w:val="28"/>
          <w:szCs w:val="28"/>
        </w:rPr>
        <w:t xml:space="preserve"> B</w:t>
      </w:r>
      <w:r w:rsidRPr="00AA2432">
        <w:rPr>
          <w:rFonts w:ascii="Times New Roman" w:hAnsi="Times New Roman" w:cs="Times New Roman"/>
          <w:sz w:val="28"/>
          <w:szCs w:val="28"/>
        </w:rPr>
        <w:t xml:space="preserve">. </w:t>
      </w:r>
      <w:r w:rsidR="00D362B9">
        <w:rPr>
          <w:rFonts w:ascii="Times New Roman" w:hAnsi="Times New Roman" w:cs="Times New Roman"/>
          <w:sz w:val="28"/>
          <w:szCs w:val="28"/>
        </w:rPr>
        <w:t xml:space="preserve"> </w:t>
      </w:r>
      <w:r w:rsidRPr="00AA2432">
        <w:rPr>
          <w:rFonts w:ascii="Times New Roman" w:hAnsi="Times New Roman" w:cs="Times New Roman"/>
          <w:sz w:val="28"/>
          <w:szCs w:val="28"/>
        </w:rPr>
        <w:t xml:space="preserve">The Task Force requests, however, that the Court adopt the ARCAP 9 amendments along with </w:t>
      </w:r>
      <w:r w:rsidR="005E35B6">
        <w:rPr>
          <w:rFonts w:ascii="Times New Roman" w:hAnsi="Times New Roman" w:cs="Times New Roman"/>
          <w:sz w:val="28"/>
          <w:szCs w:val="28"/>
        </w:rPr>
        <w:t xml:space="preserve">the </w:t>
      </w:r>
      <w:r w:rsidRPr="00AA2432">
        <w:rPr>
          <w:rFonts w:ascii="Times New Roman" w:hAnsi="Times New Roman" w:cs="Times New Roman"/>
          <w:sz w:val="28"/>
          <w:szCs w:val="28"/>
        </w:rPr>
        <w:t>proposed amendments to the Family Law Rules.</w:t>
      </w:r>
    </w:p>
    <w:p w:rsidR="009241F3" w:rsidRPr="003D103B" w:rsidRDefault="009241F3" w:rsidP="004F1D99">
      <w:pPr>
        <w:pStyle w:val="ListParagraph"/>
        <w:numPr>
          <w:ilvl w:val="0"/>
          <w:numId w:val="8"/>
        </w:numPr>
        <w:spacing w:line="480" w:lineRule="auto"/>
        <w:ind w:left="0" w:firstLine="720"/>
        <w:rPr>
          <w:rFonts w:ascii="Times New Roman" w:hAnsi="Times New Roman" w:cs="Times New Roman"/>
          <w:b/>
          <w:i/>
          <w:sz w:val="28"/>
          <w:szCs w:val="28"/>
        </w:rPr>
      </w:pPr>
      <w:r w:rsidRPr="003D103B">
        <w:rPr>
          <w:rFonts w:ascii="Times New Roman" w:hAnsi="Times New Roman" w:cs="Times New Roman"/>
          <w:b/>
          <w:i/>
          <w:sz w:val="28"/>
          <w:szCs w:val="28"/>
        </w:rPr>
        <w:t>Forms.</w:t>
      </w:r>
      <w:r w:rsidR="003D103B">
        <w:rPr>
          <w:rFonts w:ascii="Times New Roman" w:hAnsi="Times New Roman" w:cs="Times New Roman"/>
          <w:b/>
          <w:i/>
          <w:sz w:val="28"/>
          <w:szCs w:val="28"/>
        </w:rPr>
        <w:t xml:space="preserve">  </w:t>
      </w:r>
      <w:r w:rsidR="003D103B">
        <w:rPr>
          <w:rFonts w:ascii="Times New Roman" w:hAnsi="Times New Roman" w:cs="Times New Roman"/>
          <w:sz w:val="28"/>
          <w:szCs w:val="28"/>
        </w:rPr>
        <w:t xml:space="preserve">Rule 97 currently identifies Forms 1 through 16, which appear following Rule 97.  The Task Force petition requested the abrogation of current Form 6 (“Joint Alternative Dispute Resolution Statement to the Court”) and the adoption of a new Form 6 (“Default Information for Spousal Maintenance”).  </w:t>
      </w:r>
      <w:r w:rsidR="002038A1">
        <w:rPr>
          <w:rFonts w:ascii="Times New Roman" w:hAnsi="Times New Roman" w:cs="Times New Roman"/>
          <w:sz w:val="28"/>
          <w:szCs w:val="28"/>
        </w:rPr>
        <w:t xml:space="preserve">Task Force members are continuing to discuss revisions to other </w:t>
      </w:r>
      <w:r w:rsidR="00DA6F79">
        <w:rPr>
          <w:rFonts w:ascii="Times New Roman" w:hAnsi="Times New Roman" w:cs="Times New Roman"/>
          <w:sz w:val="28"/>
          <w:szCs w:val="28"/>
        </w:rPr>
        <w:t xml:space="preserve">Rule 97 </w:t>
      </w:r>
      <w:r w:rsidR="002038A1">
        <w:rPr>
          <w:rFonts w:ascii="Times New Roman" w:hAnsi="Times New Roman" w:cs="Times New Roman"/>
          <w:sz w:val="28"/>
          <w:szCs w:val="28"/>
        </w:rPr>
        <w:t xml:space="preserve">forms, but </w:t>
      </w:r>
      <w:r w:rsidR="00DA6F79">
        <w:rPr>
          <w:rFonts w:ascii="Times New Roman" w:hAnsi="Times New Roman" w:cs="Times New Roman"/>
          <w:sz w:val="28"/>
          <w:szCs w:val="28"/>
        </w:rPr>
        <w:t xml:space="preserve">they </w:t>
      </w:r>
      <w:r w:rsidR="00DA6F79">
        <w:rPr>
          <w:rFonts w:ascii="Times New Roman" w:hAnsi="Times New Roman" w:cs="Times New Roman"/>
          <w:sz w:val="28"/>
          <w:szCs w:val="28"/>
        </w:rPr>
        <w:lastRenderedPageBreak/>
        <w:t xml:space="preserve">have </w:t>
      </w:r>
      <w:r w:rsidR="002038A1">
        <w:rPr>
          <w:rFonts w:ascii="Times New Roman" w:hAnsi="Times New Roman" w:cs="Times New Roman"/>
          <w:sz w:val="28"/>
          <w:szCs w:val="28"/>
        </w:rPr>
        <w:t xml:space="preserve">no revisions </w:t>
      </w:r>
      <w:r w:rsidR="00DA6F79">
        <w:rPr>
          <w:rFonts w:ascii="Times New Roman" w:hAnsi="Times New Roman" w:cs="Times New Roman"/>
          <w:sz w:val="28"/>
          <w:szCs w:val="28"/>
        </w:rPr>
        <w:t>at present</w:t>
      </w:r>
      <w:r w:rsidR="002038A1">
        <w:rPr>
          <w:rFonts w:ascii="Times New Roman" w:hAnsi="Times New Roman" w:cs="Times New Roman"/>
          <w:sz w:val="28"/>
          <w:szCs w:val="28"/>
        </w:rPr>
        <w:t xml:space="preserve"> </w:t>
      </w:r>
      <w:r w:rsidR="00DA6F79">
        <w:rPr>
          <w:rFonts w:ascii="Times New Roman" w:hAnsi="Times New Roman" w:cs="Times New Roman"/>
          <w:sz w:val="28"/>
          <w:szCs w:val="28"/>
        </w:rPr>
        <w:t>that are ready for inclusion in</w:t>
      </w:r>
      <w:r w:rsidR="002038A1">
        <w:rPr>
          <w:rFonts w:ascii="Times New Roman" w:hAnsi="Times New Roman" w:cs="Times New Roman"/>
          <w:sz w:val="28"/>
          <w:szCs w:val="28"/>
        </w:rPr>
        <w:t xml:space="preserve"> </w:t>
      </w:r>
      <w:r w:rsidR="004A7CF9">
        <w:rPr>
          <w:rFonts w:ascii="Times New Roman" w:hAnsi="Times New Roman" w:cs="Times New Roman"/>
          <w:sz w:val="28"/>
          <w:szCs w:val="28"/>
        </w:rPr>
        <w:t>R-17-0054</w:t>
      </w:r>
      <w:r w:rsidR="002038A1">
        <w:rPr>
          <w:rFonts w:ascii="Times New Roman" w:hAnsi="Times New Roman" w:cs="Times New Roman"/>
          <w:sz w:val="28"/>
          <w:szCs w:val="28"/>
        </w:rPr>
        <w:t xml:space="preserve">. Under Administrative Order No. 2016-131, which established the Task Force, members’ terms continue until December 31, 2018. </w:t>
      </w:r>
      <w:r w:rsidR="004A7CF9">
        <w:rPr>
          <w:rFonts w:ascii="Times New Roman" w:hAnsi="Times New Roman" w:cs="Times New Roman"/>
          <w:sz w:val="28"/>
          <w:szCs w:val="28"/>
        </w:rPr>
        <w:t xml:space="preserve"> </w:t>
      </w:r>
      <w:r w:rsidR="002038A1">
        <w:rPr>
          <w:rFonts w:ascii="Times New Roman" w:hAnsi="Times New Roman" w:cs="Times New Roman"/>
          <w:sz w:val="28"/>
          <w:szCs w:val="28"/>
        </w:rPr>
        <w:t xml:space="preserve">Members </w:t>
      </w:r>
      <w:r w:rsidR="00CC311F">
        <w:rPr>
          <w:rFonts w:ascii="Times New Roman" w:hAnsi="Times New Roman" w:cs="Times New Roman"/>
          <w:sz w:val="28"/>
          <w:szCs w:val="28"/>
        </w:rPr>
        <w:t>might</w:t>
      </w:r>
      <w:r w:rsidR="002038A1">
        <w:rPr>
          <w:rFonts w:ascii="Times New Roman" w:hAnsi="Times New Roman" w:cs="Times New Roman"/>
          <w:sz w:val="28"/>
          <w:szCs w:val="28"/>
        </w:rPr>
        <w:t xml:space="preserve"> reconvene later this year to discuss revisions to the other forms and, if there is agreement</w:t>
      </w:r>
      <w:r w:rsidR="00DA6F79">
        <w:rPr>
          <w:rFonts w:ascii="Times New Roman" w:hAnsi="Times New Roman" w:cs="Times New Roman"/>
          <w:sz w:val="28"/>
          <w:szCs w:val="28"/>
        </w:rPr>
        <w:t xml:space="preserve">, they will </w:t>
      </w:r>
      <w:r w:rsidR="002038A1">
        <w:rPr>
          <w:rFonts w:ascii="Times New Roman" w:hAnsi="Times New Roman" w:cs="Times New Roman"/>
          <w:sz w:val="28"/>
          <w:szCs w:val="28"/>
        </w:rPr>
        <w:t xml:space="preserve">file a second rule petition requesting the adoption of </w:t>
      </w:r>
      <w:r w:rsidR="004A7CF9">
        <w:rPr>
          <w:rFonts w:ascii="Times New Roman" w:hAnsi="Times New Roman" w:cs="Times New Roman"/>
          <w:sz w:val="28"/>
          <w:szCs w:val="28"/>
        </w:rPr>
        <w:t xml:space="preserve">additional form </w:t>
      </w:r>
      <w:r w:rsidR="002038A1">
        <w:rPr>
          <w:rFonts w:ascii="Times New Roman" w:hAnsi="Times New Roman" w:cs="Times New Roman"/>
          <w:sz w:val="28"/>
          <w:szCs w:val="28"/>
        </w:rPr>
        <w:t>changes</w:t>
      </w:r>
      <w:r w:rsidR="004A7CF9">
        <w:rPr>
          <w:rFonts w:ascii="Times New Roman" w:hAnsi="Times New Roman" w:cs="Times New Roman"/>
          <w:sz w:val="28"/>
          <w:szCs w:val="28"/>
        </w:rPr>
        <w:t>.</w:t>
      </w:r>
    </w:p>
    <w:p w:rsidR="008D5B2F" w:rsidRDefault="008D5B2F" w:rsidP="008D5B2F">
      <w:pPr>
        <w:pStyle w:val="ListParagraph"/>
        <w:numPr>
          <w:ilvl w:val="0"/>
          <w:numId w:val="2"/>
        </w:numPr>
        <w:spacing w:line="480" w:lineRule="auto"/>
        <w:ind w:left="0" w:firstLine="720"/>
        <w:rPr>
          <w:rFonts w:ascii="Times New Roman" w:hAnsi="Times New Roman" w:cs="Times New Roman"/>
          <w:sz w:val="28"/>
          <w:szCs w:val="28"/>
        </w:rPr>
      </w:pPr>
      <w:r w:rsidRPr="008D5B2F">
        <w:rPr>
          <w:rFonts w:ascii="Times New Roman" w:hAnsi="Times New Roman" w:cs="Times New Roman"/>
          <w:b/>
          <w:sz w:val="28"/>
          <w:szCs w:val="28"/>
        </w:rPr>
        <w:t xml:space="preserve">Implementation Order. </w:t>
      </w:r>
      <w:r w:rsidR="00D362B9">
        <w:rPr>
          <w:rFonts w:ascii="Times New Roman" w:hAnsi="Times New Roman" w:cs="Times New Roman"/>
          <w:b/>
          <w:sz w:val="28"/>
          <w:szCs w:val="28"/>
        </w:rPr>
        <w:t xml:space="preserve"> </w:t>
      </w:r>
      <w:r w:rsidRPr="008D5B2F">
        <w:rPr>
          <w:rFonts w:ascii="Times New Roman" w:hAnsi="Times New Roman" w:cs="Times New Roman"/>
          <w:sz w:val="28"/>
          <w:szCs w:val="28"/>
        </w:rPr>
        <w:t xml:space="preserve">Under Rule 28(F)(2), Rules of the Supreme Court, rules </w:t>
      </w:r>
      <w:r w:rsidR="001B4EFA">
        <w:rPr>
          <w:rFonts w:ascii="Times New Roman" w:hAnsi="Times New Roman" w:cs="Times New Roman"/>
          <w:sz w:val="28"/>
          <w:szCs w:val="28"/>
        </w:rPr>
        <w:t xml:space="preserve">adopted by the Court usually </w:t>
      </w:r>
      <w:r w:rsidRPr="008D5B2F">
        <w:rPr>
          <w:rFonts w:ascii="Times New Roman" w:hAnsi="Times New Roman" w:cs="Times New Roman"/>
          <w:sz w:val="28"/>
          <w:szCs w:val="28"/>
        </w:rPr>
        <w:t xml:space="preserve">become effective on January 1 of the following year. </w:t>
      </w:r>
      <w:r w:rsidR="005E35B6">
        <w:rPr>
          <w:rFonts w:ascii="Times New Roman" w:hAnsi="Times New Roman" w:cs="Times New Roman"/>
          <w:sz w:val="28"/>
          <w:szCs w:val="28"/>
        </w:rPr>
        <w:t xml:space="preserve"> </w:t>
      </w:r>
      <w:r>
        <w:rPr>
          <w:rFonts w:ascii="Times New Roman" w:hAnsi="Times New Roman" w:cs="Times New Roman"/>
          <w:sz w:val="28"/>
          <w:szCs w:val="28"/>
        </w:rPr>
        <w:t>Task Force m</w:t>
      </w:r>
      <w:r w:rsidRPr="008D5B2F">
        <w:rPr>
          <w:rFonts w:ascii="Times New Roman" w:hAnsi="Times New Roman" w:cs="Times New Roman"/>
          <w:sz w:val="28"/>
          <w:szCs w:val="28"/>
        </w:rPr>
        <w:t>embers agreed that there was no need to request a delay</w:t>
      </w:r>
      <w:r>
        <w:rPr>
          <w:rFonts w:ascii="Times New Roman" w:hAnsi="Times New Roman" w:cs="Times New Roman"/>
          <w:sz w:val="28"/>
          <w:szCs w:val="28"/>
        </w:rPr>
        <w:t>ed</w:t>
      </w:r>
      <w:r w:rsidRPr="008D5B2F">
        <w:rPr>
          <w:rFonts w:ascii="Times New Roman" w:hAnsi="Times New Roman" w:cs="Times New Roman"/>
          <w:sz w:val="28"/>
          <w:szCs w:val="28"/>
        </w:rPr>
        <w:t xml:space="preserve"> implementation date.  They further agreed that the implementation order should </w:t>
      </w:r>
      <w:r w:rsidR="00DA6F79">
        <w:rPr>
          <w:rFonts w:ascii="Times New Roman" w:hAnsi="Times New Roman" w:cs="Times New Roman"/>
          <w:sz w:val="28"/>
          <w:szCs w:val="28"/>
        </w:rPr>
        <w:t>contain</w:t>
      </w:r>
      <w:r w:rsidRPr="008D5B2F">
        <w:rPr>
          <w:rFonts w:ascii="Times New Roman" w:hAnsi="Times New Roman" w:cs="Times New Roman"/>
          <w:sz w:val="28"/>
          <w:szCs w:val="28"/>
        </w:rPr>
        <w:t xml:space="preserve"> language like the text included in the Court’s Order in R-16-0010, which adopted the restyled civil rules.  Regarding the family rules, this would mean that the rules would apply to all actions filed after January 1, 2019, as well as to actions pending on that date, “except to the extent that the court in an affected action determines that applying the rule or amendment would be infeasible or work an injustice, in which event the former rule or procedure applies.”  Members </w:t>
      </w:r>
      <w:r>
        <w:rPr>
          <w:rFonts w:ascii="Times New Roman" w:hAnsi="Times New Roman" w:cs="Times New Roman"/>
          <w:sz w:val="28"/>
          <w:szCs w:val="28"/>
        </w:rPr>
        <w:t xml:space="preserve">recommend </w:t>
      </w:r>
      <w:r w:rsidRPr="008D5B2F">
        <w:rPr>
          <w:rFonts w:ascii="Times New Roman" w:hAnsi="Times New Roman" w:cs="Times New Roman"/>
          <w:sz w:val="28"/>
          <w:szCs w:val="28"/>
        </w:rPr>
        <w:t xml:space="preserve">that these principles </w:t>
      </w:r>
      <w:r w:rsidR="00241691">
        <w:rPr>
          <w:rFonts w:ascii="Times New Roman" w:hAnsi="Times New Roman" w:cs="Times New Roman"/>
          <w:sz w:val="28"/>
          <w:szCs w:val="28"/>
        </w:rPr>
        <w:t xml:space="preserve">also </w:t>
      </w:r>
      <w:r w:rsidRPr="008D5B2F">
        <w:rPr>
          <w:rFonts w:ascii="Times New Roman" w:hAnsi="Times New Roman" w:cs="Times New Roman"/>
          <w:sz w:val="28"/>
          <w:szCs w:val="28"/>
        </w:rPr>
        <w:t>apply to Rule 91 petitions and other post-decree or post-judgment proceedings.</w:t>
      </w:r>
    </w:p>
    <w:p w:rsidR="002038A1" w:rsidRPr="002038A1" w:rsidRDefault="002038A1" w:rsidP="002038A1">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Task Force members also request that the Court’s implementation order expressly (a) abrogate current Form 6; (b) adopt proposed Form 6; and (c) </w:t>
      </w:r>
      <w:r w:rsidR="002D343E">
        <w:rPr>
          <w:rFonts w:ascii="Times New Roman" w:hAnsi="Times New Roman" w:cs="Times New Roman"/>
          <w:sz w:val="28"/>
          <w:szCs w:val="28"/>
        </w:rPr>
        <w:t>confirm</w:t>
      </w:r>
      <w:r>
        <w:rPr>
          <w:rFonts w:ascii="Times New Roman" w:hAnsi="Times New Roman" w:cs="Times New Roman"/>
          <w:sz w:val="28"/>
          <w:szCs w:val="28"/>
        </w:rPr>
        <w:t xml:space="preserve"> that current Forms 1 through 5 and 7 through 16 continue to be effective.</w:t>
      </w:r>
    </w:p>
    <w:p w:rsidR="00454850" w:rsidRDefault="00AA2432" w:rsidP="00454850">
      <w:pPr>
        <w:pStyle w:val="ListParagraph"/>
        <w:numPr>
          <w:ilvl w:val="0"/>
          <w:numId w:val="2"/>
        </w:numPr>
        <w:spacing w:after="100" w:afterAutospacing="1" w:line="480" w:lineRule="auto"/>
        <w:ind w:left="0" w:firstLine="720"/>
      </w:pPr>
      <w:r w:rsidRPr="00AA2432">
        <w:rPr>
          <w:rFonts w:ascii="Times New Roman" w:hAnsi="Times New Roman" w:cs="Times New Roman"/>
          <w:b/>
          <w:sz w:val="28"/>
          <w:szCs w:val="28"/>
        </w:rPr>
        <w:lastRenderedPageBreak/>
        <w:t xml:space="preserve">Conclusion. </w:t>
      </w:r>
      <w:r w:rsidR="00D362B9">
        <w:rPr>
          <w:rFonts w:ascii="Times New Roman" w:hAnsi="Times New Roman" w:cs="Times New Roman"/>
          <w:b/>
          <w:sz w:val="28"/>
          <w:szCs w:val="28"/>
        </w:rPr>
        <w:t xml:space="preserve"> </w:t>
      </w:r>
      <w:r w:rsidRPr="00AA2432">
        <w:rPr>
          <w:rFonts w:ascii="Times New Roman" w:hAnsi="Times New Roman" w:cs="Times New Roman"/>
          <w:sz w:val="28"/>
          <w:szCs w:val="28"/>
        </w:rPr>
        <w:t>The Task Force appreciates the comments stakeholders submitted during the comment period and the opportunity to thereafter improve its work product.  The Task Force now requests the Court to abrogate the current Family Law Rules</w:t>
      </w:r>
      <w:r w:rsidR="00DA6F79">
        <w:rPr>
          <w:rFonts w:ascii="Times New Roman" w:hAnsi="Times New Roman" w:cs="Times New Roman"/>
          <w:sz w:val="28"/>
          <w:szCs w:val="28"/>
        </w:rPr>
        <w:t>, except the forms noted above</w:t>
      </w:r>
      <w:r w:rsidRPr="00AA2432">
        <w:rPr>
          <w:rFonts w:ascii="Times New Roman" w:hAnsi="Times New Roman" w:cs="Times New Roman"/>
          <w:sz w:val="28"/>
          <w:szCs w:val="28"/>
        </w:rPr>
        <w:t xml:space="preserve">, to adopt the proposed </w:t>
      </w:r>
      <w:r w:rsidR="00DA6F79">
        <w:rPr>
          <w:rFonts w:ascii="Times New Roman" w:hAnsi="Times New Roman" w:cs="Times New Roman"/>
          <w:sz w:val="28"/>
          <w:szCs w:val="28"/>
        </w:rPr>
        <w:t xml:space="preserve">rules and </w:t>
      </w:r>
      <w:r w:rsidR="001B4EFA">
        <w:rPr>
          <w:rFonts w:ascii="Times New Roman" w:hAnsi="Times New Roman" w:cs="Times New Roman"/>
          <w:sz w:val="28"/>
          <w:szCs w:val="28"/>
        </w:rPr>
        <w:t xml:space="preserve">the </w:t>
      </w:r>
      <w:r w:rsidR="00DA6F79">
        <w:rPr>
          <w:rFonts w:ascii="Times New Roman" w:hAnsi="Times New Roman" w:cs="Times New Roman"/>
          <w:sz w:val="28"/>
          <w:szCs w:val="28"/>
        </w:rPr>
        <w:t>form</w:t>
      </w:r>
      <w:r w:rsidRPr="00AA2432">
        <w:rPr>
          <w:rFonts w:ascii="Times New Roman" w:hAnsi="Times New Roman" w:cs="Times New Roman"/>
          <w:sz w:val="28"/>
          <w:szCs w:val="28"/>
        </w:rPr>
        <w:t xml:space="preserve"> shown in the Appendix to this Reply, and to adopt the proposed amendments to ARCAP 9.</w:t>
      </w:r>
    </w:p>
    <w:p w:rsidR="00454850" w:rsidRPr="00955A09" w:rsidRDefault="00454850" w:rsidP="00454850">
      <w:pPr>
        <w:keepNext/>
        <w:ind w:firstLine="720"/>
        <w:jc w:val="both"/>
        <w:rPr>
          <w:sz w:val="28"/>
          <w:szCs w:val="28"/>
        </w:rPr>
      </w:pPr>
      <w:r>
        <w:rPr>
          <w:sz w:val="28"/>
          <w:szCs w:val="28"/>
        </w:rPr>
        <w:t xml:space="preserve">RESPECTFULLY SUBMITTED this </w:t>
      </w:r>
      <w:r w:rsidR="00DA6F79">
        <w:rPr>
          <w:sz w:val="28"/>
          <w:szCs w:val="28"/>
        </w:rPr>
        <w:t>5th</w:t>
      </w:r>
      <w:r>
        <w:rPr>
          <w:sz w:val="28"/>
          <w:szCs w:val="28"/>
        </w:rPr>
        <w:t xml:space="preserve"> </w:t>
      </w:r>
      <w:r w:rsidRPr="00955A09">
        <w:rPr>
          <w:sz w:val="28"/>
          <w:szCs w:val="28"/>
        </w:rPr>
        <w:t xml:space="preserve">day of </w:t>
      </w:r>
      <w:r w:rsidR="00DA6F79">
        <w:rPr>
          <w:sz w:val="28"/>
          <w:szCs w:val="28"/>
        </w:rPr>
        <w:t>July</w:t>
      </w:r>
      <w:r>
        <w:rPr>
          <w:sz w:val="28"/>
          <w:szCs w:val="28"/>
        </w:rPr>
        <w:t xml:space="preserve"> 2018.</w:t>
      </w:r>
    </w:p>
    <w:p w:rsidR="00454850" w:rsidRPr="00955A09" w:rsidRDefault="00454850" w:rsidP="00454850">
      <w:pPr>
        <w:keepNext/>
        <w:jc w:val="both"/>
        <w:rPr>
          <w:sz w:val="28"/>
          <w:szCs w:val="28"/>
        </w:rPr>
      </w:pPr>
    </w:p>
    <w:p w:rsidR="00454850" w:rsidRDefault="00454850" w:rsidP="00454850">
      <w:pPr>
        <w:keepNext/>
        <w:ind w:left="2880" w:firstLine="720"/>
        <w:jc w:val="both"/>
        <w:rPr>
          <w:sz w:val="28"/>
          <w:szCs w:val="28"/>
        </w:rPr>
      </w:pPr>
    </w:p>
    <w:p w:rsidR="00454850" w:rsidRPr="0076259F" w:rsidRDefault="00454850" w:rsidP="00454850">
      <w:pPr>
        <w:keepNext/>
        <w:ind w:left="2880" w:firstLine="720"/>
        <w:jc w:val="both"/>
        <w:rPr>
          <w:sz w:val="28"/>
          <w:szCs w:val="28"/>
          <w:u w:val="single"/>
        </w:rPr>
      </w:pPr>
      <w:r>
        <w:rPr>
          <w:sz w:val="28"/>
          <w:szCs w:val="28"/>
        </w:rPr>
        <w:t xml:space="preserve">By </w:t>
      </w:r>
      <w:r w:rsidRPr="0076259F">
        <w:rPr>
          <w:sz w:val="28"/>
          <w:szCs w:val="28"/>
          <w:u w:val="single"/>
        </w:rPr>
        <w:t xml:space="preserve">/s/ Rebecca </w:t>
      </w:r>
      <w:r>
        <w:rPr>
          <w:sz w:val="28"/>
          <w:szCs w:val="28"/>
          <w:u w:val="single"/>
        </w:rPr>
        <w:t xml:space="preserve">White </w:t>
      </w:r>
      <w:r w:rsidRPr="0076259F">
        <w:rPr>
          <w:sz w:val="28"/>
          <w:szCs w:val="28"/>
          <w:u w:val="single"/>
        </w:rPr>
        <w:t xml:space="preserve">Berch                                     </w:t>
      </w:r>
      <w:r>
        <w:rPr>
          <w:sz w:val="28"/>
          <w:szCs w:val="28"/>
          <w:u w:val="single"/>
        </w:rPr>
        <w:t xml:space="preserve">                    </w:t>
      </w:r>
    </w:p>
    <w:p w:rsidR="00454850" w:rsidRDefault="00454850" w:rsidP="00454850">
      <w:pPr>
        <w:keepNext/>
        <w:ind w:left="2880" w:firstLine="720"/>
        <w:jc w:val="both"/>
        <w:rPr>
          <w:sz w:val="28"/>
          <w:szCs w:val="28"/>
        </w:rPr>
      </w:pPr>
      <w:r>
        <w:rPr>
          <w:sz w:val="28"/>
          <w:szCs w:val="28"/>
        </w:rPr>
        <w:t xml:space="preserve">     Justice Rebecca White Berch (ret.), Chair</w:t>
      </w:r>
    </w:p>
    <w:p w:rsidR="00454850" w:rsidRDefault="00454850" w:rsidP="00454850">
      <w:pPr>
        <w:keepNext/>
        <w:ind w:left="2880" w:firstLine="720"/>
        <w:jc w:val="both"/>
        <w:rPr>
          <w:sz w:val="28"/>
          <w:szCs w:val="28"/>
        </w:rPr>
      </w:pPr>
    </w:p>
    <w:p w:rsidR="00454850" w:rsidRDefault="00454850" w:rsidP="00454850">
      <w:pPr>
        <w:keepNext/>
        <w:ind w:left="2880" w:firstLine="720"/>
        <w:jc w:val="both"/>
        <w:rPr>
          <w:sz w:val="28"/>
          <w:szCs w:val="28"/>
        </w:rPr>
      </w:pPr>
    </w:p>
    <w:p w:rsidR="00454850" w:rsidRDefault="00454850" w:rsidP="00454850">
      <w:pPr>
        <w:keepNext/>
        <w:ind w:left="2880" w:firstLine="720"/>
        <w:jc w:val="both"/>
        <w:rPr>
          <w:sz w:val="28"/>
          <w:szCs w:val="28"/>
          <w:u w:val="single"/>
        </w:rPr>
      </w:pPr>
      <w:r w:rsidRPr="00955A09">
        <w:rPr>
          <w:sz w:val="28"/>
          <w:szCs w:val="28"/>
        </w:rPr>
        <w:t>By</w:t>
      </w:r>
      <w:r>
        <w:rPr>
          <w:sz w:val="28"/>
          <w:szCs w:val="28"/>
        </w:rPr>
        <w:t xml:space="preserve"> </w:t>
      </w:r>
      <w:r w:rsidRPr="00257D73">
        <w:rPr>
          <w:sz w:val="28"/>
          <w:szCs w:val="28"/>
          <w:u w:val="single"/>
        </w:rPr>
        <w:t xml:space="preserve">/s/ </w:t>
      </w:r>
      <w:r>
        <w:rPr>
          <w:sz w:val="28"/>
          <w:szCs w:val="28"/>
          <w:u w:val="single"/>
        </w:rPr>
        <w:t xml:space="preserve">Mark </w:t>
      </w:r>
      <w:r w:rsidR="00F97770">
        <w:rPr>
          <w:sz w:val="28"/>
          <w:szCs w:val="28"/>
          <w:u w:val="single"/>
        </w:rPr>
        <w:t xml:space="preserve">W. </w:t>
      </w:r>
      <w:r>
        <w:rPr>
          <w:sz w:val="28"/>
          <w:szCs w:val="28"/>
          <w:u w:val="single"/>
        </w:rPr>
        <w:t>Armstrong</w:t>
      </w:r>
    </w:p>
    <w:p w:rsidR="00454850" w:rsidRDefault="00454850" w:rsidP="00454850">
      <w:pPr>
        <w:keepNext/>
        <w:ind w:left="2880" w:firstLine="720"/>
        <w:jc w:val="both"/>
        <w:rPr>
          <w:sz w:val="28"/>
          <w:szCs w:val="28"/>
        </w:rPr>
      </w:pPr>
      <w:r>
        <w:rPr>
          <w:sz w:val="28"/>
          <w:szCs w:val="28"/>
        </w:rPr>
        <w:t xml:space="preserve">     Judge Mark </w:t>
      </w:r>
      <w:r w:rsidR="00F97770">
        <w:rPr>
          <w:sz w:val="28"/>
          <w:szCs w:val="28"/>
        </w:rPr>
        <w:t xml:space="preserve">W. </w:t>
      </w:r>
      <w:r>
        <w:rPr>
          <w:sz w:val="28"/>
          <w:szCs w:val="28"/>
        </w:rPr>
        <w:t>Armstrong (ret.), Co-Chair</w:t>
      </w:r>
      <w:r>
        <w:rPr>
          <w:sz w:val="28"/>
          <w:szCs w:val="28"/>
        </w:rPr>
        <w:tab/>
      </w:r>
    </w:p>
    <w:p w:rsidR="00454850" w:rsidRDefault="00454850" w:rsidP="00454850"/>
    <w:sectPr w:rsidR="004548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F8F" w:rsidRDefault="006E2F8F" w:rsidP="006E2F8F">
      <w:r>
        <w:separator/>
      </w:r>
    </w:p>
  </w:endnote>
  <w:endnote w:type="continuationSeparator" w:id="0">
    <w:p w:rsidR="006E2F8F" w:rsidRDefault="006E2F8F" w:rsidP="006E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14972"/>
      <w:docPartObj>
        <w:docPartGallery w:val="Page Numbers (Bottom of Page)"/>
        <w:docPartUnique/>
      </w:docPartObj>
    </w:sdtPr>
    <w:sdtEndPr>
      <w:rPr>
        <w:noProof/>
      </w:rPr>
    </w:sdtEndPr>
    <w:sdtContent>
      <w:p w:rsidR="007E7A9B" w:rsidRDefault="007E7A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E7A9B" w:rsidRDefault="007E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F8F" w:rsidRDefault="006E2F8F" w:rsidP="006E2F8F">
      <w:r>
        <w:separator/>
      </w:r>
    </w:p>
  </w:footnote>
  <w:footnote w:type="continuationSeparator" w:id="0">
    <w:p w:rsidR="006E2F8F" w:rsidRDefault="006E2F8F" w:rsidP="006E2F8F">
      <w:r>
        <w:continuationSeparator/>
      </w:r>
    </w:p>
  </w:footnote>
  <w:footnote w:id="1">
    <w:p w:rsidR="006E2F8F" w:rsidRDefault="006E2F8F" w:rsidP="006E2F8F">
      <w:pPr>
        <w:pStyle w:val="FootnoteText"/>
        <w:jc w:val="both"/>
        <w:rPr>
          <w:sz w:val="28"/>
          <w:szCs w:val="28"/>
        </w:rPr>
      </w:pPr>
      <w:r w:rsidRPr="006E2F8F">
        <w:rPr>
          <w:rStyle w:val="FootnoteReference"/>
          <w:sz w:val="28"/>
          <w:szCs w:val="28"/>
        </w:rPr>
        <w:footnoteRef/>
      </w:r>
      <w:r w:rsidRPr="006E2F8F">
        <w:rPr>
          <w:sz w:val="28"/>
          <w:szCs w:val="28"/>
        </w:rPr>
        <w:t xml:space="preserve"> </w:t>
      </w:r>
      <w:r w:rsidRPr="006E2F8F">
        <w:rPr>
          <w:sz w:val="28"/>
          <w:szCs w:val="28"/>
        </w:rPr>
        <w:tab/>
        <w:t xml:space="preserve">This comment was a compilation of comments by individual members of Pima County’s family law bench.  The comment noted that it did not represent the views of that entire bench or the superior court in Pima County. </w:t>
      </w:r>
      <w:r w:rsidR="00D362B9">
        <w:rPr>
          <w:sz w:val="28"/>
          <w:szCs w:val="28"/>
        </w:rPr>
        <w:t xml:space="preserve"> </w:t>
      </w:r>
      <w:r w:rsidRPr="006E2F8F">
        <w:rPr>
          <w:sz w:val="28"/>
          <w:szCs w:val="28"/>
        </w:rPr>
        <w:t xml:space="preserve">This Reply will refer to it as </w:t>
      </w:r>
      <w:r w:rsidR="006E218D">
        <w:rPr>
          <w:sz w:val="28"/>
          <w:szCs w:val="28"/>
        </w:rPr>
        <w:t>“</w:t>
      </w:r>
      <w:r w:rsidRPr="006E2F8F">
        <w:rPr>
          <w:sz w:val="28"/>
          <w:szCs w:val="28"/>
        </w:rPr>
        <w:t xml:space="preserve">the Pima </w:t>
      </w:r>
      <w:r w:rsidR="004204A4">
        <w:rPr>
          <w:sz w:val="28"/>
          <w:szCs w:val="28"/>
        </w:rPr>
        <w:t xml:space="preserve">bench </w:t>
      </w:r>
      <w:r w:rsidRPr="006E2F8F">
        <w:rPr>
          <w:sz w:val="28"/>
          <w:szCs w:val="28"/>
        </w:rPr>
        <w:t>comment.”</w:t>
      </w:r>
    </w:p>
    <w:p w:rsidR="009B6E9C" w:rsidRPr="006E2F8F" w:rsidRDefault="009B6E9C" w:rsidP="006E2F8F">
      <w:pPr>
        <w:pStyle w:val="FootnoteText"/>
        <w:jc w:val="both"/>
        <w:rPr>
          <w:sz w:val="28"/>
          <w:szCs w:val="28"/>
        </w:rPr>
      </w:pPr>
    </w:p>
  </w:footnote>
  <w:footnote w:id="2">
    <w:p w:rsidR="009B6E9C" w:rsidRPr="009B6E9C" w:rsidRDefault="009B6E9C" w:rsidP="009B6E9C">
      <w:pPr>
        <w:pStyle w:val="FootnoteText"/>
        <w:jc w:val="both"/>
        <w:rPr>
          <w:sz w:val="28"/>
          <w:szCs w:val="28"/>
        </w:rPr>
      </w:pPr>
      <w:r w:rsidRPr="009B6E9C">
        <w:rPr>
          <w:rStyle w:val="FootnoteReference"/>
          <w:sz w:val="28"/>
          <w:szCs w:val="28"/>
        </w:rPr>
        <w:footnoteRef/>
      </w:r>
      <w:r w:rsidRPr="009B6E9C">
        <w:rPr>
          <w:sz w:val="28"/>
          <w:szCs w:val="28"/>
        </w:rPr>
        <w:t xml:space="preserve"> </w:t>
      </w:r>
      <w:r w:rsidRPr="009B6E9C">
        <w:rPr>
          <w:sz w:val="28"/>
          <w:szCs w:val="28"/>
        </w:rPr>
        <w:tab/>
        <w:t>A</w:t>
      </w:r>
      <w:r w:rsidR="0061094F">
        <w:rPr>
          <w:sz w:val="28"/>
          <w:szCs w:val="28"/>
        </w:rPr>
        <w:t>nother</w:t>
      </w:r>
      <w:r w:rsidRPr="009B6E9C">
        <w:rPr>
          <w:sz w:val="28"/>
          <w:szCs w:val="28"/>
        </w:rPr>
        <w:t xml:space="preserve"> comment </w:t>
      </w:r>
      <w:r w:rsidR="00CC311F">
        <w:rPr>
          <w:sz w:val="28"/>
          <w:szCs w:val="28"/>
        </w:rPr>
        <w:t xml:space="preserve">was </w:t>
      </w:r>
      <w:r w:rsidRPr="009B6E9C">
        <w:rPr>
          <w:sz w:val="28"/>
          <w:szCs w:val="28"/>
        </w:rPr>
        <w:t>posted on the Rules Forum on July 1, 2018</w:t>
      </w:r>
      <w:r>
        <w:rPr>
          <w:sz w:val="28"/>
          <w:szCs w:val="28"/>
        </w:rPr>
        <w:t>, a month past the comment due date</w:t>
      </w:r>
      <w:r w:rsidR="00CC311F">
        <w:rPr>
          <w:sz w:val="28"/>
          <w:szCs w:val="28"/>
        </w:rPr>
        <w:t xml:space="preserve">.  </w:t>
      </w:r>
      <w:r w:rsidR="0061094F">
        <w:rPr>
          <w:sz w:val="28"/>
          <w:szCs w:val="28"/>
        </w:rPr>
        <w:t>The</w:t>
      </w:r>
      <w:r w:rsidR="00CC311F">
        <w:rPr>
          <w:sz w:val="28"/>
          <w:szCs w:val="28"/>
        </w:rPr>
        <w:t xml:space="preserve"> Court </w:t>
      </w:r>
      <w:r w:rsidR="0061094F">
        <w:rPr>
          <w:sz w:val="28"/>
          <w:szCs w:val="28"/>
        </w:rPr>
        <w:t>might</w:t>
      </w:r>
      <w:r w:rsidR="00CC311F">
        <w:rPr>
          <w:sz w:val="28"/>
          <w:szCs w:val="28"/>
        </w:rPr>
        <w:t xml:space="preserve"> consider this comment</w:t>
      </w:r>
      <w:r w:rsidR="0061094F">
        <w:rPr>
          <w:sz w:val="28"/>
          <w:szCs w:val="28"/>
        </w:rPr>
        <w:t>, but it</w:t>
      </w:r>
      <w:r w:rsidRPr="009B6E9C">
        <w:rPr>
          <w:sz w:val="28"/>
          <w:szCs w:val="28"/>
        </w:rPr>
        <w:t xml:space="preserve"> was </w:t>
      </w:r>
      <w:r>
        <w:rPr>
          <w:sz w:val="28"/>
          <w:szCs w:val="28"/>
        </w:rPr>
        <w:t xml:space="preserve">submitted </w:t>
      </w:r>
      <w:r w:rsidRPr="009B6E9C">
        <w:rPr>
          <w:sz w:val="28"/>
          <w:szCs w:val="28"/>
        </w:rPr>
        <w:t>to</w:t>
      </w:r>
      <w:r>
        <w:rPr>
          <w:sz w:val="28"/>
          <w:szCs w:val="28"/>
        </w:rPr>
        <w:t>o late for</w:t>
      </w:r>
      <w:r w:rsidR="00CC311F">
        <w:rPr>
          <w:sz w:val="28"/>
          <w:szCs w:val="28"/>
        </w:rPr>
        <w:t xml:space="preserve"> discussion by the full Task Force</w:t>
      </w:r>
      <w:r w:rsidRPr="009B6E9C">
        <w:rPr>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E0D51"/>
    <w:multiLevelType w:val="hybridMultilevel"/>
    <w:tmpl w:val="695EC082"/>
    <w:lvl w:ilvl="0" w:tplc="67DCF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015457"/>
    <w:multiLevelType w:val="hybridMultilevel"/>
    <w:tmpl w:val="D494B87C"/>
    <w:lvl w:ilvl="0" w:tplc="E32C934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805BFC"/>
    <w:multiLevelType w:val="hybridMultilevel"/>
    <w:tmpl w:val="8F3696A4"/>
    <w:lvl w:ilvl="0" w:tplc="E3946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24E6F"/>
    <w:multiLevelType w:val="hybridMultilevel"/>
    <w:tmpl w:val="DACE9940"/>
    <w:lvl w:ilvl="0" w:tplc="AD0059B4">
      <w:start w:val="1"/>
      <w:numFmt w:val="decimal"/>
      <w:lvlText w:val="%1."/>
      <w:lvlJc w:val="left"/>
      <w:pPr>
        <w:ind w:left="1170" w:hanging="360"/>
      </w:pPr>
      <w:rPr>
        <w:rFonts w:hint="default"/>
        <w:b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562054E6"/>
    <w:multiLevelType w:val="hybridMultilevel"/>
    <w:tmpl w:val="559A7200"/>
    <w:lvl w:ilvl="0" w:tplc="241226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E2139C"/>
    <w:multiLevelType w:val="hybridMultilevel"/>
    <w:tmpl w:val="8F74FC3E"/>
    <w:lvl w:ilvl="0" w:tplc="BF6073EC">
      <w:start w:val="1"/>
      <w:numFmt w:val="lowerLetter"/>
      <w:lvlText w:val="(%1)"/>
      <w:lvlJc w:val="left"/>
      <w:pPr>
        <w:ind w:left="1170" w:hanging="360"/>
      </w:pPr>
      <w:rPr>
        <w:rFonts w:ascii="Times New Roman" w:hAnsi="Times New Roman" w:hint="default"/>
        <w:b/>
        <w:i/>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695401D"/>
    <w:multiLevelType w:val="hybridMultilevel"/>
    <w:tmpl w:val="A9801AEE"/>
    <w:lvl w:ilvl="0" w:tplc="2718361E">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902971"/>
    <w:multiLevelType w:val="hybridMultilevel"/>
    <w:tmpl w:val="CD5E20CA"/>
    <w:lvl w:ilvl="0" w:tplc="69CC12BA">
      <w:start w:val="1"/>
      <w:numFmt w:val="upperRoman"/>
      <w:lvlText w:val="%1."/>
      <w:lvlJc w:val="left"/>
      <w:pPr>
        <w:ind w:left="1440" w:hanging="720"/>
      </w:pPr>
      <w:rPr>
        <w:rFonts w:ascii="Times New Roman" w:hAnsi="Times New Roman" w:cs="Times New Roman"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50"/>
    <w:rsid w:val="00035801"/>
    <w:rsid w:val="00052724"/>
    <w:rsid w:val="0008491E"/>
    <w:rsid w:val="00090D52"/>
    <w:rsid w:val="000A70D0"/>
    <w:rsid w:val="000B273E"/>
    <w:rsid w:val="000E0167"/>
    <w:rsid w:val="00117C9A"/>
    <w:rsid w:val="001B3175"/>
    <w:rsid w:val="001B4EFA"/>
    <w:rsid w:val="002038A1"/>
    <w:rsid w:val="00241691"/>
    <w:rsid w:val="002C0B47"/>
    <w:rsid w:val="002D343E"/>
    <w:rsid w:val="00362AEB"/>
    <w:rsid w:val="003D103B"/>
    <w:rsid w:val="004204A4"/>
    <w:rsid w:val="00454850"/>
    <w:rsid w:val="004708BF"/>
    <w:rsid w:val="004A76A9"/>
    <w:rsid w:val="004A7CF9"/>
    <w:rsid w:val="004F002D"/>
    <w:rsid w:val="004F1D99"/>
    <w:rsid w:val="00511A66"/>
    <w:rsid w:val="00532AD5"/>
    <w:rsid w:val="00537E9C"/>
    <w:rsid w:val="00561984"/>
    <w:rsid w:val="00563472"/>
    <w:rsid w:val="005C01AD"/>
    <w:rsid w:val="005E35B6"/>
    <w:rsid w:val="0061094F"/>
    <w:rsid w:val="006965C9"/>
    <w:rsid w:val="006C33AC"/>
    <w:rsid w:val="006C410B"/>
    <w:rsid w:val="006C4889"/>
    <w:rsid w:val="006E218D"/>
    <w:rsid w:val="006E2F8F"/>
    <w:rsid w:val="006E6C75"/>
    <w:rsid w:val="007222F6"/>
    <w:rsid w:val="00730220"/>
    <w:rsid w:val="00775EE4"/>
    <w:rsid w:val="00790756"/>
    <w:rsid w:val="007A08B1"/>
    <w:rsid w:val="007C40AE"/>
    <w:rsid w:val="007E7A9B"/>
    <w:rsid w:val="00806571"/>
    <w:rsid w:val="00812620"/>
    <w:rsid w:val="0085117A"/>
    <w:rsid w:val="0087379F"/>
    <w:rsid w:val="008A5268"/>
    <w:rsid w:val="008B420C"/>
    <w:rsid w:val="008C6290"/>
    <w:rsid w:val="008D2C91"/>
    <w:rsid w:val="008D5B2F"/>
    <w:rsid w:val="00912980"/>
    <w:rsid w:val="009241F3"/>
    <w:rsid w:val="00945E1C"/>
    <w:rsid w:val="0094615E"/>
    <w:rsid w:val="009701B8"/>
    <w:rsid w:val="009B1545"/>
    <w:rsid w:val="009B6E9C"/>
    <w:rsid w:val="00A068C5"/>
    <w:rsid w:val="00A2718C"/>
    <w:rsid w:val="00A40CC7"/>
    <w:rsid w:val="00A42179"/>
    <w:rsid w:val="00A470A4"/>
    <w:rsid w:val="00A918D5"/>
    <w:rsid w:val="00AA2432"/>
    <w:rsid w:val="00AC259C"/>
    <w:rsid w:val="00AC7BDA"/>
    <w:rsid w:val="00BB2560"/>
    <w:rsid w:val="00BC2542"/>
    <w:rsid w:val="00BC4249"/>
    <w:rsid w:val="00C2229A"/>
    <w:rsid w:val="00C5163E"/>
    <w:rsid w:val="00C91043"/>
    <w:rsid w:val="00CA1E50"/>
    <w:rsid w:val="00CB01FF"/>
    <w:rsid w:val="00CC311F"/>
    <w:rsid w:val="00D362B9"/>
    <w:rsid w:val="00D415AC"/>
    <w:rsid w:val="00D43174"/>
    <w:rsid w:val="00D650CF"/>
    <w:rsid w:val="00DA6F79"/>
    <w:rsid w:val="00DB0CFB"/>
    <w:rsid w:val="00E5212B"/>
    <w:rsid w:val="00E70255"/>
    <w:rsid w:val="00E94962"/>
    <w:rsid w:val="00F039AA"/>
    <w:rsid w:val="00F05C90"/>
    <w:rsid w:val="00F45C56"/>
    <w:rsid w:val="00F97770"/>
    <w:rsid w:val="00FB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6361"/>
  <w15:chartTrackingRefBased/>
  <w15:docId w15:val="{CA2BD4FE-08B7-4070-B7A7-89051743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850"/>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FootnoteText">
    <w:name w:val="footnote text"/>
    <w:basedOn w:val="Normal"/>
    <w:link w:val="FootnoteTextChar"/>
    <w:uiPriority w:val="99"/>
    <w:semiHidden/>
    <w:unhideWhenUsed/>
    <w:rsid w:val="006E2F8F"/>
    <w:rPr>
      <w:sz w:val="20"/>
      <w:szCs w:val="20"/>
    </w:rPr>
  </w:style>
  <w:style w:type="character" w:customStyle="1" w:styleId="FootnoteTextChar">
    <w:name w:val="Footnote Text Char"/>
    <w:basedOn w:val="DefaultParagraphFont"/>
    <w:link w:val="FootnoteText"/>
    <w:uiPriority w:val="99"/>
    <w:semiHidden/>
    <w:rsid w:val="006E2F8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E2F8F"/>
    <w:rPr>
      <w:vertAlign w:val="superscript"/>
    </w:rPr>
  </w:style>
  <w:style w:type="paragraph" w:customStyle="1" w:styleId="Default">
    <w:name w:val="Default"/>
    <w:rsid w:val="008D2C91"/>
    <w:pPr>
      <w:autoSpaceDE w:val="0"/>
      <w:autoSpaceDN w:val="0"/>
      <w:adjustRightInd w:val="0"/>
      <w:spacing w:after="0" w:line="240" w:lineRule="auto"/>
      <w:ind w:firstLine="0"/>
      <w:jc w:val="left"/>
    </w:pPr>
    <w:rPr>
      <w:rFonts w:ascii="Times New Roman" w:eastAsia="Calibri" w:hAnsi="Times New Roman" w:cs="Times New Roman"/>
      <w:color w:val="000000"/>
      <w:sz w:val="24"/>
      <w:szCs w:val="24"/>
    </w:rPr>
  </w:style>
  <w:style w:type="character" w:styleId="Emphasis">
    <w:name w:val="Emphasis"/>
    <w:uiPriority w:val="20"/>
    <w:qFormat/>
    <w:rsid w:val="008D2C91"/>
    <w:rPr>
      <w:i/>
      <w:iCs/>
    </w:rPr>
  </w:style>
  <w:style w:type="paragraph" w:styleId="Header">
    <w:name w:val="header"/>
    <w:basedOn w:val="Normal"/>
    <w:link w:val="HeaderChar"/>
    <w:uiPriority w:val="99"/>
    <w:unhideWhenUsed/>
    <w:rsid w:val="007E7A9B"/>
    <w:pPr>
      <w:tabs>
        <w:tab w:val="center" w:pos="4680"/>
        <w:tab w:val="right" w:pos="9360"/>
      </w:tabs>
    </w:pPr>
  </w:style>
  <w:style w:type="character" w:customStyle="1" w:styleId="HeaderChar">
    <w:name w:val="Header Char"/>
    <w:basedOn w:val="DefaultParagraphFont"/>
    <w:link w:val="Header"/>
    <w:uiPriority w:val="99"/>
    <w:rsid w:val="007E7A9B"/>
    <w:rPr>
      <w:rFonts w:ascii="Times New Roman" w:eastAsia="Calibri" w:hAnsi="Times New Roman" w:cs="Times New Roman"/>
      <w:sz w:val="24"/>
    </w:rPr>
  </w:style>
  <w:style w:type="paragraph" w:styleId="Footer">
    <w:name w:val="footer"/>
    <w:basedOn w:val="Normal"/>
    <w:link w:val="FooterChar"/>
    <w:uiPriority w:val="99"/>
    <w:unhideWhenUsed/>
    <w:rsid w:val="007E7A9B"/>
    <w:pPr>
      <w:tabs>
        <w:tab w:val="center" w:pos="4680"/>
        <w:tab w:val="right" w:pos="9360"/>
      </w:tabs>
    </w:pPr>
  </w:style>
  <w:style w:type="character" w:customStyle="1" w:styleId="FooterChar">
    <w:name w:val="Footer Char"/>
    <w:basedOn w:val="DefaultParagraphFont"/>
    <w:link w:val="Footer"/>
    <w:uiPriority w:val="99"/>
    <w:rsid w:val="007E7A9B"/>
    <w:rPr>
      <w:rFonts w:ascii="Times New Roman" w:eastAsia="Calibri" w:hAnsi="Times New Roman" w:cs="Times New Roman"/>
      <w:sz w:val="24"/>
    </w:rPr>
  </w:style>
  <w:style w:type="character" w:customStyle="1" w:styleId="ListParagraphChar">
    <w:name w:val="List Paragraph Char"/>
    <w:aliases w:val="List Level 1 Char"/>
    <w:basedOn w:val="DefaultParagraphFont"/>
    <w:link w:val="ListParagraph"/>
    <w:uiPriority w:val="34"/>
    <w:locked/>
    <w:rsid w:val="007E7A9B"/>
  </w:style>
  <w:style w:type="paragraph" w:styleId="BalloonText">
    <w:name w:val="Balloon Text"/>
    <w:basedOn w:val="Normal"/>
    <w:link w:val="BalloonTextChar"/>
    <w:uiPriority w:val="99"/>
    <w:semiHidden/>
    <w:unhideWhenUsed/>
    <w:rsid w:val="00F05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9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0EC90-1CF8-4C7C-A590-EED7C0E0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16</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33</cp:revision>
  <cp:lastPrinted>2018-07-05T19:32:00Z</cp:lastPrinted>
  <dcterms:created xsi:type="dcterms:W3CDTF">2018-06-27T23:44:00Z</dcterms:created>
  <dcterms:modified xsi:type="dcterms:W3CDTF">2018-07-05T22:43:00Z</dcterms:modified>
</cp:coreProperties>
</file>