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header1.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webSettings.xml" ContentType="application/vnd.openxmlformats-officedocument.wordprocessingml.webSettings+xml"/>
  <Override PartName="/word/footer1.xml" ContentType="application/vnd.openxmlformats-officedocument.wordprocessingml.footer+xml"/>
  <Override PartName="/word/theme/theme1.xml" ContentType="application/vnd.openxmlformats-officedocument.theme+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DFA" w:rsidRDefault="00BF7DFA" w:rsidP="00BF7DFA">
      <w:pPr>
        <w:keepNext/>
        <w:widowControl/>
        <w:tabs>
          <w:tab w:val="left" w:pos="1051"/>
        </w:tabs>
        <w:spacing w:after="120" w:line="240" w:lineRule="auto"/>
        <w:ind w:left="1051" w:hanging="1051"/>
        <w:jc w:val="center"/>
        <w:rPr>
          <w:rFonts w:ascii="Times New Roman Bold" w:eastAsia="Times New Roman" w:hAnsi="Times New Roman Bold" w:cs="Times New Roman"/>
          <w:b/>
          <w:sz w:val="28"/>
          <w:szCs w:val="28"/>
        </w:rPr>
      </w:pPr>
      <w:bookmarkStart w:id="0" w:name="_DV_M0"/>
      <w:bookmarkStart w:id="1" w:name="_GoBack"/>
      <w:bookmarkEnd w:id="0"/>
      <w:bookmarkEnd w:id="1"/>
      <w:r>
        <w:rPr>
          <w:rFonts w:ascii="Times New Roman Bold" w:eastAsia="Times New Roman" w:hAnsi="Times New Roman Bold" w:cs="Times New Roman"/>
          <w:b/>
          <w:sz w:val="28"/>
          <w:szCs w:val="28"/>
        </w:rPr>
        <w:t>APPENDIX A––Blackline Version of Proposed Rules</w:t>
      </w:r>
    </w:p>
    <w:p w:rsidR="00BF7DFA" w:rsidRDefault="00BF7DFA">
      <w:pPr>
        <w:keepNext/>
        <w:widowControl/>
        <w:tabs>
          <w:tab w:val="left" w:pos="1051"/>
        </w:tabs>
        <w:spacing w:after="120" w:line="240" w:lineRule="auto"/>
        <w:ind w:left="1051" w:hanging="1051"/>
        <w:jc w:val="both"/>
        <w:rPr>
          <w:rFonts w:ascii="Times New Roman Bold" w:eastAsia="Times New Roman" w:hAnsi="Times New Roman Bold" w:cs="Times New Roman"/>
          <w:b/>
          <w:sz w:val="28"/>
          <w:szCs w:val="28"/>
        </w:rPr>
      </w:pPr>
    </w:p>
    <w:p w:rsidR="005A7492" w:rsidRDefault="006B6D4D">
      <w:pPr>
        <w:keepNext/>
        <w:widowControl/>
        <w:tabs>
          <w:tab w:val="left" w:pos="1051"/>
        </w:tabs>
        <w:spacing w:after="120" w:line="240" w:lineRule="auto"/>
        <w:ind w:left="1051" w:hanging="1051"/>
        <w:jc w:val="both"/>
        <w:rPr>
          <w:rFonts w:ascii="Times New Roman" w:eastAsia="Times New Roman" w:hAnsi="Times New Roman" w:cs="Times New Roman"/>
          <w:b/>
          <w:sz w:val="26"/>
          <w:szCs w:val="24"/>
        </w:rPr>
      </w:pPr>
      <w:r>
        <w:rPr>
          <w:rFonts w:ascii="Times New Roman Bold" w:eastAsia="Times New Roman" w:hAnsi="Times New Roman Bold" w:cs="Times New Roman"/>
          <w:b/>
          <w:sz w:val="28"/>
          <w:szCs w:val="28"/>
        </w:rPr>
        <w:t>Rule 7.</w:t>
      </w:r>
      <w:r>
        <w:rPr>
          <w:rFonts w:ascii="Times New Roman" w:eastAsia="Times New Roman" w:hAnsi="Times New Roman" w:cs="Times New Roman"/>
          <w:b/>
          <w:sz w:val="26"/>
          <w:szCs w:val="24"/>
        </w:rPr>
        <w:tab/>
        <w:t>Stay of Proceedings to Enforce a Judgment</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bookmarkStart w:id="2" w:name="_DV_M1"/>
      <w:bookmarkEnd w:id="2"/>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t xml:space="preserve">Supersedeas </w:t>
      </w:r>
      <w:bookmarkStart w:id="3" w:name="_DV_C5"/>
      <w:r>
        <w:rPr>
          <w:rStyle w:val="DeltaViewDeletion"/>
          <w:rFonts w:ascii="Times New Roman" w:eastAsia="Times New Roman" w:hAnsi="Times New Roman" w:cs="Times New Roman"/>
          <w:b/>
          <w:color w:val="auto"/>
          <w:sz w:val="26"/>
          <w:szCs w:val="24"/>
        </w:rPr>
        <w:t>Bond</w:t>
      </w:r>
      <w:bookmarkStart w:id="4" w:name="_DV_C6"/>
      <w:bookmarkEnd w:id="3"/>
      <w:r>
        <w:rPr>
          <w:rStyle w:val="DeltaViewInsertion"/>
          <w:rFonts w:ascii="Times New Roman" w:eastAsia="Times New Roman" w:hAnsi="Times New Roman" w:cs="Times New Roman"/>
          <w:b/>
          <w:color w:val="auto"/>
          <w:sz w:val="26"/>
          <w:szCs w:val="24"/>
        </w:rPr>
        <w:t>Bonds and Other Security</w:t>
      </w:r>
      <w:bookmarkStart w:id="5" w:name="_DV_M2"/>
      <w:bookmarkEnd w:id="4"/>
      <w:bookmarkEnd w:id="5"/>
      <w:r>
        <w:rPr>
          <w:rFonts w:ascii="Times New Roman" w:eastAsia="Times New Roman" w:hAnsi="Times New Roman" w:cs="Times New Roman"/>
          <w:b/>
          <w:i/>
          <w:sz w:val="26"/>
          <w:szCs w:val="24"/>
        </w:rPr>
        <w:t>.</w:t>
      </w:r>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6" w:name="_DV_M3"/>
      <w:bookmarkEnd w:id="6"/>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Generally</w:t>
      </w:r>
      <w:bookmarkStart w:id="7" w:name="_DV_C7"/>
      <w:r>
        <w:rPr>
          <w:rStyle w:val="DeltaViewInsertion"/>
          <w:rFonts w:ascii="Times New Roman" w:eastAsia="Times New Roman" w:hAnsi="Times New Roman" w:cs="Times New Roman"/>
          <w:b/>
          <w:i/>
          <w:color w:val="auto"/>
          <w:sz w:val="26"/>
          <w:szCs w:val="24"/>
        </w:rPr>
        <w:t>; Exceptions</w:t>
      </w:r>
      <w:bookmarkStart w:id="8" w:name="_DV_M4"/>
      <w:bookmarkEnd w:id="7"/>
      <w:bookmarkEnd w:id="8"/>
      <w:r>
        <w:rPr>
          <w:rFonts w:ascii="Times New Roman" w:eastAsia="Times New Roman" w:hAnsi="Times New Roman" w:cs="Times New Roman"/>
          <w:b/>
          <w:i/>
          <w:sz w:val="26"/>
          <w:szCs w:val="24"/>
        </w:rPr>
        <w: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9" w:name="_DV_M5"/>
      <w:bookmarkEnd w:id="9"/>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A supersedeas bond is a bond filed in the superior court, as provided by this Rule and by applicable statutes, which stays enforcement of, or execution on, a judgment</w:t>
      </w:r>
      <w:bookmarkStart w:id="10" w:name="_DV_C8"/>
      <w:r w:rsidR="001960E3">
        <w:rPr>
          <w:rFonts w:ascii="Times New Roman" w:eastAsia="Times New Roman" w:hAnsi="Times New Roman" w:cs="Times New Roman"/>
          <w:sz w:val="26"/>
          <w:szCs w:val="24"/>
          <w:u w:val="double"/>
        </w:rPr>
        <w:t xml:space="preserve"> as provided in this Rule.</w:t>
      </w:r>
      <w:r>
        <w:rPr>
          <w:rStyle w:val="DeltaViewDeletion"/>
          <w:rFonts w:ascii="Times New Roman" w:eastAsia="Times New Roman" w:hAnsi="Times New Roman" w:cs="Times New Roman"/>
          <w:color w:val="auto"/>
          <w:sz w:val="26"/>
          <w:szCs w:val="24"/>
        </w:rPr>
        <w:t xml:space="preserve"> while an appeal is pending. The appellant</w:t>
      </w:r>
      <w:bookmarkStart w:id="11" w:name="_DV_C9"/>
      <w:bookmarkEnd w:id="10"/>
      <w:r>
        <w:rPr>
          <w:rStyle w:val="DeltaViewInsertion"/>
          <w:rFonts w:ascii="Times New Roman" w:eastAsia="Times New Roman" w:hAnsi="Times New Roman" w:cs="Times New Roman"/>
          <w:color w:val="auto"/>
          <w:sz w:val="26"/>
          <w:szCs w:val="24"/>
        </w:rPr>
        <w:t>. As used in this Rule, the term “bond” or “supersedeas bond” also includes other types of security as ordered by the superior court in lieu of a supersedeas bond. A party</w:t>
      </w:r>
      <w:bookmarkStart w:id="12" w:name="_DV_M6"/>
      <w:bookmarkEnd w:id="11"/>
      <w:bookmarkEnd w:id="12"/>
      <w:r>
        <w:rPr>
          <w:rFonts w:ascii="Times New Roman" w:eastAsia="Times New Roman" w:hAnsi="Times New Roman" w:cs="Times New Roman"/>
          <w:sz w:val="26"/>
          <w:szCs w:val="24"/>
        </w:rPr>
        <w:t xml:space="preserve"> may file a supersedeas bond before or after filing a notice of appeal.</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3" w:name="_DV_M7"/>
      <w:bookmarkEnd w:id="13"/>
      <w:r>
        <w:rPr>
          <w:rFonts w:ascii="Times New Roman" w:eastAsia="Times New Roman" w:hAnsi="Times New Roman" w:cs="Times New Roman"/>
          <w:b/>
          <w:sz w:val="26"/>
          <w:szCs w:val="24"/>
        </w:rPr>
        <w:t>(B)</w:t>
      </w:r>
      <w:r>
        <w:rPr>
          <w:rFonts w:ascii="Times New Roman" w:eastAsia="Times New Roman" w:hAnsi="Times New Roman" w:cs="Times New Roman"/>
          <w:sz w:val="26"/>
          <w:szCs w:val="24"/>
        </w:rPr>
        <w:tab/>
      </w:r>
      <w:bookmarkStart w:id="14" w:name="_DV_C10"/>
      <w:r>
        <w:rPr>
          <w:rStyle w:val="DeltaViewDeletion"/>
          <w:rFonts w:ascii="Times New Roman" w:eastAsia="Times New Roman" w:hAnsi="Times New Roman" w:cs="Times New Roman"/>
          <w:color w:val="auto"/>
          <w:sz w:val="26"/>
          <w:szCs w:val="24"/>
        </w:rPr>
        <w:t>An appellant</w:t>
      </w:r>
      <w:bookmarkStart w:id="15" w:name="_DV_C11"/>
      <w:bookmarkEnd w:id="14"/>
      <w:r>
        <w:rPr>
          <w:rStyle w:val="DeltaViewInsertion"/>
          <w:rFonts w:ascii="Times New Roman" w:eastAsia="Times New Roman" w:hAnsi="Times New Roman" w:cs="Times New Roman"/>
          <w:color w:val="auto"/>
          <w:sz w:val="26"/>
          <w:szCs w:val="24"/>
        </w:rPr>
        <w:t>A party</w:t>
      </w:r>
      <w:bookmarkStart w:id="16" w:name="_DV_M8"/>
      <w:bookmarkEnd w:id="15"/>
      <w:bookmarkEnd w:id="16"/>
      <w:r>
        <w:rPr>
          <w:rFonts w:ascii="Times New Roman" w:eastAsia="Times New Roman" w:hAnsi="Times New Roman" w:cs="Times New Roman"/>
          <w:sz w:val="26"/>
          <w:szCs w:val="24"/>
        </w:rPr>
        <w:t xml:space="preserve"> may not obtain a supersedeas bond to stay an award of custody of children or the payment of spousal maintenance or child support. </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7" w:name="_DV_M9"/>
      <w:bookmarkEnd w:id="17"/>
      <w:r>
        <w:rPr>
          <w:rFonts w:ascii="Times New Roman" w:eastAsia="Times New Roman" w:hAnsi="Times New Roman" w:cs="Times New Roman"/>
          <w:b/>
          <w:sz w:val="26"/>
          <w:szCs w:val="24"/>
        </w:rPr>
        <w:t>(C)</w:t>
      </w:r>
      <w:r>
        <w:rPr>
          <w:rFonts w:ascii="Times New Roman" w:eastAsia="Times New Roman" w:hAnsi="Times New Roman" w:cs="Times New Roman"/>
          <w:sz w:val="26"/>
          <w:szCs w:val="24"/>
        </w:rPr>
        <w:tab/>
        <w:t>A judgment against the State, or an agency or a political subdivision of the State, is stayed as provided by Rule 62(</w:t>
      </w:r>
      <w:bookmarkStart w:id="18" w:name="_DV_C12"/>
      <w:r>
        <w:rPr>
          <w:rStyle w:val="DeltaViewDeletion"/>
          <w:rFonts w:ascii="Times New Roman" w:eastAsia="Times New Roman" w:hAnsi="Times New Roman" w:cs="Times New Roman"/>
          <w:color w:val="auto"/>
          <w:sz w:val="26"/>
          <w:szCs w:val="24"/>
        </w:rPr>
        <w:t>e</w:t>
      </w:r>
      <w:bookmarkStart w:id="19" w:name="_DV_C13"/>
      <w:bookmarkEnd w:id="18"/>
      <w:r>
        <w:rPr>
          <w:rStyle w:val="DeltaViewInsertion"/>
          <w:rFonts w:ascii="Times New Roman" w:eastAsia="Times New Roman" w:hAnsi="Times New Roman" w:cs="Times New Roman"/>
          <w:color w:val="auto"/>
          <w:sz w:val="26"/>
          <w:szCs w:val="24"/>
        </w:rPr>
        <w:t>g</w:t>
      </w:r>
      <w:bookmarkStart w:id="20" w:name="_DV_M10"/>
      <w:bookmarkEnd w:id="19"/>
      <w:bookmarkEnd w:id="20"/>
      <w:r>
        <w:rPr>
          <w:rFonts w:ascii="Times New Roman" w:eastAsia="Times New Roman" w:hAnsi="Times New Roman" w:cs="Times New Roman"/>
          <w:sz w:val="26"/>
          <w:szCs w:val="24"/>
        </w:rPr>
        <w:t>) of the Arizona Rules of Civil Procedure.</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21" w:name="_DV_C14"/>
      <w:r>
        <w:rPr>
          <w:rStyle w:val="DeltaViewDeletion"/>
          <w:rFonts w:ascii="Times New Roman" w:eastAsia="Times New Roman" w:hAnsi="Times New Roman" w:cs="Times New Roman"/>
          <w:color w:val="auto"/>
          <w:sz w:val="26"/>
          <w:szCs w:val="24"/>
        </w:rPr>
        <w:t>(D)</w:t>
      </w:r>
      <w:r>
        <w:rPr>
          <w:rStyle w:val="DeltaViewDeletion"/>
          <w:rFonts w:ascii="Times New Roman" w:eastAsia="Times New Roman" w:hAnsi="Times New Roman" w:cs="Times New Roman"/>
          <w:color w:val="auto"/>
          <w:sz w:val="26"/>
          <w:szCs w:val="24"/>
        </w:rPr>
        <w:tab/>
        <w:t>“Appellant” when used in this Rule 7 includes a cross-appellant.</w:t>
      </w:r>
      <w:bookmarkEnd w:id="21"/>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2" w:name="_DV_M11"/>
      <w:bookmarkEnd w:id="22"/>
      <w:r>
        <w:rPr>
          <w:rFonts w:ascii="Times New Roman" w:eastAsia="Times New Roman" w:hAnsi="Times New Roman" w:cs="Times New Roman"/>
          <w:b/>
          <w:sz w:val="26"/>
          <w:szCs w:val="24"/>
        </w:rPr>
        <w:t>(2)</w:t>
      </w:r>
      <w:r>
        <w:rPr>
          <w:rFonts w:ascii="Times New Roman" w:eastAsia="Times New Roman" w:hAnsi="Times New Roman" w:cs="Times New Roman"/>
          <w:sz w:val="26"/>
          <w:szCs w:val="24"/>
        </w:rPr>
        <w:tab/>
      </w:r>
      <w:r>
        <w:rPr>
          <w:rFonts w:ascii="Times New Roman" w:eastAsia="Times New Roman" w:hAnsi="Times New Roman" w:cs="Times New Roman"/>
          <w:b/>
          <w:i/>
          <w:sz w:val="26"/>
          <w:szCs w:val="24"/>
        </w:rPr>
        <w:t>Setting the Bond by Stipulation or Motion</w:t>
      </w:r>
      <w:bookmarkStart w:id="23" w:name="_DV_C15"/>
      <w:r>
        <w:rPr>
          <w:rStyle w:val="DeltaViewInsertion"/>
          <w:rFonts w:ascii="Times New Roman" w:eastAsia="Times New Roman" w:hAnsi="Times New Roman" w:cs="Times New Roman"/>
          <w:b/>
          <w:i/>
          <w:color w:val="auto"/>
          <w:sz w:val="26"/>
          <w:szCs w:val="24"/>
        </w:rPr>
        <w:t>; Stay; Other Orders</w:t>
      </w:r>
      <w:bookmarkStart w:id="24" w:name="_DV_M12"/>
      <w:bookmarkEnd w:id="23"/>
      <w:bookmarkEnd w:id="24"/>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amount of the bond may be determined by stipulation or motion. Filing a motion in the superior court for a supersedeas bond under this Rule temporarily stays enforcement of, or execution on, the judgment, with the same effect as described in Rule 7(b), until the superior court has either denied the motion or set the bond amount and provided appropriate time for posting the bond. However, until a bond is posted, a party may record a judgment. </w:t>
      </w:r>
      <w:bookmarkStart w:id="25" w:name="_DV_C16"/>
      <w:r>
        <w:rPr>
          <w:rStyle w:val="DeltaViewDeletion"/>
          <w:rFonts w:ascii="Times New Roman" w:eastAsia="Times New Roman" w:hAnsi="Times New Roman" w:cs="Times New Roman"/>
          <w:color w:val="auto"/>
          <w:sz w:val="26"/>
          <w:szCs w:val="24"/>
        </w:rPr>
        <w:t>The</w:t>
      </w:r>
      <w:bookmarkStart w:id="26" w:name="_DV_C17"/>
      <w:bookmarkEnd w:id="25"/>
      <w:r>
        <w:rPr>
          <w:rStyle w:val="DeltaViewInsertion"/>
          <w:rFonts w:ascii="Times New Roman" w:eastAsia="Times New Roman" w:hAnsi="Times New Roman" w:cs="Times New Roman"/>
          <w:color w:val="auto"/>
          <w:sz w:val="26"/>
          <w:szCs w:val="24"/>
        </w:rPr>
        <w:t>Unless the motion is uncontested, on request of any party, the</w:t>
      </w:r>
      <w:bookmarkStart w:id="27" w:name="_DV_M14"/>
      <w:bookmarkEnd w:id="26"/>
      <w:bookmarkEnd w:id="27"/>
      <w:r>
        <w:rPr>
          <w:rFonts w:ascii="Times New Roman" w:eastAsia="Times New Roman" w:hAnsi="Times New Roman" w:cs="Times New Roman"/>
          <w:sz w:val="26"/>
          <w:szCs w:val="24"/>
        </w:rPr>
        <w:t xml:space="preserve"> superior court </w:t>
      </w:r>
      <w:bookmarkStart w:id="28" w:name="_DV_C18"/>
      <w:r>
        <w:rPr>
          <w:rStyle w:val="DeltaViewDeletion"/>
          <w:rFonts w:ascii="Times New Roman" w:eastAsia="Times New Roman" w:hAnsi="Times New Roman" w:cs="Times New Roman"/>
          <w:color w:val="auto"/>
          <w:sz w:val="26"/>
          <w:szCs w:val="24"/>
        </w:rPr>
        <w:t>will promptly</w:t>
      </w:r>
      <w:bookmarkStart w:id="29" w:name="_DV_C19"/>
      <w:bookmarkEnd w:id="28"/>
      <w:r>
        <w:rPr>
          <w:rStyle w:val="DeltaViewInsertion"/>
          <w:rFonts w:ascii="Times New Roman" w:eastAsia="Times New Roman" w:hAnsi="Times New Roman" w:cs="Times New Roman"/>
          <w:color w:val="auto"/>
          <w:sz w:val="26"/>
          <w:szCs w:val="24"/>
        </w:rPr>
        <w:t>must</w:t>
      </w:r>
      <w:bookmarkStart w:id="30" w:name="_DV_M15"/>
      <w:bookmarkEnd w:id="29"/>
      <w:bookmarkEnd w:id="30"/>
      <w:r>
        <w:rPr>
          <w:rFonts w:ascii="Times New Roman" w:eastAsia="Times New Roman" w:hAnsi="Times New Roman" w:cs="Times New Roman"/>
          <w:sz w:val="26"/>
          <w:szCs w:val="24"/>
        </w:rPr>
        <w:t xml:space="preserve"> hold a hearing on a motion to set bond. The superior court may enter any further order, in lieu of or in addition to the bond, which may be appropriate to preserve the status quo or the effectiveness of the judgment.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31" w:name="_DV_M16"/>
      <w:bookmarkEnd w:id="31"/>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Setting the Amount of the Bond Ex Parte.</w:t>
      </w:r>
      <w:r>
        <w:rPr>
          <w:rFonts w:ascii="Times New Roman" w:eastAsia="Times New Roman" w:hAnsi="Times New Roman" w:cs="Times New Roman"/>
          <w:sz w:val="26"/>
          <w:szCs w:val="24"/>
        </w:rPr>
        <w:t xml:space="preserve">  The superior court may determine the amount of the bond ex parte if the </w:t>
      </w:r>
      <w:bookmarkStart w:id="32" w:name="_DV_C20"/>
      <w:r>
        <w:rPr>
          <w:rStyle w:val="DeltaViewDeletion"/>
          <w:rFonts w:ascii="Times New Roman" w:eastAsia="Times New Roman" w:hAnsi="Times New Roman" w:cs="Times New Roman"/>
          <w:color w:val="auto"/>
          <w:sz w:val="26"/>
          <w:szCs w:val="24"/>
        </w:rPr>
        <w:t>appellant</w:t>
      </w:r>
      <w:bookmarkStart w:id="33" w:name="_DV_C21"/>
      <w:bookmarkEnd w:id="32"/>
      <w:r>
        <w:rPr>
          <w:rStyle w:val="DeltaViewInsertion"/>
          <w:rFonts w:ascii="Times New Roman" w:eastAsia="Times New Roman" w:hAnsi="Times New Roman" w:cs="Times New Roman"/>
          <w:color w:val="auto"/>
          <w:sz w:val="26"/>
          <w:szCs w:val="24"/>
        </w:rPr>
        <w:t>requesting party</w:t>
      </w:r>
      <w:bookmarkStart w:id="34" w:name="_DV_M17"/>
      <w:bookmarkEnd w:id="33"/>
      <w:bookmarkEnd w:id="34"/>
      <w:r>
        <w:rPr>
          <w:rFonts w:ascii="Times New Roman" w:eastAsia="Times New Roman" w:hAnsi="Times New Roman" w:cs="Times New Roman"/>
          <w:sz w:val="26"/>
          <w:szCs w:val="24"/>
        </w:rPr>
        <w:t xml:space="preserve"> submits a motion with an affidavit: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35" w:name="_DV_M18"/>
      <w:bookmarkEnd w:id="35"/>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bookmarkStart w:id="36" w:name="_DV_C22"/>
      <w:r>
        <w:rPr>
          <w:rStyle w:val="DeltaViewDeletion"/>
          <w:rFonts w:ascii="Times New Roman" w:eastAsia="Times New Roman" w:hAnsi="Times New Roman" w:cs="Times New Roman"/>
          <w:color w:val="auto"/>
          <w:sz w:val="26"/>
          <w:szCs w:val="24"/>
        </w:rPr>
        <w:t>S</w:t>
      </w:r>
      <w:bookmarkStart w:id="37" w:name="_DV_C23"/>
      <w:bookmarkEnd w:id="36"/>
      <w:r>
        <w:rPr>
          <w:rStyle w:val="DeltaViewInsertion"/>
          <w:rFonts w:ascii="Times New Roman" w:eastAsia="Times New Roman" w:hAnsi="Times New Roman" w:cs="Times New Roman"/>
          <w:color w:val="auto"/>
          <w:sz w:val="26"/>
          <w:szCs w:val="24"/>
        </w:rPr>
        <w:t>s</w:t>
      </w:r>
      <w:bookmarkStart w:id="38" w:name="_DV_M19"/>
      <w:bookmarkEnd w:id="37"/>
      <w:bookmarkEnd w:id="38"/>
      <w:r>
        <w:rPr>
          <w:rFonts w:ascii="Times New Roman" w:eastAsia="Times New Roman" w:hAnsi="Times New Roman" w:cs="Times New Roman"/>
          <w:sz w:val="26"/>
          <w:szCs w:val="24"/>
        </w:rPr>
        <w:t xml:space="preserve">tating that the </w:t>
      </w:r>
      <w:bookmarkStart w:id="39" w:name="_DV_C24"/>
      <w:r>
        <w:rPr>
          <w:rStyle w:val="DeltaViewDeletion"/>
          <w:rFonts w:ascii="Times New Roman" w:eastAsia="Times New Roman" w:hAnsi="Times New Roman" w:cs="Times New Roman"/>
          <w:color w:val="auto"/>
          <w:sz w:val="26"/>
          <w:szCs w:val="24"/>
        </w:rPr>
        <w:t>appellant</w:t>
      </w:r>
      <w:bookmarkStart w:id="40" w:name="_DV_C25"/>
      <w:bookmarkEnd w:id="39"/>
      <w:r>
        <w:rPr>
          <w:rStyle w:val="DeltaViewInsertion"/>
          <w:rFonts w:ascii="Times New Roman" w:eastAsia="Times New Roman" w:hAnsi="Times New Roman" w:cs="Times New Roman"/>
          <w:color w:val="auto"/>
          <w:sz w:val="26"/>
          <w:szCs w:val="24"/>
        </w:rPr>
        <w:t>party</w:t>
      </w:r>
      <w:bookmarkStart w:id="41" w:name="_DV_M20"/>
      <w:bookmarkEnd w:id="40"/>
      <w:bookmarkEnd w:id="41"/>
      <w:r>
        <w:rPr>
          <w:rFonts w:ascii="Times New Roman" w:eastAsia="Times New Roman" w:hAnsi="Times New Roman" w:cs="Times New Roman"/>
          <w:sz w:val="26"/>
          <w:szCs w:val="24"/>
        </w:rPr>
        <w:t xml:space="preserve"> has made a good faith attempt to obtain a stipulation from the other parties; and</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42" w:name="_DV_M21"/>
      <w:bookmarkEnd w:id="42"/>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bookmarkStart w:id="43" w:name="_DV_C26"/>
      <w:r>
        <w:rPr>
          <w:rStyle w:val="DeltaViewDeletion"/>
          <w:rFonts w:ascii="Times New Roman" w:eastAsia="Times New Roman" w:hAnsi="Times New Roman" w:cs="Times New Roman"/>
          <w:color w:val="auto"/>
          <w:sz w:val="26"/>
          <w:szCs w:val="24"/>
        </w:rPr>
        <w:t>D</w:t>
      </w:r>
      <w:bookmarkStart w:id="44" w:name="_DV_C27"/>
      <w:bookmarkEnd w:id="43"/>
      <w:r>
        <w:rPr>
          <w:rStyle w:val="DeltaViewInsertion"/>
          <w:rFonts w:ascii="Times New Roman" w:eastAsia="Times New Roman" w:hAnsi="Times New Roman" w:cs="Times New Roman"/>
          <w:color w:val="auto"/>
          <w:sz w:val="26"/>
          <w:szCs w:val="24"/>
        </w:rPr>
        <w:t>d</w:t>
      </w:r>
      <w:bookmarkEnd w:id="44"/>
      <w:r>
        <w:rPr>
          <w:rFonts w:ascii="Times New Roman" w:eastAsia="Times New Roman" w:hAnsi="Times New Roman" w:cs="Times New Roman"/>
          <w:sz w:val="26"/>
          <w:szCs w:val="24"/>
        </w:rPr>
        <w:t xml:space="preserve">escribing the </w:t>
      </w:r>
      <w:bookmarkStart w:id="45" w:name="_DV_C28"/>
      <w:r>
        <w:rPr>
          <w:rStyle w:val="DeltaViewDeletion"/>
          <w:rFonts w:ascii="Times New Roman" w:eastAsia="Times New Roman" w:hAnsi="Times New Roman" w:cs="Times New Roman"/>
          <w:color w:val="auto"/>
          <w:sz w:val="26"/>
          <w:szCs w:val="24"/>
        </w:rPr>
        <w:t>appellant</w:t>
      </w:r>
      <w:bookmarkStart w:id="46" w:name="_DV_C29"/>
      <w:bookmarkEnd w:id="45"/>
      <w:r>
        <w:rPr>
          <w:rStyle w:val="DeltaViewInsertion"/>
          <w:rFonts w:ascii="Times New Roman" w:eastAsia="Times New Roman" w:hAnsi="Times New Roman" w:cs="Times New Roman"/>
          <w:color w:val="auto"/>
          <w:sz w:val="26"/>
          <w:szCs w:val="24"/>
        </w:rPr>
        <w:t>party</w:t>
      </w:r>
      <w:bookmarkStart w:id="47" w:name="_DV_M23"/>
      <w:bookmarkEnd w:id="46"/>
      <w:bookmarkEnd w:id="47"/>
      <w:r>
        <w:rPr>
          <w:rFonts w:ascii="Times New Roman" w:eastAsia="Times New Roman" w:hAnsi="Times New Roman" w:cs="Times New Roman"/>
          <w:sz w:val="26"/>
          <w:szCs w:val="24"/>
        </w:rPr>
        <w:t>’s efforts, if any, to give notice, or the reasons why it is not feasible under the circumstances to give the other parties an opportunity to be heard before the setting of bond.</w:t>
      </w:r>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48" w:name="_DV_M24"/>
      <w:bookmarkEnd w:id="48"/>
      <w:r>
        <w:rPr>
          <w:rFonts w:ascii="Times New Roman" w:eastAsia="Times New Roman" w:hAnsi="Times New Roman" w:cs="Times New Roman"/>
          <w:b/>
          <w:sz w:val="26"/>
          <w:szCs w:val="24"/>
        </w:rPr>
        <w:lastRenderedPageBreak/>
        <w:t>(4)</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Amount of the Bond</w:t>
      </w:r>
      <w:bookmarkStart w:id="49" w:name="_DV_C30"/>
      <w:r>
        <w:rPr>
          <w:rStyle w:val="DeltaViewDeletion"/>
          <w:rFonts w:ascii="Times New Roman" w:eastAsia="Times New Roman" w:hAnsi="Times New Roman" w:cs="Times New Roman"/>
          <w:b/>
          <w:i/>
          <w:color w:val="auto"/>
          <w:sz w:val="26"/>
          <w:szCs w:val="24"/>
        </w:rPr>
        <w:t>.</w:t>
      </w:r>
      <w:r>
        <w:rPr>
          <w:rStyle w:val="DeltaViewDeletion"/>
          <w:rFonts w:ascii="Times New Roman" w:eastAsia="Times New Roman" w:hAnsi="Times New Roman" w:cs="Times New Roman"/>
          <w:color w:val="auto"/>
          <w:sz w:val="26"/>
          <w:szCs w:val="24"/>
        </w:rPr>
        <w:t xml:space="preserve">  The</w:t>
      </w:r>
      <w:bookmarkStart w:id="50" w:name="_DV_C31"/>
      <w:bookmarkEnd w:id="49"/>
      <w:r>
        <w:rPr>
          <w:rStyle w:val="DeltaViewInsertion"/>
          <w:rFonts w:ascii="Times New Roman" w:eastAsia="Times New Roman" w:hAnsi="Times New Roman" w:cs="Times New Roman"/>
          <w:b/>
          <w:i/>
          <w:color w:val="auto"/>
          <w:sz w:val="26"/>
          <w:szCs w:val="24"/>
        </w:rPr>
        <w:t>—Monetary Judgment.</w:t>
      </w:r>
      <w:r>
        <w:rPr>
          <w:rStyle w:val="DeltaViewInsertion"/>
          <w:rFonts w:ascii="Times New Roman" w:eastAsia="Times New Roman" w:hAnsi="Times New Roman" w:cs="Times New Roman"/>
          <w:color w:val="auto"/>
          <w:sz w:val="26"/>
          <w:szCs w:val="24"/>
        </w:rPr>
        <w:t xml:space="preserve">  Except for family court judgments governed by Rule 7(a)(7), and subject to Rule 7(a)(9), if the judgment includes a monetary award, the</w:t>
      </w:r>
      <w:bookmarkStart w:id="51" w:name="_DV_M25"/>
      <w:bookmarkEnd w:id="50"/>
      <w:bookmarkEnd w:id="51"/>
      <w:r>
        <w:rPr>
          <w:rFonts w:ascii="Times New Roman" w:eastAsia="Times New Roman" w:hAnsi="Times New Roman" w:cs="Times New Roman"/>
          <w:sz w:val="26"/>
          <w:szCs w:val="24"/>
        </w:rPr>
        <w:t xml:space="preserve"> amount of the bond</w:t>
      </w:r>
      <w:bookmarkStart w:id="52" w:name="_DV_C32"/>
      <w:r>
        <w:rPr>
          <w:rStyle w:val="DeltaViewInsertion"/>
          <w:rFonts w:ascii="Times New Roman" w:eastAsia="Times New Roman" w:hAnsi="Times New Roman" w:cs="Times New Roman"/>
          <w:color w:val="auto"/>
          <w:sz w:val="26"/>
          <w:szCs w:val="24"/>
        </w:rPr>
        <w:t xml:space="preserve"> relating to the monetary award</w:t>
      </w:r>
      <w:bookmarkStart w:id="53" w:name="_DV_M26"/>
      <w:bookmarkEnd w:id="52"/>
      <w:bookmarkEnd w:id="53"/>
      <w:r>
        <w:rPr>
          <w:rFonts w:ascii="Times New Roman" w:eastAsia="Times New Roman" w:hAnsi="Times New Roman" w:cs="Times New Roman"/>
          <w:sz w:val="26"/>
          <w:szCs w:val="24"/>
        </w:rPr>
        <w:t xml:space="preserve"> must be the lowest of the following:</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54" w:name="_DV_M27"/>
      <w:bookmarkEnd w:id="54"/>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bookmarkStart w:id="55" w:name="_DV_C33"/>
      <w:r>
        <w:rPr>
          <w:rStyle w:val="DeltaViewDeletion"/>
          <w:rFonts w:ascii="Times New Roman" w:eastAsia="Times New Roman" w:hAnsi="Times New Roman" w:cs="Times New Roman"/>
          <w:color w:val="auto"/>
          <w:sz w:val="26"/>
          <w:szCs w:val="24"/>
        </w:rPr>
        <w:t>T</w:t>
      </w:r>
      <w:bookmarkStart w:id="56" w:name="_DV_C34"/>
      <w:bookmarkEnd w:id="55"/>
      <w:r>
        <w:rPr>
          <w:rStyle w:val="DeltaViewInsertion"/>
          <w:rFonts w:ascii="Times New Roman" w:eastAsia="Times New Roman" w:hAnsi="Times New Roman" w:cs="Times New Roman"/>
          <w:color w:val="auto"/>
          <w:sz w:val="26"/>
          <w:szCs w:val="24"/>
        </w:rPr>
        <w:t>t</w:t>
      </w:r>
      <w:bookmarkStart w:id="57" w:name="_DV_M28"/>
      <w:bookmarkEnd w:id="56"/>
      <w:bookmarkEnd w:id="57"/>
      <w:r>
        <w:rPr>
          <w:rFonts w:ascii="Times New Roman" w:eastAsia="Times New Roman" w:hAnsi="Times New Roman" w:cs="Times New Roman"/>
          <w:sz w:val="26"/>
          <w:szCs w:val="24"/>
        </w:rPr>
        <w:t>he total amount of damages</w:t>
      </w:r>
      <w:bookmarkStart w:id="58" w:name="_DV_C35"/>
      <w:r>
        <w:rPr>
          <w:rStyle w:val="DeltaViewDeletion"/>
          <w:rFonts w:ascii="Times New Roman" w:eastAsia="Times New Roman" w:hAnsi="Times New Roman" w:cs="Times New Roman"/>
          <w:color w:val="auto"/>
          <w:sz w:val="26"/>
          <w:szCs w:val="24"/>
        </w:rPr>
        <w:t xml:space="preserve"> awarded</w:t>
      </w:r>
      <w:bookmarkStart w:id="59" w:name="_DV_M29"/>
      <w:bookmarkEnd w:id="58"/>
      <w:bookmarkEnd w:id="59"/>
      <w:r>
        <w:rPr>
          <w:rFonts w:ascii="Times New Roman" w:eastAsia="Times New Roman" w:hAnsi="Times New Roman" w:cs="Times New Roman"/>
          <w:sz w:val="26"/>
          <w:szCs w:val="24"/>
        </w:rPr>
        <w:t xml:space="preserve">, </w:t>
      </w:r>
      <w:bookmarkStart w:id="60" w:name="_DV_C36"/>
      <w:r>
        <w:rPr>
          <w:rStyle w:val="DeltaViewInsertion"/>
          <w:rFonts w:ascii="Times New Roman" w:eastAsia="Times New Roman" w:hAnsi="Times New Roman" w:cs="Times New Roman"/>
          <w:color w:val="auto"/>
          <w:sz w:val="26"/>
          <w:szCs w:val="24"/>
        </w:rPr>
        <w:t xml:space="preserve">costs, attorney’s fees, and prejudgment interest included in the judgment when entered, </w:t>
      </w:r>
      <w:bookmarkStart w:id="61" w:name="_DV_M30"/>
      <w:bookmarkEnd w:id="60"/>
      <w:bookmarkEnd w:id="61"/>
      <w:r>
        <w:rPr>
          <w:rFonts w:ascii="Times New Roman" w:eastAsia="Times New Roman" w:hAnsi="Times New Roman" w:cs="Times New Roman"/>
          <w:sz w:val="26"/>
          <w:szCs w:val="24"/>
        </w:rPr>
        <w:t xml:space="preserve">excluding punitive damages; </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62" w:name="_DV_M31"/>
      <w:bookmarkEnd w:id="62"/>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bookmarkStart w:id="63" w:name="_DV_C37"/>
      <w:r>
        <w:rPr>
          <w:rStyle w:val="DeltaViewDeletion"/>
          <w:rFonts w:ascii="Times New Roman" w:eastAsia="Times New Roman" w:hAnsi="Times New Roman" w:cs="Times New Roman"/>
          <w:color w:val="auto"/>
          <w:sz w:val="26"/>
          <w:szCs w:val="24"/>
        </w:rPr>
        <w:t>Fifty per cent</w:t>
      </w:r>
      <w:bookmarkStart w:id="64" w:name="_DV_C38"/>
      <w:bookmarkEnd w:id="63"/>
      <w:r>
        <w:rPr>
          <w:rStyle w:val="DeltaViewInsertion"/>
          <w:rFonts w:ascii="Times New Roman" w:eastAsia="Times New Roman" w:hAnsi="Times New Roman" w:cs="Times New Roman"/>
          <w:color w:val="auto"/>
          <w:sz w:val="26"/>
          <w:szCs w:val="24"/>
        </w:rPr>
        <w:t>fifty percent</w:t>
      </w:r>
      <w:bookmarkStart w:id="65" w:name="_DV_M32"/>
      <w:bookmarkEnd w:id="64"/>
      <w:bookmarkEnd w:id="65"/>
      <w:r>
        <w:rPr>
          <w:rFonts w:ascii="Times New Roman" w:eastAsia="Times New Roman" w:hAnsi="Times New Roman" w:cs="Times New Roman"/>
          <w:sz w:val="26"/>
          <w:szCs w:val="24"/>
        </w:rPr>
        <w:t xml:space="preserve"> of the </w:t>
      </w:r>
      <w:bookmarkStart w:id="66" w:name="_DV_C39"/>
      <w:r>
        <w:rPr>
          <w:rStyle w:val="DeltaViewDeletion"/>
          <w:rFonts w:ascii="Times New Roman" w:eastAsia="Times New Roman" w:hAnsi="Times New Roman" w:cs="Times New Roman"/>
          <w:color w:val="auto"/>
          <w:sz w:val="26"/>
          <w:szCs w:val="24"/>
        </w:rPr>
        <w:t xml:space="preserve">appellant’s </w:t>
      </w:r>
      <w:bookmarkStart w:id="67" w:name="_DV_M33"/>
      <w:bookmarkEnd w:id="66"/>
      <w:bookmarkEnd w:id="67"/>
      <w:r>
        <w:rPr>
          <w:rFonts w:ascii="Times New Roman" w:eastAsia="Times New Roman" w:hAnsi="Times New Roman" w:cs="Times New Roman"/>
          <w:sz w:val="26"/>
          <w:szCs w:val="24"/>
        </w:rPr>
        <w:t>net worth</w:t>
      </w:r>
      <w:bookmarkStart w:id="68" w:name="_DV_C40"/>
      <w:r>
        <w:rPr>
          <w:rStyle w:val="DeltaViewInsertion"/>
          <w:rFonts w:ascii="Times New Roman" w:eastAsia="Times New Roman" w:hAnsi="Times New Roman" w:cs="Times New Roman"/>
          <w:color w:val="auto"/>
          <w:sz w:val="26"/>
          <w:szCs w:val="24"/>
        </w:rPr>
        <w:t xml:space="preserve"> of the party seeking the stay</w:t>
      </w:r>
      <w:bookmarkStart w:id="69" w:name="_DV_M34"/>
      <w:bookmarkEnd w:id="68"/>
      <w:bookmarkEnd w:id="69"/>
      <w:r>
        <w:rPr>
          <w:rFonts w:ascii="Times New Roman" w:eastAsia="Times New Roman" w:hAnsi="Times New Roman" w:cs="Times New Roman"/>
          <w:sz w:val="26"/>
          <w:szCs w:val="24"/>
        </w:rPr>
        <w:t>; or</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70" w:name="_DV_M35"/>
      <w:bookmarkEnd w:id="70"/>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bookmarkStart w:id="71" w:name="_DV_C41"/>
      <w:r>
        <w:rPr>
          <w:rStyle w:val="DeltaViewDeletion"/>
          <w:rFonts w:ascii="Times New Roman" w:eastAsia="Times New Roman" w:hAnsi="Times New Roman" w:cs="Times New Roman"/>
          <w:color w:val="auto"/>
          <w:sz w:val="26"/>
          <w:szCs w:val="24"/>
        </w:rPr>
        <w:t>T</w:t>
      </w:r>
      <w:bookmarkStart w:id="72" w:name="_DV_C42"/>
      <w:bookmarkEnd w:id="71"/>
      <w:r>
        <w:rPr>
          <w:rStyle w:val="DeltaViewInsertion"/>
          <w:rFonts w:ascii="Times New Roman" w:eastAsia="Times New Roman" w:hAnsi="Times New Roman" w:cs="Times New Roman"/>
          <w:color w:val="auto"/>
          <w:sz w:val="26"/>
          <w:szCs w:val="24"/>
        </w:rPr>
        <w:t>t</w:t>
      </w:r>
      <w:bookmarkStart w:id="73" w:name="_DV_M36"/>
      <w:bookmarkEnd w:id="72"/>
      <w:bookmarkEnd w:id="73"/>
      <w:r>
        <w:rPr>
          <w:rFonts w:ascii="Times New Roman" w:eastAsia="Times New Roman" w:hAnsi="Times New Roman" w:cs="Times New Roman"/>
          <w:sz w:val="26"/>
          <w:szCs w:val="24"/>
        </w:rPr>
        <w:t>wenty-five million dollars.</w:t>
      </w:r>
    </w:p>
    <w:p w:rsidR="005A7492" w:rsidRDefault="006B6D4D">
      <w:pPr>
        <w:widowControl/>
        <w:tabs>
          <w:tab w:val="left" w:pos="389"/>
          <w:tab w:val="left" w:pos="605"/>
          <w:tab w:val="left" w:pos="778"/>
          <w:tab w:val="left" w:pos="1037"/>
          <w:tab w:val="left" w:pos="1368"/>
        </w:tabs>
        <w:spacing w:after="120" w:line="240" w:lineRule="auto"/>
        <w:ind w:left="778"/>
        <w:jc w:val="both"/>
        <w:rPr>
          <w:rFonts w:ascii="Times New Roman" w:eastAsia="Times New Roman" w:hAnsi="Times New Roman" w:cs="Times New Roman"/>
          <w:sz w:val="26"/>
          <w:szCs w:val="24"/>
        </w:rPr>
      </w:pPr>
      <w:bookmarkStart w:id="74" w:name="_DV_M37"/>
      <w:bookmarkEnd w:id="74"/>
      <w:r>
        <w:rPr>
          <w:rFonts w:ascii="Times New Roman" w:eastAsia="Times New Roman" w:hAnsi="Times New Roman" w:cs="Times New Roman"/>
          <w:sz w:val="26"/>
          <w:szCs w:val="24"/>
        </w:rPr>
        <w:t xml:space="preserve">The </w:t>
      </w:r>
      <w:bookmarkStart w:id="75" w:name="_DV_C43"/>
      <w:r>
        <w:rPr>
          <w:rStyle w:val="DeltaViewDeletion"/>
          <w:rFonts w:ascii="Times New Roman" w:eastAsia="Times New Roman" w:hAnsi="Times New Roman" w:cs="Times New Roman"/>
          <w:color w:val="auto"/>
          <w:sz w:val="26"/>
          <w:szCs w:val="24"/>
        </w:rPr>
        <w:t>appellant</w:t>
      </w:r>
      <w:bookmarkStart w:id="76" w:name="_DV_C44"/>
      <w:bookmarkEnd w:id="75"/>
      <w:r>
        <w:rPr>
          <w:rStyle w:val="DeltaViewInsertion"/>
          <w:rFonts w:ascii="Times New Roman" w:eastAsia="Times New Roman" w:hAnsi="Times New Roman" w:cs="Times New Roman"/>
          <w:color w:val="auto"/>
          <w:sz w:val="26"/>
          <w:szCs w:val="24"/>
        </w:rPr>
        <w:t>requesting party</w:t>
      </w:r>
      <w:bookmarkStart w:id="77" w:name="_DV_M38"/>
      <w:bookmarkEnd w:id="76"/>
      <w:bookmarkEnd w:id="77"/>
      <w:r>
        <w:rPr>
          <w:rFonts w:ascii="Times New Roman" w:eastAsia="Times New Roman" w:hAnsi="Times New Roman" w:cs="Times New Roman"/>
          <w:sz w:val="26"/>
          <w:szCs w:val="24"/>
        </w:rPr>
        <w:t xml:space="preserve"> must prove net worth by a preponderance of the evidence.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78" w:name="_DV_M39"/>
      <w:bookmarkEnd w:id="78"/>
      <w:r>
        <w:rPr>
          <w:rFonts w:ascii="Times New Roman" w:eastAsia="Times New Roman" w:hAnsi="Times New Roman" w:cs="Times New Roman"/>
          <w:b/>
          <w:sz w:val="26"/>
          <w:szCs w:val="24"/>
        </w:rPr>
        <w:t>(5)</w:t>
      </w:r>
      <w:r>
        <w:rPr>
          <w:rFonts w:ascii="Times New Roman" w:eastAsia="Times New Roman" w:hAnsi="Times New Roman" w:cs="Times New Roman"/>
          <w:b/>
          <w:sz w:val="26"/>
          <w:szCs w:val="24"/>
        </w:rPr>
        <w:tab/>
      </w:r>
      <w:bookmarkStart w:id="79" w:name="_DV_C45"/>
      <w:r>
        <w:rPr>
          <w:rStyle w:val="DeltaViewInsertion"/>
          <w:rFonts w:ascii="Times New Roman" w:eastAsia="Times New Roman" w:hAnsi="Times New Roman" w:cs="Times New Roman"/>
          <w:b/>
          <w:i/>
          <w:color w:val="auto"/>
          <w:sz w:val="26"/>
          <w:szCs w:val="24"/>
        </w:rPr>
        <w:t xml:space="preserve">Amount of the Bond—Judgment for Recovery of Property.  </w:t>
      </w:r>
      <w:r>
        <w:rPr>
          <w:rStyle w:val="DeltaViewInsertion"/>
          <w:rFonts w:ascii="Times New Roman" w:eastAsia="Times New Roman" w:hAnsi="Times New Roman" w:cs="Times New Roman"/>
          <w:color w:val="auto"/>
          <w:sz w:val="26"/>
          <w:szCs w:val="24"/>
        </w:rPr>
        <w:t>If the judgment includes the recovery of an interest in real or personal property, the superior court must determine the amount of the bond, if any, that the requesting party must post. Subject to Rule 7(a)(7) and (9), the amount of the bond must be at least:</w:t>
      </w:r>
      <w:bookmarkEnd w:id="79"/>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80" w:name="_DV_C46"/>
      <w:r>
        <w:rPr>
          <w:rStyle w:val="DeltaViewInsertion"/>
          <w:rFonts w:ascii="Times New Roman" w:eastAsia="Times New Roman" w:hAnsi="Times New Roman" w:cs="Times New Roman"/>
          <w:b/>
          <w:color w:val="auto"/>
          <w:sz w:val="26"/>
          <w:szCs w:val="24"/>
        </w:rPr>
        <w:t>(A)</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color w:val="auto"/>
          <w:sz w:val="26"/>
          <w:szCs w:val="24"/>
        </w:rPr>
        <w:t>if the property interest is in real property, its fair rental value or the value of projected revenues while the appeal is pending; or</w:t>
      </w:r>
      <w:bookmarkEnd w:id="80"/>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i/>
          <w:sz w:val="26"/>
          <w:szCs w:val="24"/>
        </w:rPr>
      </w:pPr>
      <w:bookmarkStart w:id="81" w:name="_DV_C47"/>
      <w:r>
        <w:rPr>
          <w:rStyle w:val="DeltaViewInsertion"/>
          <w:rFonts w:ascii="Times New Roman" w:eastAsia="Times New Roman" w:hAnsi="Times New Roman" w:cs="Times New Roman"/>
          <w:b/>
          <w:color w:val="auto"/>
          <w:sz w:val="26"/>
          <w:szCs w:val="24"/>
        </w:rPr>
        <w:t>(B)</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color w:val="auto"/>
          <w:sz w:val="26"/>
          <w:szCs w:val="24"/>
        </w:rPr>
        <w:t>if the property interest is personal, its value on the date the court entered judgment.</w:t>
      </w:r>
      <w:bookmarkEnd w:id="81"/>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82" w:name="_DV_C48"/>
      <w:r>
        <w:rPr>
          <w:rStyle w:val="DeltaViewInsertion"/>
          <w:rFonts w:ascii="Times New Roman" w:eastAsia="Times New Roman" w:hAnsi="Times New Roman" w:cs="Times New Roman"/>
          <w:b/>
          <w:color w:val="auto"/>
          <w:sz w:val="26"/>
          <w:szCs w:val="24"/>
        </w:rPr>
        <w:t>(6)</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b/>
          <w:i/>
          <w:color w:val="auto"/>
          <w:sz w:val="26"/>
          <w:szCs w:val="24"/>
        </w:rPr>
        <w:t>Amount of the Bond—Other Judgment.</w:t>
      </w:r>
      <w:r>
        <w:rPr>
          <w:rStyle w:val="DeltaViewInsertion"/>
          <w:rFonts w:ascii="Times New Roman" w:eastAsia="Times New Roman" w:hAnsi="Times New Roman" w:cs="Times New Roman"/>
          <w:b/>
          <w:color w:val="auto"/>
          <w:sz w:val="26"/>
          <w:szCs w:val="24"/>
        </w:rPr>
        <w:t xml:space="preserve">  </w:t>
      </w:r>
      <w:r>
        <w:rPr>
          <w:rStyle w:val="DeltaViewInsertion"/>
          <w:rFonts w:ascii="Times New Roman" w:eastAsia="Times New Roman" w:hAnsi="Times New Roman" w:cs="Times New Roman"/>
          <w:color w:val="auto"/>
          <w:sz w:val="26"/>
          <w:szCs w:val="24"/>
        </w:rPr>
        <w:t xml:space="preserve">If the judgment includes an injunction, or relief other than an award of money or recovery of an interest in property, the superior court must determine the amount of the bond, if any, that the requesting party must post. The superior court may issue any other orders as provided in Arizona Rule of Civil Procedure Rule 62(d). Subject to Rule 7(a)(9), the superior court should consider the bond or other orders needed to adequately: </w:t>
      </w:r>
      <w:bookmarkEnd w:id="82"/>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83" w:name="_DV_C49"/>
      <w:r>
        <w:rPr>
          <w:rStyle w:val="DeltaViewInsertion"/>
          <w:rFonts w:ascii="Times New Roman" w:eastAsia="Times New Roman" w:hAnsi="Times New Roman" w:cs="Times New Roman"/>
          <w:b/>
          <w:color w:val="auto"/>
          <w:sz w:val="26"/>
          <w:szCs w:val="24"/>
        </w:rPr>
        <w:t>(A)</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color w:val="auto"/>
          <w:sz w:val="26"/>
          <w:szCs w:val="24"/>
        </w:rPr>
        <w:t>protect the adverse party against loss or damage that such party is likely to suffer from a stay if the judgment is affirmed; and</w:t>
      </w:r>
      <w:bookmarkEnd w:id="83"/>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84" w:name="_DV_C50"/>
      <w:r>
        <w:rPr>
          <w:rStyle w:val="DeltaViewInsertion"/>
          <w:rFonts w:ascii="Times New Roman" w:eastAsia="Times New Roman" w:hAnsi="Times New Roman" w:cs="Times New Roman"/>
          <w:b/>
          <w:color w:val="auto"/>
          <w:sz w:val="26"/>
          <w:szCs w:val="24"/>
        </w:rPr>
        <w:t>(B)</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color w:val="auto"/>
          <w:sz w:val="26"/>
          <w:szCs w:val="24"/>
        </w:rPr>
        <w:t>preserve the status quo or the effectiveness of the judgment.</w:t>
      </w:r>
      <w:bookmarkEnd w:id="84"/>
    </w:p>
    <w:p w:rsidR="005A7492" w:rsidRDefault="006B6D4D">
      <w:pPr>
        <w:widowControl/>
        <w:tabs>
          <w:tab w:val="left" w:pos="389"/>
          <w:tab w:val="left" w:pos="605"/>
          <w:tab w:val="left" w:pos="778"/>
          <w:tab w:val="left" w:pos="1037"/>
          <w:tab w:val="left" w:pos="1368"/>
        </w:tabs>
        <w:spacing w:before="240" w:after="120" w:line="240" w:lineRule="auto"/>
        <w:ind w:left="778" w:hanging="389"/>
        <w:jc w:val="both"/>
        <w:rPr>
          <w:rFonts w:ascii="Times New Roman" w:eastAsia="Times New Roman" w:hAnsi="Times New Roman" w:cs="Times New Roman"/>
          <w:sz w:val="26"/>
          <w:szCs w:val="24"/>
        </w:rPr>
      </w:pPr>
      <w:bookmarkStart w:id="85" w:name="_DV_C51"/>
      <w:r>
        <w:rPr>
          <w:rStyle w:val="DeltaViewInsertion"/>
          <w:rFonts w:ascii="Times New Roman" w:eastAsia="Times New Roman" w:hAnsi="Times New Roman" w:cs="Times New Roman"/>
          <w:b/>
          <w:color w:val="auto"/>
          <w:sz w:val="26"/>
          <w:szCs w:val="24"/>
        </w:rPr>
        <w:t>(7)</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b/>
          <w:i/>
          <w:color w:val="auto"/>
          <w:sz w:val="26"/>
          <w:szCs w:val="24"/>
        </w:rPr>
        <w:t>Amount of the Bond—Family Court Judgments.</w:t>
      </w:r>
      <w:r>
        <w:rPr>
          <w:rStyle w:val="DeltaViewInsertion"/>
          <w:rFonts w:ascii="Times New Roman" w:eastAsia="Times New Roman" w:hAnsi="Times New Roman" w:cs="Times New Roman"/>
          <w:b/>
          <w:color w:val="auto"/>
          <w:sz w:val="26"/>
          <w:szCs w:val="24"/>
        </w:rPr>
        <w:t xml:space="preserve">  </w:t>
      </w:r>
      <w:r>
        <w:rPr>
          <w:rStyle w:val="DeltaViewInsertion"/>
          <w:rFonts w:ascii="Times New Roman" w:eastAsia="Times New Roman" w:hAnsi="Times New Roman" w:cs="Times New Roman"/>
          <w:color w:val="auto"/>
          <w:sz w:val="26"/>
          <w:szCs w:val="24"/>
        </w:rPr>
        <w:t>For that portion of any family court judgment that divides assets or orders the transfer of property or money under A.R.S. § 25-318, or that awards costs or expenses under A.R.S. § 25-324, the superior court must determine the amount of the bond, if any, that the requesting party must post, taking into account the judgment as a whole and whether requiring a bond would impose an undue hardship.</w:t>
      </w:r>
      <w:bookmarkEnd w:id="85"/>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6"/>
          <w:szCs w:val="24"/>
        </w:rPr>
      </w:pPr>
      <w:bookmarkStart w:id="86" w:name="_DV_C52"/>
      <w:r>
        <w:rPr>
          <w:rStyle w:val="DeltaViewInsertion"/>
          <w:rFonts w:ascii="Times New Roman" w:eastAsia="Times New Roman" w:hAnsi="Times New Roman" w:cs="Times New Roman"/>
          <w:b/>
          <w:color w:val="auto"/>
          <w:sz w:val="26"/>
          <w:szCs w:val="24"/>
        </w:rPr>
        <w:t>(8)</w:t>
      </w:r>
      <w:r>
        <w:rPr>
          <w:rStyle w:val="DeltaViewInsertion"/>
          <w:rFonts w:ascii="Times New Roman" w:eastAsia="Times New Roman" w:hAnsi="Times New Roman" w:cs="Times New Roman"/>
          <w:b/>
          <w:color w:val="auto"/>
          <w:sz w:val="26"/>
          <w:szCs w:val="24"/>
        </w:rPr>
        <w:tab/>
      </w:r>
      <w:r>
        <w:rPr>
          <w:rStyle w:val="DeltaViewInsertion"/>
          <w:rFonts w:ascii="Times New Roman" w:eastAsia="Times New Roman" w:hAnsi="Times New Roman" w:cs="Times New Roman"/>
          <w:b/>
          <w:i/>
          <w:color w:val="auto"/>
          <w:sz w:val="26"/>
          <w:szCs w:val="24"/>
        </w:rPr>
        <w:t xml:space="preserve">Stay of Judgment Ordering Execution of an Instrument or Sale of Perishable Property. </w:t>
      </w:r>
      <w:r>
        <w:rPr>
          <w:rStyle w:val="DeltaViewInsertion"/>
          <w:rFonts w:ascii="Times New Roman" w:eastAsia="Times New Roman" w:hAnsi="Times New Roman" w:cs="Times New Roman"/>
          <w:color w:val="auto"/>
          <w:sz w:val="26"/>
          <w:szCs w:val="24"/>
        </w:rPr>
        <w:t xml:space="preserve">The requirements of Arizona Rule of Civil Procedure 62(f), as </w:t>
      </w:r>
      <w:r>
        <w:rPr>
          <w:rStyle w:val="DeltaViewInsertion"/>
          <w:rFonts w:ascii="Times New Roman" w:eastAsia="Times New Roman" w:hAnsi="Times New Roman" w:cs="Times New Roman"/>
          <w:color w:val="auto"/>
          <w:sz w:val="26"/>
          <w:szCs w:val="24"/>
        </w:rPr>
        <w:lastRenderedPageBreak/>
        <w:t xml:space="preserve">applicable, also apply to the enforcement of, or execution on, any judgment under Rule 7(a)(5), (6), or (7). </w:t>
      </w:r>
      <w:bookmarkEnd w:id="86"/>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87" w:name="_DV_C53"/>
      <w:r>
        <w:rPr>
          <w:rStyle w:val="DeltaViewInsertion"/>
          <w:rFonts w:ascii="Times New Roman" w:eastAsia="Times New Roman" w:hAnsi="Times New Roman" w:cs="Times New Roman"/>
          <w:b/>
          <w:color w:val="auto"/>
          <w:sz w:val="26"/>
          <w:szCs w:val="24"/>
        </w:rPr>
        <w:t>(9)</w:t>
      </w:r>
      <w:r>
        <w:rPr>
          <w:rStyle w:val="DeltaViewInsertion"/>
          <w:rFonts w:ascii="Times New Roman" w:eastAsia="Times New Roman" w:hAnsi="Times New Roman" w:cs="Times New Roman"/>
          <w:b/>
          <w:color w:val="auto"/>
          <w:sz w:val="26"/>
          <w:szCs w:val="24"/>
        </w:rPr>
        <w:tab/>
      </w:r>
      <w:bookmarkStart w:id="88" w:name="_DV_M40"/>
      <w:bookmarkEnd w:id="87"/>
      <w:bookmarkEnd w:id="88"/>
      <w:r>
        <w:rPr>
          <w:rFonts w:ascii="Times New Roman" w:eastAsia="Times New Roman" w:hAnsi="Times New Roman" w:cs="Times New Roman"/>
          <w:b/>
          <w:i/>
          <w:sz w:val="26"/>
          <w:szCs w:val="24"/>
        </w:rPr>
        <w:t>Exceptions.</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89" w:name="_DV_M41"/>
      <w:bookmarkEnd w:id="89"/>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Notwithstanding Rule 7(a)(4), the superior court may require </w:t>
      </w:r>
      <w:bookmarkStart w:id="90" w:name="_DV_C54"/>
      <w:r>
        <w:rPr>
          <w:rStyle w:val="DeltaViewDeletion"/>
          <w:rFonts w:ascii="Times New Roman" w:eastAsia="Times New Roman" w:hAnsi="Times New Roman" w:cs="Times New Roman"/>
          <w:color w:val="auto"/>
          <w:sz w:val="26"/>
          <w:szCs w:val="24"/>
        </w:rPr>
        <w:t>an appellant</w:t>
      </w:r>
      <w:bookmarkStart w:id="91" w:name="_DV_C55"/>
      <w:bookmarkEnd w:id="90"/>
      <w:r>
        <w:rPr>
          <w:rStyle w:val="DeltaViewInsertion"/>
          <w:rFonts w:ascii="Times New Roman" w:eastAsia="Times New Roman" w:hAnsi="Times New Roman" w:cs="Times New Roman"/>
          <w:color w:val="auto"/>
          <w:sz w:val="26"/>
          <w:szCs w:val="24"/>
        </w:rPr>
        <w:t>a requesting party</w:t>
      </w:r>
      <w:bookmarkStart w:id="92" w:name="_DV_M42"/>
      <w:bookmarkEnd w:id="91"/>
      <w:bookmarkEnd w:id="92"/>
      <w:r>
        <w:rPr>
          <w:rFonts w:ascii="Times New Roman" w:eastAsia="Times New Roman" w:hAnsi="Times New Roman" w:cs="Times New Roman"/>
          <w:sz w:val="26"/>
          <w:szCs w:val="24"/>
        </w:rPr>
        <w:t xml:space="preserve"> to post a bond in an amount up to the full amount of the judgment if an </w:t>
      </w:r>
      <w:bookmarkStart w:id="93" w:name="_DV_C56"/>
      <w:r>
        <w:rPr>
          <w:rStyle w:val="DeltaViewDeletion"/>
          <w:rFonts w:ascii="Times New Roman" w:eastAsia="Times New Roman" w:hAnsi="Times New Roman" w:cs="Times New Roman"/>
          <w:color w:val="auto"/>
          <w:sz w:val="26"/>
          <w:szCs w:val="24"/>
        </w:rPr>
        <w:t>appellee</w:t>
      </w:r>
      <w:bookmarkStart w:id="94" w:name="_DV_C57"/>
      <w:bookmarkEnd w:id="93"/>
      <w:r>
        <w:rPr>
          <w:rStyle w:val="DeltaViewInsertion"/>
          <w:rFonts w:ascii="Times New Roman" w:eastAsia="Times New Roman" w:hAnsi="Times New Roman" w:cs="Times New Roman"/>
          <w:color w:val="auto"/>
          <w:sz w:val="26"/>
          <w:szCs w:val="24"/>
        </w:rPr>
        <w:t>adverse party</w:t>
      </w:r>
      <w:bookmarkStart w:id="95" w:name="_DV_M43"/>
      <w:bookmarkEnd w:id="94"/>
      <w:bookmarkEnd w:id="95"/>
      <w:r>
        <w:rPr>
          <w:rFonts w:ascii="Times New Roman" w:eastAsia="Times New Roman" w:hAnsi="Times New Roman" w:cs="Times New Roman"/>
          <w:sz w:val="26"/>
          <w:szCs w:val="24"/>
        </w:rPr>
        <w:t xml:space="preserve"> proves by clear and convincing evidence that the </w:t>
      </w:r>
      <w:bookmarkStart w:id="96" w:name="_DV_C58"/>
      <w:r>
        <w:rPr>
          <w:rStyle w:val="DeltaViewDeletion"/>
          <w:rFonts w:ascii="Times New Roman" w:eastAsia="Times New Roman" w:hAnsi="Times New Roman" w:cs="Times New Roman"/>
          <w:color w:val="auto"/>
          <w:sz w:val="26"/>
          <w:szCs w:val="24"/>
        </w:rPr>
        <w:t>appellant</w:t>
      </w:r>
      <w:bookmarkStart w:id="97" w:name="_DV_C59"/>
      <w:bookmarkEnd w:id="96"/>
      <w:r>
        <w:rPr>
          <w:rStyle w:val="DeltaViewInsertion"/>
          <w:rFonts w:ascii="Times New Roman" w:eastAsia="Times New Roman" w:hAnsi="Times New Roman" w:cs="Times New Roman"/>
          <w:color w:val="auto"/>
          <w:sz w:val="26"/>
          <w:szCs w:val="24"/>
        </w:rPr>
        <w:t>requesting party</w:t>
      </w:r>
      <w:bookmarkStart w:id="98" w:name="_DV_M44"/>
      <w:bookmarkEnd w:id="97"/>
      <w:bookmarkEnd w:id="98"/>
      <w:r>
        <w:rPr>
          <w:rFonts w:ascii="Times New Roman" w:eastAsia="Times New Roman" w:hAnsi="Times New Roman" w:cs="Times New Roman"/>
          <w:sz w:val="26"/>
          <w:szCs w:val="24"/>
        </w:rPr>
        <w:t xml:space="preserve"> is intentionally dissipating assets outside the ordinary course of business to avoid payment of a judgment.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99" w:name="_DV_M45"/>
      <w:bookmarkEnd w:id="99"/>
      <w:r>
        <w:rPr>
          <w:rFonts w:ascii="Times New Roman" w:eastAsia="Times New Roman" w:hAnsi="Times New Roman" w:cs="Times New Roman"/>
          <w:b/>
          <w:sz w:val="26"/>
          <w:szCs w:val="24"/>
        </w:rPr>
        <w:t>(B)</w:t>
      </w:r>
      <w:r>
        <w:rPr>
          <w:rFonts w:ascii="Times New Roman" w:eastAsia="Times New Roman" w:hAnsi="Times New Roman" w:cs="Times New Roman"/>
          <w:sz w:val="26"/>
          <w:szCs w:val="24"/>
        </w:rPr>
        <w:tab/>
        <w:t xml:space="preserve">The superior court also may lower the bond amount to an amount that will not cause </w:t>
      </w:r>
      <w:bookmarkStart w:id="100" w:name="_DV_C60"/>
      <w:r>
        <w:rPr>
          <w:rStyle w:val="DeltaViewDeletion"/>
          <w:rFonts w:ascii="Times New Roman" w:eastAsia="Times New Roman" w:hAnsi="Times New Roman" w:cs="Times New Roman"/>
          <w:color w:val="auto"/>
          <w:sz w:val="26"/>
          <w:szCs w:val="24"/>
        </w:rPr>
        <w:t>an appellant</w:t>
      </w:r>
      <w:bookmarkStart w:id="101" w:name="_DV_C61"/>
      <w:bookmarkEnd w:id="100"/>
      <w:r>
        <w:rPr>
          <w:rStyle w:val="DeltaViewInsertion"/>
          <w:rFonts w:ascii="Times New Roman" w:eastAsia="Times New Roman" w:hAnsi="Times New Roman" w:cs="Times New Roman"/>
          <w:color w:val="auto"/>
          <w:sz w:val="26"/>
          <w:szCs w:val="24"/>
        </w:rPr>
        <w:t>a requesting party</w:t>
      </w:r>
      <w:bookmarkStart w:id="102" w:name="_DV_M46"/>
      <w:bookmarkEnd w:id="101"/>
      <w:bookmarkEnd w:id="102"/>
      <w:r>
        <w:rPr>
          <w:rFonts w:ascii="Times New Roman" w:eastAsia="Times New Roman" w:hAnsi="Times New Roman" w:cs="Times New Roman"/>
          <w:sz w:val="26"/>
          <w:szCs w:val="24"/>
        </w:rPr>
        <w:t xml:space="preserve"> substantial economic harm</w:t>
      </w:r>
      <w:bookmarkStart w:id="103" w:name="_DV_C62"/>
      <w:r>
        <w:rPr>
          <w:rStyle w:val="DeltaViewDeletion"/>
          <w:rFonts w:ascii="Times New Roman" w:eastAsia="Times New Roman" w:hAnsi="Times New Roman" w:cs="Times New Roman"/>
          <w:color w:val="auto"/>
          <w:sz w:val="26"/>
          <w:szCs w:val="24"/>
        </w:rPr>
        <w:t xml:space="preserve"> if the appellant</w:t>
      </w:r>
      <w:bookmarkStart w:id="104" w:name="_DV_C63"/>
      <w:bookmarkEnd w:id="103"/>
      <w:r>
        <w:rPr>
          <w:rStyle w:val="DeltaViewInsertion"/>
          <w:rFonts w:ascii="Times New Roman" w:eastAsia="Times New Roman" w:hAnsi="Times New Roman" w:cs="Times New Roman"/>
          <w:color w:val="auto"/>
          <w:sz w:val="26"/>
          <w:szCs w:val="24"/>
        </w:rPr>
        <w:t>, or may modify or reduce any other security required under these rules, if the requesting party</w:t>
      </w:r>
      <w:bookmarkStart w:id="105" w:name="_DV_M47"/>
      <w:bookmarkEnd w:id="104"/>
      <w:bookmarkEnd w:id="105"/>
      <w:r>
        <w:rPr>
          <w:rFonts w:ascii="Times New Roman" w:eastAsia="Times New Roman" w:hAnsi="Times New Roman" w:cs="Times New Roman"/>
          <w:sz w:val="26"/>
          <w:szCs w:val="24"/>
        </w:rPr>
        <w:t xml:space="preserve"> proves by clear and convincing evidence that </w:t>
      </w:r>
      <w:bookmarkStart w:id="106" w:name="_DV_C64"/>
      <w:r>
        <w:rPr>
          <w:rStyle w:val="DeltaViewDeletion"/>
          <w:rFonts w:ascii="Times New Roman" w:eastAsia="Times New Roman" w:hAnsi="Times New Roman" w:cs="Times New Roman"/>
          <w:color w:val="auto"/>
          <w:sz w:val="26"/>
          <w:szCs w:val="24"/>
        </w:rPr>
        <w:t>the appellant</w:t>
      </w:r>
      <w:bookmarkStart w:id="107" w:name="_DV_C65"/>
      <w:bookmarkEnd w:id="106"/>
      <w:r>
        <w:rPr>
          <w:rStyle w:val="DeltaViewInsertion"/>
          <w:rFonts w:ascii="Times New Roman" w:eastAsia="Times New Roman" w:hAnsi="Times New Roman" w:cs="Times New Roman"/>
          <w:color w:val="auto"/>
          <w:sz w:val="26"/>
          <w:szCs w:val="24"/>
        </w:rPr>
        <w:t>it</w:t>
      </w:r>
      <w:bookmarkStart w:id="108" w:name="_DV_M48"/>
      <w:bookmarkEnd w:id="107"/>
      <w:bookmarkEnd w:id="108"/>
      <w:r>
        <w:rPr>
          <w:rFonts w:ascii="Times New Roman" w:eastAsia="Times New Roman" w:hAnsi="Times New Roman" w:cs="Times New Roman"/>
          <w:sz w:val="26"/>
          <w:szCs w:val="24"/>
        </w:rPr>
        <w:t xml:space="preserve"> is likely to suffer substantial economic harm if required to post a bond in the amount </w:t>
      </w:r>
      <w:bookmarkStart w:id="109" w:name="_DV_C66"/>
      <w:r>
        <w:rPr>
          <w:rStyle w:val="DeltaViewDeletion"/>
          <w:rFonts w:ascii="Times New Roman" w:eastAsia="Times New Roman" w:hAnsi="Times New Roman" w:cs="Times New Roman"/>
          <w:color w:val="auto"/>
          <w:sz w:val="26"/>
          <w:szCs w:val="24"/>
        </w:rPr>
        <w:t>set</w:t>
      </w:r>
      <w:bookmarkStart w:id="110" w:name="_DV_C67"/>
      <w:bookmarkEnd w:id="109"/>
      <w:r>
        <w:rPr>
          <w:rStyle w:val="DeltaViewInsertion"/>
          <w:rFonts w:ascii="Times New Roman" w:eastAsia="Times New Roman" w:hAnsi="Times New Roman" w:cs="Times New Roman"/>
          <w:color w:val="auto"/>
          <w:sz w:val="26"/>
          <w:szCs w:val="24"/>
        </w:rPr>
        <w:t>required</w:t>
      </w:r>
      <w:bookmarkStart w:id="111" w:name="_DV_M49"/>
      <w:bookmarkEnd w:id="110"/>
      <w:bookmarkEnd w:id="111"/>
      <w:r>
        <w:rPr>
          <w:rFonts w:ascii="Times New Roman" w:eastAsia="Times New Roman" w:hAnsi="Times New Roman" w:cs="Times New Roman"/>
          <w:sz w:val="26"/>
          <w:szCs w:val="24"/>
        </w:rPr>
        <w:t xml:space="preserve"> under Rule 7(a)(4)</w:t>
      </w:r>
      <w:bookmarkStart w:id="112" w:name="_DV_C68"/>
      <w:r>
        <w:rPr>
          <w:rStyle w:val="DeltaViewInsertion"/>
          <w:rFonts w:ascii="Times New Roman" w:eastAsia="Times New Roman" w:hAnsi="Times New Roman" w:cs="Times New Roman"/>
          <w:color w:val="auto"/>
          <w:sz w:val="26"/>
          <w:szCs w:val="24"/>
        </w:rPr>
        <w:t xml:space="preserve"> through (7)</w:t>
      </w:r>
      <w:bookmarkStart w:id="113" w:name="_DV_M50"/>
      <w:bookmarkEnd w:id="112"/>
      <w:bookmarkEnd w:id="113"/>
      <w:r>
        <w:rPr>
          <w:rFonts w:ascii="Times New Roman" w:eastAsia="Times New Roman" w:hAnsi="Times New Roman" w:cs="Times New Roman"/>
          <w:sz w:val="26"/>
          <w:szCs w:val="24"/>
        </w:rPr>
        <w:t>.</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14" w:name="_DV_M51"/>
      <w:bookmarkEnd w:id="114"/>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In determining the amount of the bond, the superior court may consider whether there is other security for the judgment, or whether the sheriff or the court has custody of any of the property in controversy.</w:t>
      </w:r>
    </w:p>
    <w:p w:rsidR="005A7492" w:rsidRDefault="006B6D4D">
      <w:pPr>
        <w:keepNext/>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15" w:name="_DV_M52"/>
      <w:bookmarkEnd w:id="115"/>
      <w:r>
        <w:rPr>
          <w:rFonts w:ascii="Times New Roman" w:eastAsia="Times New Roman" w:hAnsi="Times New Roman" w:cs="Times New Roman"/>
          <w:b/>
          <w:sz w:val="26"/>
          <w:szCs w:val="24"/>
        </w:rPr>
        <w:t>(</w:t>
      </w:r>
      <w:bookmarkStart w:id="116" w:name="_DV_C69"/>
      <w:r>
        <w:rPr>
          <w:rStyle w:val="DeltaViewDeletion"/>
          <w:rFonts w:ascii="Times New Roman" w:eastAsia="Times New Roman" w:hAnsi="Times New Roman" w:cs="Times New Roman"/>
          <w:b/>
          <w:color w:val="auto"/>
          <w:sz w:val="26"/>
          <w:szCs w:val="24"/>
        </w:rPr>
        <w:t>6</w:t>
      </w:r>
      <w:bookmarkStart w:id="117" w:name="_DV_C70"/>
      <w:bookmarkEnd w:id="116"/>
      <w:r>
        <w:rPr>
          <w:rStyle w:val="DeltaViewInsertion"/>
          <w:rFonts w:ascii="Times New Roman" w:eastAsia="Times New Roman" w:hAnsi="Times New Roman" w:cs="Times New Roman"/>
          <w:b/>
          <w:color w:val="auto"/>
          <w:sz w:val="26"/>
          <w:szCs w:val="24"/>
        </w:rPr>
        <w:t>10</w:t>
      </w:r>
      <w:bookmarkStart w:id="118" w:name="_DV_M53"/>
      <w:bookmarkEnd w:id="117"/>
      <w:bookmarkEnd w:id="118"/>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Objections to the Bond.</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19" w:name="_DV_M55"/>
      <w:bookmarkEnd w:id="119"/>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The </w:t>
      </w:r>
      <w:bookmarkStart w:id="120" w:name="_DV_C71"/>
      <w:r>
        <w:rPr>
          <w:rStyle w:val="DeltaViewDeletion"/>
          <w:rFonts w:ascii="Times New Roman" w:eastAsia="Times New Roman" w:hAnsi="Times New Roman" w:cs="Times New Roman"/>
          <w:color w:val="auto"/>
          <w:sz w:val="26"/>
          <w:szCs w:val="24"/>
        </w:rPr>
        <w:t>appellant</w:t>
      </w:r>
      <w:bookmarkStart w:id="121" w:name="_DV_C72"/>
      <w:bookmarkEnd w:id="120"/>
      <w:r>
        <w:rPr>
          <w:rStyle w:val="DeltaViewInsertion"/>
          <w:rFonts w:ascii="Times New Roman" w:eastAsia="Times New Roman" w:hAnsi="Times New Roman" w:cs="Times New Roman"/>
          <w:color w:val="auto"/>
          <w:sz w:val="26"/>
          <w:szCs w:val="24"/>
        </w:rPr>
        <w:t>requesting party</w:t>
      </w:r>
      <w:bookmarkStart w:id="122" w:name="_DV_M56"/>
      <w:bookmarkEnd w:id="121"/>
      <w:bookmarkEnd w:id="122"/>
      <w:r>
        <w:rPr>
          <w:rFonts w:ascii="Times New Roman" w:eastAsia="Times New Roman" w:hAnsi="Times New Roman" w:cs="Times New Roman"/>
          <w:sz w:val="26"/>
          <w:szCs w:val="24"/>
        </w:rPr>
        <w:t xml:space="preserve"> must serve a copy of the bond</w:t>
      </w:r>
      <w:bookmarkStart w:id="123" w:name="_DV_C73"/>
      <w:r>
        <w:rPr>
          <w:rStyle w:val="DeltaViewInsertion"/>
          <w:rFonts w:ascii="Times New Roman" w:eastAsia="Times New Roman" w:hAnsi="Times New Roman" w:cs="Times New Roman"/>
          <w:color w:val="auto"/>
          <w:sz w:val="26"/>
          <w:szCs w:val="24"/>
        </w:rPr>
        <w:t>, and serve a copy of or provide an adequate description of other security,</w:t>
      </w:r>
      <w:bookmarkStart w:id="124" w:name="_DV_M57"/>
      <w:bookmarkEnd w:id="123"/>
      <w:bookmarkEnd w:id="124"/>
      <w:r>
        <w:rPr>
          <w:rStyle w:val="FootnoteReference"/>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 xml:space="preserve">on the other parties before </w:t>
      </w:r>
      <w:bookmarkStart w:id="125" w:name="_DV_C74"/>
      <w:r>
        <w:rPr>
          <w:rStyle w:val="DeltaViewDeletion"/>
          <w:rFonts w:ascii="Times New Roman" w:eastAsia="Times New Roman" w:hAnsi="Times New Roman" w:cs="Times New Roman"/>
          <w:color w:val="auto"/>
          <w:sz w:val="26"/>
          <w:szCs w:val="24"/>
        </w:rPr>
        <w:t xml:space="preserve">filing </w:t>
      </w:r>
      <w:bookmarkStart w:id="126" w:name="_DV_M58"/>
      <w:bookmarkEnd w:id="125"/>
      <w:bookmarkEnd w:id="126"/>
      <w:r>
        <w:rPr>
          <w:rFonts w:ascii="Times New Roman" w:eastAsia="Times New Roman" w:hAnsi="Times New Roman" w:cs="Times New Roman"/>
          <w:sz w:val="26"/>
          <w:szCs w:val="24"/>
        </w:rPr>
        <w:t>the bond</w:t>
      </w:r>
      <w:bookmarkStart w:id="127" w:name="_DV_C75"/>
      <w:r>
        <w:rPr>
          <w:rStyle w:val="DeltaViewInsertion"/>
          <w:rFonts w:ascii="Times New Roman" w:eastAsia="Times New Roman" w:hAnsi="Times New Roman" w:cs="Times New Roman"/>
          <w:color w:val="auto"/>
          <w:sz w:val="26"/>
          <w:szCs w:val="24"/>
        </w:rPr>
        <w:t xml:space="preserve"> is filed or other security is deposited</w:t>
      </w:r>
      <w:bookmarkStart w:id="128" w:name="_DV_M59"/>
      <w:bookmarkEnd w:id="127"/>
      <w:bookmarkEnd w:id="128"/>
      <w:r>
        <w:rPr>
          <w:rFonts w:ascii="Times New Roman" w:eastAsia="Times New Roman" w:hAnsi="Times New Roman" w:cs="Times New Roman"/>
          <w:sz w:val="26"/>
          <w:szCs w:val="24"/>
        </w:rPr>
        <w:t xml:space="preserve"> with the superior court clerk.</w:t>
      </w:r>
      <w:r>
        <w:rPr>
          <w:rStyle w:val="FootnoteReference"/>
          <w:rFonts w:ascii="Times New Roman" w:eastAsia="Times New Roman" w:hAnsi="Times New Roman" w:cs="Times New Roman"/>
          <w:sz w:val="26"/>
          <w:szCs w:val="24"/>
        </w:rPr>
        <w:t xml:space="preserve"> </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29" w:name="_DV_M60"/>
      <w:bookmarkEnd w:id="129"/>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Any party may file objections within 5 days after the </w:t>
      </w:r>
      <w:bookmarkStart w:id="130" w:name="_DV_C76"/>
      <w:r>
        <w:rPr>
          <w:rStyle w:val="DeltaViewDeletion"/>
          <w:rFonts w:ascii="Times New Roman" w:eastAsia="Times New Roman" w:hAnsi="Times New Roman" w:cs="Times New Roman"/>
          <w:color w:val="auto"/>
          <w:sz w:val="26"/>
          <w:szCs w:val="24"/>
        </w:rPr>
        <w:t>appellant</w:t>
      </w:r>
      <w:bookmarkStart w:id="131" w:name="_DV_C77"/>
      <w:bookmarkEnd w:id="130"/>
      <w:r>
        <w:rPr>
          <w:rStyle w:val="DeltaViewInsertion"/>
          <w:rFonts w:ascii="Times New Roman" w:eastAsia="Times New Roman" w:hAnsi="Times New Roman" w:cs="Times New Roman"/>
          <w:color w:val="auto"/>
          <w:sz w:val="26"/>
          <w:szCs w:val="24"/>
        </w:rPr>
        <w:t>requesting party</w:t>
      </w:r>
      <w:bookmarkStart w:id="132" w:name="_DV_M61"/>
      <w:bookmarkEnd w:id="131"/>
      <w:bookmarkEnd w:id="132"/>
      <w:r>
        <w:rPr>
          <w:rFonts w:ascii="Times New Roman" w:eastAsia="Times New Roman" w:hAnsi="Times New Roman" w:cs="Times New Roman"/>
          <w:sz w:val="26"/>
          <w:szCs w:val="24"/>
        </w:rPr>
        <w:t xml:space="preserve"> serves a copy of the bond, specifying reasons why the bond is erroneous or defective, or why the surety</w:t>
      </w:r>
      <w:bookmarkStart w:id="133" w:name="_DV_C78"/>
      <w:r>
        <w:rPr>
          <w:rStyle w:val="DeltaViewInsertion"/>
          <w:rFonts w:ascii="Times New Roman" w:eastAsia="Times New Roman" w:hAnsi="Times New Roman" w:cs="Times New Roman"/>
          <w:color w:val="auto"/>
          <w:sz w:val="26"/>
          <w:szCs w:val="24"/>
        </w:rPr>
        <w:t xml:space="preserve"> or other security provider</w:t>
      </w:r>
      <w:bookmarkStart w:id="134" w:name="_DV_M62"/>
      <w:bookmarkEnd w:id="133"/>
      <w:bookmarkEnd w:id="134"/>
      <w:r>
        <w:rPr>
          <w:rFonts w:ascii="Times New Roman" w:eastAsia="Times New Roman" w:hAnsi="Times New Roman" w:cs="Times New Roman"/>
          <w:sz w:val="26"/>
          <w:szCs w:val="24"/>
        </w:rPr>
        <w:t xml:space="preserve"> is unqualified. If the court made an ex parte determination of the </w:t>
      </w:r>
      <w:bookmarkStart w:id="135" w:name="_DV_C79"/>
      <w:r>
        <w:rPr>
          <w:rStyle w:val="DeltaViewDeletion"/>
          <w:rFonts w:ascii="Times New Roman" w:eastAsia="Times New Roman" w:hAnsi="Times New Roman" w:cs="Times New Roman"/>
          <w:color w:val="auto"/>
          <w:sz w:val="26"/>
          <w:szCs w:val="24"/>
        </w:rPr>
        <w:t xml:space="preserve">bond </w:t>
      </w:r>
      <w:bookmarkStart w:id="136" w:name="_DV_M63"/>
      <w:bookmarkEnd w:id="135"/>
      <w:bookmarkEnd w:id="136"/>
      <w:r>
        <w:rPr>
          <w:rFonts w:ascii="Times New Roman" w:eastAsia="Times New Roman" w:hAnsi="Times New Roman" w:cs="Times New Roman"/>
          <w:sz w:val="26"/>
          <w:szCs w:val="24"/>
        </w:rPr>
        <w:t>amount</w:t>
      </w:r>
      <w:bookmarkStart w:id="137" w:name="_DV_C80"/>
      <w:r>
        <w:rPr>
          <w:rStyle w:val="DeltaViewDeletion"/>
          <w:rFonts w:ascii="Times New Roman" w:eastAsia="Times New Roman" w:hAnsi="Times New Roman" w:cs="Times New Roman"/>
          <w:color w:val="auto"/>
          <w:sz w:val="26"/>
          <w:szCs w:val="24"/>
        </w:rPr>
        <w:t>, a party</w:t>
      </w:r>
      <w:bookmarkStart w:id="138" w:name="_DV_C81"/>
      <w:bookmarkEnd w:id="137"/>
      <w:r>
        <w:rPr>
          <w:rStyle w:val="DeltaViewInsertion"/>
          <w:rFonts w:ascii="Times New Roman" w:eastAsia="Times New Roman" w:hAnsi="Times New Roman" w:cs="Times New Roman"/>
          <w:color w:val="auto"/>
          <w:sz w:val="26"/>
          <w:szCs w:val="24"/>
        </w:rPr>
        <w:t xml:space="preserve"> of the bond, any</w:t>
      </w:r>
      <w:bookmarkStart w:id="139" w:name="_DV_M64"/>
      <w:bookmarkEnd w:id="138"/>
      <w:bookmarkEnd w:id="139"/>
      <w:r>
        <w:rPr>
          <w:rFonts w:ascii="Times New Roman" w:eastAsia="Times New Roman" w:hAnsi="Times New Roman" w:cs="Times New Roman"/>
          <w:sz w:val="26"/>
          <w:szCs w:val="24"/>
        </w:rPr>
        <w:t xml:space="preserve"> other </w:t>
      </w:r>
      <w:bookmarkStart w:id="140" w:name="_DV_C82"/>
      <w:r>
        <w:rPr>
          <w:rStyle w:val="DeltaViewDeletion"/>
          <w:rFonts w:ascii="Times New Roman" w:eastAsia="Times New Roman" w:hAnsi="Times New Roman" w:cs="Times New Roman"/>
          <w:color w:val="auto"/>
          <w:sz w:val="26"/>
          <w:szCs w:val="24"/>
        </w:rPr>
        <w:t>than the appellant also</w:t>
      </w:r>
      <w:bookmarkStart w:id="141" w:name="_DV_C83"/>
      <w:bookmarkEnd w:id="140"/>
      <w:r>
        <w:rPr>
          <w:rStyle w:val="DeltaViewInsertion"/>
          <w:rFonts w:ascii="Times New Roman" w:eastAsia="Times New Roman" w:hAnsi="Times New Roman" w:cs="Times New Roman"/>
          <w:color w:val="auto"/>
          <w:sz w:val="26"/>
          <w:szCs w:val="24"/>
        </w:rPr>
        <w:t>party</w:t>
      </w:r>
      <w:bookmarkStart w:id="142" w:name="_DV_M65"/>
      <w:bookmarkEnd w:id="141"/>
      <w:bookmarkEnd w:id="142"/>
      <w:r>
        <w:rPr>
          <w:rFonts w:ascii="Times New Roman" w:eastAsia="Times New Roman" w:hAnsi="Times New Roman" w:cs="Times New Roman"/>
          <w:sz w:val="26"/>
          <w:szCs w:val="24"/>
        </w:rPr>
        <w:t xml:space="preserve"> may object to the sufficiency of the amount. A party waives any errors, defects, or insufficiencies in a supersedeas bond that are not specified in timely filed objections.</w:t>
      </w:r>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rPr>
      </w:pPr>
      <w:bookmarkStart w:id="143" w:name="_DV_M66"/>
      <w:bookmarkEnd w:id="143"/>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If no party has timely objected, the </w:t>
      </w:r>
      <w:bookmarkStart w:id="144" w:name="_DV_C84"/>
      <w:r>
        <w:rPr>
          <w:rStyle w:val="DeltaViewDeletion"/>
          <w:rFonts w:ascii="Times New Roman" w:eastAsia="Times New Roman" w:hAnsi="Times New Roman" w:cs="Times New Roman"/>
          <w:color w:val="auto"/>
          <w:sz w:val="26"/>
          <w:szCs w:val="24"/>
        </w:rPr>
        <w:t>appellant</w:t>
      </w:r>
      <w:bookmarkStart w:id="145" w:name="_DV_C85"/>
      <w:bookmarkEnd w:id="144"/>
      <w:r>
        <w:rPr>
          <w:rStyle w:val="DeltaViewInsertion"/>
          <w:rFonts w:ascii="Times New Roman" w:eastAsia="Times New Roman" w:hAnsi="Times New Roman" w:cs="Times New Roman"/>
          <w:color w:val="auto"/>
          <w:sz w:val="26"/>
          <w:szCs w:val="24"/>
        </w:rPr>
        <w:t>requesting party</w:t>
      </w:r>
      <w:bookmarkStart w:id="146" w:name="_DV_M67"/>
      <w:bookmarkEnd w:id="145"/>
      <w:bookmarkEnd w:id="146"/>
      <w:r>
        <w:rPr>
          <w:rFonts w:ascii="Times New Roman" w:eastAsia="Times New Roman" w:hAnsi="Times New Roman" w:cs="Times New Roman"/>
          <w:sz w:val="26"/>
          <w:szCs w:val="24"/>
        </w:rPr>
        <w:t xml:space="preserve"> may file the bond</w:t>
      </w:r>
      <w:bookmarkStart w:id="147" w:name="_DV_C86"/>
      <w:r>
        <w:rPr>
          <w:rStyle w:val="DeltaViewInsertion"/>
          <w:rFonts w:ascii="Times New Roman" w:eastAsia="Times New Roman" w:hAnsi="Times New Roman" w:cs="Times New Roman"/>
          <w:color w:val="auto"/>
          <w:sz w:val="26"/>
          <w:szCs w:val="24"/>
        </w:rPr>
        <w:t>, or deposit other security as ordered by the superior court,</w:t>
      </w:r>
      <w:bookmarkStart w:id="148" w:name="_DV_M68"/>
      <w:bookmarkEnd w:id="147"/>
      <w:bookmarkEnd w:id="148"/>
      <w:r>
        <w:rPr>
          <w:rFonts w:ascii="Times New Roman" w:eastAsia="Times New Roman" w:hAnsi="Times New Roman" w:cs="Times New Roman"/>
          <w:sz w:val="26"/>
          <w:szCs w:val="24"/>
        </w:rPr>
        <w:t xml:space="preserve"> with the superior court clerk. Otherwise, the superior court will hold a hearing within 10 days after service of objections. The </w:t>
      </w:r>
      <w:bookmarkStart w:id="149" w:name="_DV_C87"/>
      <w:r>
        <w:rPr>
          <w:rStyle w:val="DeltaViewDeletion"/>
          <w:rFonts w:ascii="Times New Roman" w:eastAsia="Times New Roman" w:hAnsi="Times New Roman" w:cs="Times New Roman"/>
          <w:color w:val="auto"/>
          <w:sz w:val="26"/>
          <w:szCs w:val="24"/>
        </w:rPr>
        <w:t>appellant</w:t>
      </w:r>
      <w:bookmarkStart w:id="150" w:name="_DV_C88"/>
      <w:bookmarkEnd w:id="149"/>
      <w:r>
        <w:rPr>
          <w:rStyle w:val="DeltaViewInsertion"/>
          <w:rFonts w:ascii="Times New Roman" w:eastAsia="Times New Roman" w:hAnsi="Times New Roman" w:cs="Times New Roman"/>
          <w:color w:val="auto"/>
          <w:sz w:val="26"/>
          <w:szCs w:val="24"/>
        </w:rPr>
        <w:t>requesting party</w:t>
      </w:r>
      <w:bookmarkStart w:id="151" w:name="_DV_M69"/>
      <w:bookmarkEnd w:id="150"/>
      <w:bookmarkEnd w:id="151"/>
      <w:r>
        <w:rPr>
          <w:rFonts w:ascii="Times New Roman" w:eastAsia="Times New Roman" w:hAnsi="Times New Roman" w:cs="Times New Roman"/>
          <w:sz w:val="26"/>
          <w:szCs w:val="24"/>
        </w:rPr>
        <w:t xml:space="preserve"> may file the bond </w:t>
      </w:r>
      <w:bookmarkStart w:id="152" w:name="_DV_C89"/>
      <w:r>
        <w:rPr>
          <w:rStyle w:val="DeltaViewInsertion"/>
          <w:rFonts w:ascii="Times New Roman" w:eastAsia="Times New Roman" w:hAnsi="Times New Roman" w:cs="Times New Roman"/>
          <w:color w:val="auto"/>
          <w:sz w:val="26"/>
          <w:szCs w:val="24"/>
        </w:rPr>
        <w:t xml:space="preserve">or deposit other security </w:t>
      </w:r>
      <w:bookmarkStart w:id="153" w:name="_DV_M70"/>
      <w:bookmarkEnd w:id="152"/>
      <w:bookmarkEnd w:id="153"/>
      <w:r>
        <w:rPr>
          <w:rFonts w:ascii="Times New Roman" w:eastAsia="Times New Roman" w:hAnsi="Times New Roman" w:cs="Times New Roman"/>
          <w:sz w:val="26"/>
          <w:szCs w:val="24"/>
        </w:rPr>
        <w:t>with the superior court clerk after the hearing on those objections, as allowed by the superior court.</w:t>
      </w:r>
    </w:p>
    <w:p w:rsidR="005A7492" w:rsidRDefault="006B6D4D">
      <w:pPr>
        <w:widowControl/>
        <w:tabs>
          <w:tab w:val="left" w:pos="389"/>
          <w:tab w:val="left" w:pos="605"/>
          <w:tab w:val="left" w:pos="907"/>
          <w:tab w:val="left" w:pos="1037"/>
          <w:tab w:val="left" w:pos="1368"/>
        </w:tabs>
        <w:spacing w:after="120" w:line="240" w:lineRule="auto"/>
        <w:ind w:left="907" w:hanging="518"/>
        <w:jc w:val="both"/>
        <w:rPr>
          <w:rFonts w:ascii="Times New Roman" w:eastAsia="Times New Roman" w:hAnsi="Times New Roman" w:cs="Times New Roman"/>
          <w:sz w:val="26"/>
          <w:szCs w:val="24"/>
        </w:rPr>
      </w:pPr>
      <w:bookmarkStart w:id="154" w:name="_DV_M71"/>
      <w:bookmarkEnd w:id="154"/>
      <w:r>
        <w:rPr>
          <w:rFonts w:ascii="Times New Roman" w:eastAsia="Times New Roman" w:hAnsi="Times New Roman" w:cs="Times New Roman"/>
          <w:b/>
          <w:sz w:val="26"/>
          <w:szCs w:val="24"/>
        </w:rPr>
        <w:t>(</w:t>
      </w:r>
      <w:bookmarkStart w:id="155" w:name="_DV_C90"/>
      <w:r>
        <w:rPr>
          <w:rStyle w:val="DeltaViewDeletion"/>
          <w:rFonts w:ascii="Times New Roman" w:eastAsia="Times New Roman" w:hAnsi="Times New Roman" w:cs="Times New Roman"/>
          <w:b/>
          <w:color w:val="auto"/>
          <w:sz w:val="26"/>
          <w:szCs w:val="24"/>
        </w:rPr>
        <w:t>7</w:t>
      </w:r>
      <w:bookmarkStart w:id="156" w:name="_DV_C91"/>
      <w:bookmarkEnd w:id="155"/>
      <w:r>
        <w:rPr>
          <w:rStyle w:val="DeltaViewInsertion"/>
          <w:rFonts w:ascii="Times New Roman" w:eastAsia="Times New Roman" w:hAnsi="Times New Roman" w:cs="Times New Roman"/>
          <w:b/>
          <w:color w:val="auto"/>
          <w:sz w:val="26"/>
          <w:szCs w:val="24"/>
        </w:rPr>
        <w:t>11</w:t>
      </w:r>
      <w:bookmarkStart w:id="157" w:name="_DV_M72"/>
      <w:bookmarkEnd w:id="156"/>
      <w:bookmarkEnd w:id="157"/>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Notice of </w:t>
      </w:r>
      <w:bookmarkStart w:id="158" w:name="_DV_C92"/>
      <w:r>
        <w:rPr>
          <w:rStyle w:val="DeltaViewDeletion"/>
          <w:rFonts w:ascii="Times New Roman" w:eastAsia="Times New Roman" w:hAnsi="Times New Roman" w:cs="Times New Roman"/>
          <w:b/>
          <w:i/>
          <w:color w:val="auto"/>
          <w:sz w:val="26"/>
          <w:szCs w:val="24"/>
        </w:rPr>
        <w:t>Filing</w:t>
      </w:r>
      <w:bookmarkStart w:id="159" w:name="_DV_C93"/>
      <w:bookmarkEnd w:id="158"/>
      <w:r>
        <w:rPr>
          <w:rStyle w:val="DeltaViewInsertion"/>
          <w:rFonts w:ascii="Times New Roman" w:eastAsia="Times New Roman" w:hAnsi="Times New Roman" w:cs="Times New Roman"/>
          <w:b/>
          <w:i/>
          <w:color w:val="auto"/>
          <w:sz w:val="26"/>
          <w:szCs w:val="24"/>
        </w:rPr>
        <w:t>Bond or Other Security</w:t>
      </w:r>
      <w:bookmarkStart w:id="160" w:name="_DV_M74"/>
      <w:bookmarkEnd w:id="159"/>
      <w:bookmarkEnd w:id="160"/>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The superior court clerk will distribute a notice to all other parties if </w:t>
      </w:r>
      <w:bookmarkStart w:id="161" w:name="_DV_C94"/>
      <w:r>
        <w:rPr>
          <w:rStyle w:val="DeltaViewDeletion"/>
          <w:rFonts w:ascii="Times New Roman" w:eastAsia="Times New Roman" w:hAnsi="Times New Roman" w:cs="Times New Roman"/>
          <w:color w:val="auto"/>
          <w:sz w:val="26"/>
          <w:szCs w:val="24"/>
        </w:rPr>
        <w:t>the appellant files a supersedeas</w:t>
      </w:r>
      <w:bookmarkStart w:id="162" w:name="_DV_C95"/>
      <w:bookmarkEnd w:id="161"/>
      <w:r>
        <w:rPr>
          <w:rStyle w:val="DeltaViewInsertion"/>
          <w:rFonts w:ascii="Times New Roman" w:eastAsia="Times New Roman" w:hAnsi="Times New Roman" w:cs="Times New Roman"/>
          <w:color w:val="auto"/>
          <w:sz w:val="26"/>
          <w:szCs w:val="24"/>
        </w:rPr>
        <w:t>a</w:t>
      </w:r>
      <w:bookmarkStart w:id="163" w:name="_DV_M76"/>
      <w:bookmarkEnd w:id="162"/>
      <w:bookmarkEnd w:id="163"/>
      <w:r>
        <w:rPr>
          <w:rFonts w:ascii="Times New Roman" w:eastAsia="Times New Roman" w:hAnsi="Times New Roman" w:cs="Times New Roman"/>
          <w:sz w:val="26"/>
          <w:szCs w:val="24"/>
        </w:rPr>
        <w:t xml:space="preserve"> bond</w:t>
      </w:r>
      <w:bookmarkStart w:id="164" w:name="_DV_C96"/>
      <w:r>
        <w:rPr>
          <w:rStyle w:val="DeltaViewDeletion"/>
          <w:rFonts w:ascii="Times New Roman" w:eastAsia="Times New Roman" w:hAnsi="Times New Roman" w:cs="Times New Roman"/>
          <w:color w:val="auto"/>
          <w:sz w:val="26"/>
          <w:szCs w:val="24"/>
        </w:rPr>
        <w:t>.</w:t>
      </w:r>
      <w:bookmarkStart w:id="165" w:name="_DV_C97"/>
      <w:bookmarkEnd w:id="164"/>
      <w:r>
        <w:rPr>
          <w:rStyle w:val="DeltaViewInsertion"/>
          <w:rFonts w:ascii="Times New Roman" w:eastAsia="Times New Roman" w:hAnsi="Times New Roman" w:cs="Times New Roman"/>
          <w:color w:val="auto"/>
          <w:sz w:val="26"/>
          <w:szCs w:val="24"/>
        </w:rPr>
        <w:t xml:space="preserve"> is filed or other security is deposited. </w:t>
      </w:r>
      <w:bookmarkEnd w:id="165"/>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i/>
          <w:sz w:val="26"/>
          <w:szCs w:val="24"/>
        </w:rPr>
      </w:pPr>
      <w:bookmarkStart w:id="166" w:name="_DV_M78"/>
      <w:bookmarkEnd w:id="166"/>
      <w:r>
        <w:rPr>
          <w:rFonts w:ascii="Times New Roman" w:eastAsia="Times New Roman" w:hAnsi="Times New Roman" w:cs="Times New Roman"/>
          <w:b/>
          <w:sz w:val="26"/>
          <w:szCs w:val="24"/>
        </w:rPr>
        <w:lastRenderedPageBreak/>
        <w:t>(b)</w:t>
      </w:r>
      <w:r>
        <w:rPr>
          <w:rFonts w:ascii="Times New Roman" w:eastAsia="Times New Roman" w:hAnsi="Times New Roman" w:cs="Times New Roman"/>
          <w:b/>
          <w:sz w:val="26"/>
          <w:szCs w:val="24"/>
        </w:rPr>
        <w:tab/>
        <w:t xml:space="preserve">Effect </w:t>
      </w:r>
      <w:r w:rsidR="00E411CF">
        <w:rPr>
          <w:rFonts w:ascii="Times New Roman" w:eastAsia="Times New Roman" w:hAnsi="Times New Roman" w:cs="Times New Roman"/>
          <w:b/>
          <w:sz w:val="26"/>
          <w:szCs w:val="24"/>
          <w:u w:val="double"/>
        </w:rPr>
        <w:t xml:space="preserve">and Duration </w:t>
      </w:r>
      <w:r>
        <w:rPr>
          <w:rFonts w:ascii="Times New Roman" w:eastAsia="Times New Roman" w:hAnsi="Times New Roman" w:cs="Times New Roman"/>
          <w:b/>
          <w:sz w:val="26"/>
          <w:szCs w:val="24"/>
        </w:rPr>
        <w:t>of a Stay</w:t>
      </w:r>
      <w:r>
        <w:rPr>
          <w:rFonts w:ascii="Times New Roman" w:eastAsia="Times New Roman" w:hAnsi="Times New Roman" w:cs="Times New Roman"/>
          <w:b/>
          <w:i/>
          <w:sz w:val="26"/>
          <w:szCs w:val="24"/>
        </w:rPr>
        <w:t>.</w:t>
      </w:r>
    </w:p>
    <w:p w:rsidR="005A7492" w:rsidRPr="00E411CF"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u w:val="double"/>
        </w:rPr>
      </w:pPr>
      <w:bookmarkStart w:id="167" w:name="_DV_M79"/>
      <w:bookmarkEnd w:id="167"/>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Generally.</w:t>
      </w:r>
      <w:r>
        <w:rPr>
          <w:rFonts w:ascii="Times New Roman" w:eastAsia="Times New Roman" w:hAnsi="Times New Roman" w:cs="Times New Roman"/>
          <w:sz w:val="26"/>
          <w:szCs w:val="24"/>
        </w:rPr>
        <w:t xml:space="preserve">  If </w:t>
      </w:r>
      <w:bookmarkStart w:id="168" w:name="_DV_C98"/>
      <w:r>
        <w:rPr>
          <w:rStyle w:val="DeltaViewDeletion"/>
          <w:rFonts w:ascii="Times New Roman" w:eastAsia="Times New Roman" w:hAnsi="Times New Roman" w:cs="Times New Roman"/>
          <w:color w:val="auto"/>
          <w:sz w:val="26"/>
          <w:szCs w:val="24"/>
        </w:rPr>
        <w:t>an appellant</w:t>
      </w:r>
      <w:bookmarkStart w:id="169" w:name="_DV_C99"/>
      <w:bookmarkEnd w:id="168"/>
      <w:r>
        <w:rPr>
          <w:rStyle w:val="DeltaViewInsertion"/>
          <w:rFonts w:ascii="Times New Roman" w:eastAsia="Times New Roman" w:hAnsi="Times New Roman" w:cs="Times New Roman"/>
          <w:color w:val="auto"/>
          <w:sz w:val="26"/>
          <w:szCs w:val="24"/>
        </w:rPr>
        <w:t>a party requesting a stay</w:t>
      </w:r>
      <w:bookmarkStart w:id="170" w:name="_DV_M80"/>
      <w:bookmarkEnd w:id="169"/>
      <w:bookmarkEnd w:id="170"/>
      <w:r>
        <w:rPr>
          <w:rFonts w:ascii="Times New Roman" w:eastAsia="Times New Roman" w:hAnsi="Times New Roman" w:cs="Times New Roman"/>
          <w:sz w:val="26"/>
          <w:szCs w:val="24"/>
        </w:rPr>
        <w:t xml:space="preserve"> files a supersedeas bond as stipulated or as ordered by the superior court, and</w:t>
      </w:r>
      <w:bookmarkStart w:id="171" w:name="_DV_C100"/>
      <w:r>
        <w:rPr>
          <w:rStyle w:val="DeltaViewDeletion"/>
          <w:rFonts w:ascii="Times New Roman" w:eastAsia="Times New Roman" w:hAnsi="Times New Roman" w:cs="Times New Roman"/>
          <w:color w:val="auto"/>
          <w:sz w:val="26"/>
          <w:szCs w:val="24"/>
        </w:rPr>
        <w:t xml:space="preserve"> if the appellant</w:t>
      </w:r>
      <w:bookmarkStart w:id="172" w:name="_DV_M81"/>
      <w:bookmarkEnd w:id="171"/>
      <w:bookmarkEnd w:id="172"/>
      <w:r>
        <w:rPr>
          <w:rFonts w:ascii="Times New Roman" w:eastAsia="Times New Roman" w:hAnsi="Times New Roman" w:cs="Times New Roman"/>
          <w:sz w:val="26"/>
          <w:szCs w:val="24"/>
        </w:rPr>
        <w:t xml:space="preserve"> has complied with all other conditions imposed by the superior court, then this Rule automatically stays enforcement of, and execution on, the judgment and all proceedings related to the execution on the judgment.</w:t>
      </w:r>
      <w:r w:rsidR="00E411CF">
        <w:rPr>
          <w:rFonts w:ascii="Times New Roman" w:eastAsia="Times New Roman" w:hAnsi="Times New Roman" w:cs="Times New Roman"/>
          <w:sz w:val="26"/>
          <w:szCs w:val="24"/>
        </w:rPr>
        <w:t xml:space="preserve"> </w:t>
      </w:r>
      <w:r w:rsidR="00E411CF">
        <w:rPr>
          <w:rFonts w:ascii="Times New Roman" w:eastAsia="Times New Roman" w:hAnsi="Times New Roman" w:cs="Times New Roman"/>
          <w:sz w:val="26"/>
          <w:szCs w:val="24"/>
          <w:u w:val="double"/>
        </w:rPr>
        <w:t>The stay takes effect when the court approves the supersedeas bond and remains in effect until issuance of the appellate court’s mandate, dismissal of the appeal, or as otherwise specified in the supersedeas bond or ordered by the court.</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73" w:name="_DV_M82"/>
      <w:bookmarkEnd w:id="173"/>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Prior Order.</w:t>
      </w:r>
      <w:r>
        <w:rPr>
          <w:rFonts w:ascii="Times New Roman" w:eastAsia="Times New Roman" w:hAnsi="Times New Roman" w:cs="Times New Roman"/>
          <w:sz w:val="26"/>
          <w:szCs w:val="24"/>
        </w:rPr>
        <w:t xml:space="preserve">  If the superior court has issued an order allowing execution on the judgment before </w:t>
      </w:r>
      <w:bookmarkStart w:id="174" w:name="_DV_C101"/>
      <w:r>
        <w:rPr>
          <w:rStyle w:val="DeltaViewDeletion"/>
          <w:rFonts w:ascii="Times New Roman" w:eastAsia="Times New Roman" w:hAnsi="Times New Roman" w:cs="Times New Roman"/>
          <w:color w:val="auto"/>
          <w:sz w:val="26"/>
          <w:szCs w:val="24"/>
        </w:rPr>
        <w:t xml:space="preserve">the filing of </w:t>
      </w:r>
      <w:bookmarkStart w:id="175" w:name="_DV_M83"/>
      <w:bookmarkEnd w:id="174"/>
      <w:bookmarkEnd w:id="175"/>
      <w:r>
        <w:rPr>
          <w:rFonts w:ascii="Times New Roman" w:eastAsia="Times New Roman" w:hAnsi="Times New Roman" w:cs="Times New Roman"/>
          <w:sz w:val="26"/>
          <w:szCs w:val="24"/>
        </w:rPr>
        <w:t>a supersedeas bond</w:t>
      </w:r>
      <w:bookmarkStart w:id="176" w:name="_DV_C102"/>
      <w:r>
        <w:rPr>
          <w:rStyle w:val="DeltaViewInsertion"/>
          <w:rFonts w:ascii="Times New Roman" w:eastAsia="Times New Roman" w:hAnsi="Times New Roman" w:cs="Times New Roman"/>
          <w:color w:val="auto"/>
          <w:sz w:val="26"/>
          <w:szCs w:val="24"/>
        </w:rPr>
        <w:t xml:space="preserve"> is filed</w:t>
      </w:r>
      <w:bookmarkStart w:id="177" w:name="_DV_M84"/>
      <w:bookmarkEnd w:id="176"/>
      <w:bookmarkEnd w:id="177"/>
      <w:r>
        <w:rPr>
          <w:rFonts w:ascii="Times New Roman" w:eastAsia="Times New Roman" w:hAnsi="Times New Roman" w:cs="Times New Roman"/>
          <w:sz w:val="26"/>
          <w:szCs w:val="24"/>
        </w:rPr>
        <w:t>, the superior court clerk must promptly give notice to the sheriff and must recall the execution, and there may not be any further execution on the judgment pending the appeal’s resolution.</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178" w:name="_DV_M85"/>
      <w:bookmarkEnd w:id="178"/>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Prior Lien.</w:t>
      </w:r>
      <w:r>
        <w:rPr>
          <w:rFonts w:ascii="Times New Roman" w:eastAsia="Times New Roman" w:hAnsi="Times New Roman" w:cs="Times New Roman"/>
          <w:sz w:val="26"/>
          <w:szCs w:val="24"/>
        </w:rPr>
        <w:t xml:space="preserve">  If another party has recorded a judgment lien before the </w:t>
      </w:r>
      <w:bookmarkStart w:id="179" w:name="_DV_C103"/>
      <w:r>
        <w:rPr>
          <w:rStyle w:val="DeltaViewDeletion"/>
          <w:rFonts w:ascii="Times New Roman" w:eastAsia="Times New Roman" w:hAnsi="Times New Roman" w:cs="Times New Roman"/>
          <w:color w:val="auto"/>
          <w:sz w:val="26"/>
          <w:szCs w:val="24"/>
        </w:rPr>
        <w:t xml:space="preserve">filing of a </w:t>
      </w:r>
      <w:bookmarkStart w:id="180" w:name="_DV_M86"/>
      <w:bookmarkEnd w:id="179"/>
      <w:bookmarkEnd w:id="180"/>
      <w:r>
        <w:rPr>
          <w:rFonts w:ascii="Times New Roman" w:eastAsia="Times New Roman" w:hAnsi="Times New Roman" w:cs="Times New Roman"/>
          <w:sz w:val="26"/>
          <w:szCs w:val="24"/>
        </w:rPr>
        <w:t>supersedeas bond</w:t>
      </w:r>
      <w:bookmarkStart w:id="181" w:name="_DV_C104"/>
      <w:r>
        <w:rPr>
          <w:rStyle w:val="DeltaViewInsertion"/>
          <w:rFonts w:ascii="Times New Roman" w:eastAsia="Times New Roman" w:hAnsi="Times New Roman" w:cs="Times New Roman"/>
          <w:color w:val="auto"/>
          <w:sz w:val="26"/>
          <w:szCs w:val="24"/>
        </w:rPr>
        <w:t xml:space="preserve"> is filed</w:t>
      </w:r>
      <w:bookmarkStart w:id="182" w:name="_DV_M87"/>
      <w:bookmarkEnd w:id="181"/>
      <w:bookmarkEnd w:id="182"/>
      <w:r>
        <w:rPr>
          <w:rFonts w:ascii="Times New Roman" w:eastAsia="Times New Roman" w:hAnsi="Times New Roman" w:cs="Times New Roman"/>
          <w:sz w:val="26"/>
          <w:szCs w:val="24"/>
        </w:rPr>
        <w:t>, that party must promptly record a release of the lien.</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183" w:name="_DV_M88"/>
      <w:bookmarkEnd w:id="183"/>
      <w:r>
        <w:rPr>
          <w:rFonts w:ascii="Times New Roman" w:eastAsia="Times New Roman" w:hAnsi="Times New Roman" w:cs="Times New Roman"/>
          <w:b/>
          <w:sz w:val="26"/>
          <w:szCs w:val="24"/>
        </w:rPr>
        <w:t>(c)</w:t>
      </w:r>
      <w:r>
        <w:rPr>
          <w:rFonts w:ascii="Times New Roman" w:eastAsia="Times New Roman" w:hAnsi="Times New Roman" w:cs="Times New Roman"/>
          <w:b/>
          <w:sz w:val="26"/>
          <w:szCs w:val="24"/>
        </w:rPr>
        <w:tab/>
        <w:t>Power of an Appellate Court to Enter a Stay, an Injunction, or Other Order</w:t>
      </w:r>
      <w:r>
        <w:rPr>
          <w:rFonts w:ascii="Times New Roman" w:eastAsia="Times New Roman" w:hAnsi="Times New Roman" w:cs="Times New Roman"/>
          <w:b/>
          <w:i/>
          <w:sz w:val="26"/>
          <w:szCs w:val="24"/>
        </w:rPr>
        <w:t>.</w:t>
      </w:r>
      <w:r>
        <w:rPr>
          <w:rFonts w:ascii="Times New Roman" w:eastAsia="Times New Roman" w:hAnsi="Times New Roman" w:cs="Times New Roman"/>
          <w:sz w:val="26"/>
          <w:szCs w:val="24"/>
        </w:rPr>
        <w:t xml:space="preserve">  This Rule does not limit the power of an appellate court, or of an appellate judge or justice, to stay proceedings </w:t>
      </w:r>
      <w:bookmarkStart w:id="184" w:name="_DV_C105"/>
      <w:r>
        <w:rPr>
          <w:rStyle w:val="DeltaViewDeletion"/>
          <w:rFonts w:ascii="Times New Roman" w:eastAsia="Times New Roman" w:hAnsi="Times New Roman" w:cs="Times New Roman"/>
          <w:color w:val="auto"/>
          <w:sz w:val="26"/>
          <w:szCs w:val="24"/>
        </w:rPr>
        <w:t>during the pendency of</w:t>
      </w:r>
      <w:bookmarkStart w:id="185" w:name="_DV_C106"/>
      <w:bookmarkEnd w:id="184"/>
      <w:r>
        <w:rPr>
          <w:rStyle w:val="DeltaViewInsertion"/>
          <w:rFonts w:ascii="Times New Roman" w:eastAsia="Times New Roman" w:hAnsi="Times New Roman" w:cs="Times New Roman"/>
          <w:color w:val="auto"/>
          <w:sz w:val="26"/>
          <w:szCs w:val="24"/>
        </w:rPr>
        <w:t>while</w:t>
      </w:r>
      <w:bookmarkStart w:id="186" w:name="_DV_M89"/>
      <w:bookmarkEnd w:id="185"/>
      <w:bookmarkEnd w:id="186"/>
      <w:r>
        <w:rPr>
          <w:rFonts w:ascii="Times New Roman" w:eastAsia="Times New Roman" w:hAnsi="Times New Roman" w:cs="Times New Roman"/>
          <w:sz w:val="26"/>
          <w:szCs w:val="24"/>
        </w:rPr>
        <w:t xml:space="preserve"> an appeal</w:t>
      </w:r>
      <w:bookmarkStart w:id="187" w:name="_DV_C107"/>
      <w:r>
        <w:rPr>
          <w:rStyle w:val="DeltaViewInsertion"/>
          <w:rFonts w:ascii="Times New Roman" w:eastAsia="Times New Roman" w:hAnsi="Times New Roman" w:cs="Times New Roman"/>
          <w:color w:val="auto"/>
          <w:sz w:val="26"/>
          <w:szCs w:val="24"/>
        </w:rPr>
        <w:t xml:space="preserve"> is pending</w:t>
      </w:r>
      <w:bookmarkStart w:id="188" w:name="_DV_M90"/>
      <w:bookmarkEnd w:id="187"/>
      <w:bookmarkEnd w:id="188"/>
      <w:r>
        <w:rPr>
          <w:rFonts w:ascii="Times New Roman" w:eastAsia="Times New Roman" w:hAnsi="Times New Roman" w:cs="Times New Roman"/>
          <w:sz w:val="26"/>
          <w:szCs w:val="24"/>
        </w:rPr>
        <w:t xml:space="preserve">. A party requesting a stay from an appellate court under this Rule must first request the stay in the superior court. An appellate court or an appellate judge or justice also may suspend, modify, restore, or grant an injunction </w:t>
      </w:r>
      <w:bookmarkStart w:id="189" w:name="_DV_C108"/>
      <w:r>
        <w:rPr>
          <w:rStyle w:val="DeltaViewDeletion"/>
          <w:rFonts w:ascii="Times New Roman" w:eastAsia="Times New Roman" w:hAnsi="Times New Roman" w:cs="Times New Roman"/>
          <w:color w:val="auto"/>
          <w:sz w:val="26"/>
          <w:szCs w:val="24"/>
        </w:rPr>
        <w:t>during the pendency of</w:t>
      </w:r>
      <w:bookmarkStart w:id="190" w:name="_DV_C109"/>
      <w:bookmarkEnd w:id="189"/>
      <w:r>
        <w:rPr>
          <w:rStyle w:val="DeltaViewInsertion"/>
          <w:rFonts w:ascii="Times New Roman" w:eastAsia="Times New Roman" w:hAnsi="Times New Roman" w:cs="Times New Roman"/>
          <w:color w:val="auto"/>
          <w:sz w:val="26"/>
          <w:szCs w:val="24"/>
        </w:rPr>
        <w:t>while</w:t>
      </w:r>
      <w:bookmarkStart w:id="191" w:name="_DV_M91"/>
      <w:bookmarkEnd w:id="190"/>
      <w:bookmarkEnd w:id="191"/>
      <w:r>
        <w:rPr>
          <w:rFonts w:ascii="Times New Roman" w:eastAsia="Times New Roman" w:hAnsi="Times New Roman" w:cs="Times New Roman"/>
          <w:sz w:val="26"/>
          <w:szCs w:val="24"/>
        </w:rPr>
        <w:t xml:space="preserve"> an appeal</w:t>
      </w:r>
      <w:bookmarkStart w:id="192" w:name="_DV_C110"/>
      <w:r>
        <w:rPr>
          <w:rStyle w:val="DeltaViewDeletion"/>
          <w:rFonts w:ascii="Times New Roman" w:eastAsia="Times New Roman" w:hAnsi="Times New Roman" w:cs="Times New Roman"/>
          <w:color w:val="auto"/>
          <w:sz w:val="26"/>
          <w:szCs w:val="24"/>
        </w:rPr>
        <w:t>;</w:t>
      </w:r>
      <w:bookmarkStart w:id="193" w:name="_DV_C111"/>
      <w:bookmarkEnd w:id="192"/>
      <w:r>
        <w:rPr>
          <w:rStyle w:val="DeltaViewInsertion"/>
          <w:rFonts w:ascii="Times New Roman" w:eastAsia="Times New Roman" w:hAnsi="Times New Roman" w:cs="Times New Roman"/>
          <w:color w:val="auto"/>
          <w:sz w:val="26"/>
          <w:szCs w:val="24"/>
        </w:rPr>
        <w:t xml:space="preserve"> is pending,</w:t>
      </w:r>
      <w:bookmarkStart w:id="194" w:name="_DV_M92"/>
      <w:bookmarkEnd w:id="193"/>
      <w:bookmarkEnd w:id="194"/>
      <w:r>
        <w:rPr>
          <w:rFonts w:ascii="Times New Roman" w:eastAsia="Times New Roman" w:hAnsi="Times New Roman" w:cs="Times New Roman"/>
          <w:sz w:val="26"/>
          <w:szCs w:val="24"/>
        </w:rPr>
        <w:t xml:space="preserve"> may enter any order appropriate to preserve the status quo; and may enter any order to preserve the effectiveness of the decision that the appellate court will enter.</w:t>
      </w:r>
    </w:p>
    <w:p w:rsidR="005A7492" w:rsidRDefault="006B6D4D">
      <w:pPr>
        <w:widowControl/>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sz w:val="26"/>
          <w:szCs w:val="24"/>
        </w:rPr>
      </w:pPr>
      <w:bookmarkStart w:id="195" w:name="_DV_M93"/>
      <w:bookmarkEnd w:id="195"/>
      <w:r>
        <w:rPr>
          <w:rFonts w:ascii="Times New Roman" w:eastAsia="Times New Roman" w:hAnsi="Times New Roman" w:cs="Times New Roman"/>
          <w:b/>
          <w:sz w:val="26"/>
          <w:szCs w:val="24"/>
        </w:rPr>
        <w:t>(d)</w:t>
      </w:r>
      <w:r>
        <w:rPr>
          <w:rFonts w:ascii="Times New Roman" w:eastAsia="Times New Roman" w:hAnsi="Times New Roman" w:cs="Times New Roman"/>
          <w:b/>
          <w:sz w:val="26"/>
          <w:szCs w:val="24"/>
        </w:rPr>
        <w:tab/>
      </w:r>
      <w:bookmarkStart w:id="196" w:name="_DV_C112"/>
      <w:r>
        <w:rPr>
          <w:rStyle w:val="DeltaViewDeletion"/>
          <w:rFonts w:ascii="Times New Roman" w:eastAsia="Times New Roman" w:hAnsi="Times New Roman" w:cs="Times New Roman"/>
          <w:b/>
          <w:color w:val="auto"/>
          <w:sz w:val="26"/>
          <w:szCs w:val="24"/>
        </w:rPr>
        <w:t>Judgment Against a Surety</w:t>
      </w:r>
      <w:r>
        <w:rPr>
          <w:rStyle w:val="DeltaViewDeletion"/>
          <w:rFonts w:ascii="Times New Roman" w:eastAsia="Times New Roman" w:hAnsi="Times New Roman" w:cs="Times New Roman"/>
          <w:b/>
          <w:i/>
          <w:color w:val="auto"/>
          <w:sz w:val="26"/>
          <w:szCs w:val="24"/>
        </w:rPr>
        <w:t>.</w:t>
      </w:r>
      <w:r>
        <w:rPr>
          <w:rStyle w:val="DeltaViewDeletion"/>
          <w:rFonts w:ascii="Times New Roman" w:eastAsia="Times New Roman" w:hAnsi="Times New Roman" w:cs="Times New Roman"/>
          <w:color w:val="auto"/>
          <w:sz w:val="26"/>
          <w:szCs w:val="24"/>
        </w:rPr>
        <w:t xml:space="preserve">  A surety that provides a supersedeas bond under this Rule</w:t>
      </w:r>
      <w:bookmarkStart w:id="197" w:name="_DV_C113"/>
      <w:bookmarkEnd w:id="196"/>
      <w:r>
        <w:rPr>
          <w:rStyle w:val="DeltaViewInsertion"/>
          <w:rFonts w:ascii="Times New Roman" w:eastAsia="Times New Roman" w:hAnsi="Times New Roman" w:cs="Times New Roman"/>
          <w:b/>
          <w:color w:val="auto"/>
          <w:sz w:val="26"/>
          <w:szCs w:val="24"/>
        </w:rPr>
        <w:t>Proceeding Against a Surety or Other Security Provider.</w:t>
      </w:r>
      <w:r>
        <w:rPr>
          <w:rStyle w:val="DeltaViewInsertion"/>
          <w:rFonts w:ascii="Times New Roman" w:eastAsia="Times New Roman" w:hAnsi="Times New Roman" w:cs="Times New Roman"/>
          <w:color w:val="auto"/>
          <w:sz w:val="26"/>
          <w:szCs w:val="24"/>
        </w:rPr>
        <w:t xml:space="preserve">  If a party gives security in the form of a bond or other security with one or more sureties or other security providers, each provider</w:t>
      </w:r>
      <w:bookmarkStart w:id="198" w:name="_DV_M94"/>
      <w:bookmarkEnd w:id="197"/>
      <w:bookmarkEnd w:id="198"/>
      <w:r>
        <w:rPr>
          <w:rFonts w:ascii="Times New Roman" w:eastAsia="Times New Roman" w:hAnsi="Times New Roman" w:cs="Times New Roman"/>
          <w:sz w:val="26"/>
          <w:szCs w:val="24"/>
        </w:rPr>
        <w:t xml:space="preserve"> submits to the jurisdiction of the superior court</w:t>
      </w:r>
      <w:bookmarkStart w:id="199" w:name="_DV_C114"/>
      <w:r>
        <w:rPr>
          <w:rStyle w:val="DeltaViewDeletion"/>
          <w:rFonts w:ascii="Times New Roman" w:eastAsia="Times New Roman" w:hAnsi="Times New Roman" w:cs="Times New Roman"/>
          <w:color w:val="auto"/>
          <w:sz w:val="26"/>
          <w:szCs w:val="24"/>
        </w:rPr>
        <w:t>. The surety</w:t>
      </w:r>
      <w:bookmarkStart w:id="200" w:name="_DV_C115"/>
      <w:bookmarkEnd w:id="199"/>
      <w:r>
        <w:rPr>
          <w:rStyle w:val="DeltaViewInsertion"/>
          <w:rFonts w:ascii="Times New Roman" w:eastAsia="Times New Roman" w:hAnsi="Times New Roman" w:cs="Times New Roman"/>
          <w:color w:val="auto"/>
          <w:sz w:val="26"/>
          <w:szCs w:val="24"/>
        </w:rPr>
        <w:t xml:space="preserve"> and</w:t>
      </w:r>
      <w:bookmarkStart w:id="201" w:name="_DV_M95"/>
      <w:bookmarkEnd w:id="200"/>
      <w:bookmarkEnd w:id="201"/>
      <w:r>
        <w:rPr>
          <w:rFonts w:ascii="Times New Roman" w:eastAsia="Times New Roman" w:hAnsi="Times New Roman" w:cs="Times New Roman"/>
          <w:sz w:val="26"/>
          <w:szCs w:val="24"/>
        </w:rPr>
        <w:t xml:space="preserve"> irrevocably appoints the superior court clerk as </w:t>
      </w:r>
      <w:bookmarkStart w:id="202" w:name="_DV_C116"/>
      <w:r>
        <w:rPr>
          <w:rStyle w:val="DeltaViewDeletion"/>
          <w:rFonts w:ascii="Times New Roman" w:eastAsia="Times New Roman" w:hAnsi="Times New Roman" w:cs="Times New Roman"/>
          <w:color w:val="auto"/>
          <w:sz w:val="26"/>
          <w:szCs w:val="24"/>
        </w:rPr>
        <w:t>the surety’s</w:t>
      </w:r>
      <w:bookmarkStart w:id="203" w:name="_DV_C117"/>
      <w:bookmarkEnd w:id="202"/>
      <w:r>
        <w:rPr>
          <w:rStyle w:val="DeltaViewInsertion"/>
          <w:rFonts w:ascii="Times New Roman" w:eastAsia="Times New Roman" w:hAnsi="Times New Roman" w:cs="Times New Roman"/>
          <w:color w:val="auto"/>
          <w:sz w:val="26"/>
          <w:szCs w:val="24"/>
        </w:rPr>
        <w:t>its</w:t>
      </w:r>
      <w:bookmarkStart w:id="204" w:name="_DV_M96"/>
      <w:bookmarkEnd w:id="203"/>
      <w:bookmarkEnd w:id="204"/>
      <w:r>
        <w:rPr>
          <w:rFonts w:ascii="Times New Roman" w:eastAsia="Times New Roman" w:hAnsi="Times New Roman" w:cs="Times New Roman"/>
          <w:sz w:val="26"/>
          <w:szCs w:val="24"/>
        </w:rPr>
        <w:t xml:space="preserve"> agent on whom </w:t>
      </w:r>
      <w:bookmarkStart w:id="205" w:name="_DV_C118"/>
      <w:r>
        <w:rPr>
          <w:rStyle w:val="DeltaViewDeletion"/>
          <w:rFonts w:ascii="Times New Roman" w:eastAsia="Times New Roman" w:hAnsi="Times New Roman" w:cs="Times New Roman"/>
          <w:color w:val="auto"/>
          <w:sz w:val="26"/>
          <w:szCs w:val="24"/>
        </w:rPr>
        <w:t xml:space="preserve">a party may serve </w:t>
      </w:r>
      <w:bookmarkStart w:id="206" w:name="_DV_M97"/>
      <w:bookmarkEnd w:id="205"/>
      <w:bookmarkEnd w:id="206"/>
      <w:r>
        <w:rPr>
          <w:rFonts w:ascii="Times New Roman" w:eastAsia="Times New Roman" w:hAnsi="Times New Roman" w:cs="Times New Roman"/>
          <w:sz w:val="26"/>
          <w:szCs w:val="24"/>
        </w:rPr>
        <w:t xml:space="preserve">any </w:t>
      </w:r>
      <w:bookmarkStart w:id="207" w:name="_DV_C119"/>
      <w:r>
        <w:rPr>
          <w:rStyle w:val="DeltaViewDeletion"/>
          <w:rFonts w:ascii="Times New Roman" w:eastAsia="Times New Roman" w:hAnsi="Times New Roman" w:cs="Times New Roman"/>
          <w:color w:val="auto"/>
          <w:sz w:val="26"/>
          <w:szCs w:val="24"/>
        </w:rPr>
        <w:t>documents</w:t>
      </w:r>
      <w:bookmarkStart w:id="208" w:name="_DV_C120"/>
      <w:bookmarkEnd w:id="207"/>
      <w:r>
        <w:rPr>
          <w:rStyle w:val="DeltaViewInsertion"/>
          <w:rFonts w:ascii="Times New Roman" w:eastAsia="Times New Roman" w:hAnsi="Times New Roman" w:cs="Times New Roman"/>
          <w:color w:val="auto"/>
          <w:sz w:val="26"/>
          <w:szCs w:val="24"/>
        </w:rPr>
        <w:t>papers</w:t>
      </w:r>
      <w:bookmarkStart w:id="209" w:name="_DV_M98"/>
      <w:bookmarkEnd w:id="208"/>
      <w:bookmarkEnd w:id="209"/>
      <w:r>
        <w:rPr>
          <w:rFonts w:ascii="Times New Roman" w:eastAsia="Times New Roman" w:hAnsi="Times New Roman" w:cs="Times New Roman"/>
          <w:sz w:val="26"/>
          <w:szCs w:val="24"/>
        </w:rPr>
        <w:t xml:space="preserve"> affecting </w:t>
      </w:r>
      <w:bookmarkStart w:id="210" w:name="_DV_C121"/>
      <w:r>
        <w:rPr>
          <w:rStyle w:val="DeltaViewDeletion"/>
          <w:rFonts w:ascii="Times New Roman" w:eastAsia="Times New Roman" w:hAnsi="Times New Roman" w:cs="Times New Roman"/>
          <w:color w:val="auto"/>
          <w:sz w:val="26"/>
          <w:szCs w:val="24"/>
        </w:rPr>
        <w:t>the surety’s</w:t>
      </w:r>
      <w:bookmarkStart w:id="211" w:name="_DV_C122"/>
      <w:bookmarkEnd w:id="210"/>
      <w:r>
        <w:rPr>
          <w:rStyle w:val="DeltaViewInsertion"/>
          <w:rFonts w:ascii="Times New Roman" w:eastAsia="Times New Roman" w:hAnsi="Times New Roman" w:cs="Times New Roman"/>
          <w:color w:val="auto"/>
          <w:sz w:val="26"/>
          <w:szCs w:val="24"/>
        </w:rPr>
        <w:t>its</w:t>
      </w:r>
      <w:bookmarkStart w:id="212" w:name="_DV_M99"/>
      <w:bookmarkEnd w:id="211"/>
      <w:bookmarkEnd w:id="212"/>
      <w:r>
        <w:rPr>
          <w:rFonts w:ascii="Times New Roman" w:eastAsia="Times New Roman" w:hAnsi="Times New Roman" w:cs="Times New Roman"/>
          <w:sz w:val="26"/>
          <w:szCs w:val="24"/>
        </w:rPr>
        <w:t xml:space="preserve"> liability on the bond</w:t>
      </w:r>
      <w:bookmarkStart w:id="213" w:name="_DV_C123"/>
      <w:r>
        <w:rPr>
          <w:rStyle w:val="DeltaViewInsertion"/>
          <w:rFonts w:ascii="Times New Roman" w:eastAsia="Times New Roman" w:hAnsi="Times New Roman" w:cs="Times New Roman"/>
          <w:color w:val="auto"/>
          <w:sz w:val="26"/>
          <w:szCs w:val="24"/>
        </w:rPr>
        <w:t xml:space="preserve"> or undertaking may be served</w:t>
      </w:r>
      <w:bookmarkStart w:id="214" w:name="_DV_M100"/>
      <w:bookmarkEnd w:id="213"/>
      <w:bookmarkEnd w:id="214"/>
      <w:r>
        <w:rPr>
          <w:rFonts w:ascii="Times New Roman" w:eastAsia="Times New Roman" w:hAnsi="Times New Roman" w:cs="Times New Roman"/>
          <w:sz w:val="26"/>
          <w:szCs w:val="24"/>
        </w:rPr>
        <w:t xml:space="preserve">. A party may enforce the </w:t>
      </w:r>
      <w:bookmarkStart w:id="215" w:name="_DV_C124"/>
      <w:r>
        <w:rPr>
          <w:rStyle w:val="DeltaViewDeletion"/>
          <w:rFonts w:ascii="Times New Roman" w:eastAsia="Times New Roman" w:hAnsi="Times New Roman" w:cs="Times New Roman"/>
          <w:color w:val="auto"/>
          <w:sz w:val="26"/>
          <w:szCs w:val="24"/>
        </w:rPr>
        <w:t>surety</w:t>
      </w:r>
      <w:bookmarkStart w:id="216" w:name="_DV_C125"/>
      <w:bookmarkEnd w:id="215"/>
      <w:r>
        <w:rPr>
          <w:rStyle w:val="DeltaViewInsertion"/>
          <w:rFonts w:ascii="Times New Roman" w:eastAsia="Times New Roman" w:hAnsi="Times New Roman" w:cs="Times New Roman"/>
          <w:color w:val="auto"/>
          <w:sz w:val="26"/>
          <w:szCs w:val="24"/>
        </w:rPr>
        <w:t>security provider</w:t>
      </w:r>
      <w:bookmarkStart w:id="217" w:name="_DV_M101"/>
      <w:bookmarkEnd w:id="216"/>
      <w:bookmarkEnd w:id="217"/>
      <w:r>
        <w:rPr>
          <w:rFonts w:ascii="Times New Roman" w:eastAsia="Times New Roman" w:hAnsi="Times New Roman" w:cs="Times New Roman"/>
          <w:sz w:val="26"/>
          <w:szCs w:val="24"/>
        </w:rPr>
        <w:t>’s liability by motion and is not required to file an independent action</w:t>
      </w:r>
      <w:bookmarkStart w:id="218" w:name="_DV_C126"/>
      <w:r>
        <w:rPr>
          <w:rStyle w:val="DeltaViewDeletion"/>
          <w:rFonts w:ascii="Times New Roman" w:eastAsia="Times New Roman" w:hAnsi="Times New Roman" w:cs="Times New Roman"/>
          <w:color w:val="auto"/>
          <w:sz w:val="26"/>
          <w:szCs w:val="24"/>
        </w:rPr>
        <w:t xml:space="preserve"> against the surety</w:t>
      </w:r>
      <w:bookmarkStart w:id="219" w:name="_DV_M102"/>
      <w:bookmarkEnd w:id="218"/>
      <w:bookmarkEnd w:id="219"/>
      <w:r>
        <w:rPr>
          <w:rFonts w:ascii="Times New Roman" w:eastAsia="Times New Roman" w:hAnsi="Times New Roman" w:cs="Times New Roman"/>
          <w:sz w:val="26"/>
          <w:szCs w:val="24"/>
        </w:rPr>
        <w:t xml:space="preserve">. The party seeking enforcement must serve the superior court clerk with the motion and any notice of the motion required by the superior court, and the clerk must then promptly mail or otherwise distribute copies to the </w:t>
      </w:r>
      <w:bookmarkStart w:id="220" w:name="_DV_C127"/>
      <w:r>
        <w:rPr>
          <w:rStyle w:val="DeltaViewDeletion"/>
          <w:rFonts w:ascii="Times New Roman" w:eastAsia="Times New Roman" w:hAnsi="Times New Roman" w:cs="Times New Roman"/>
          <w:color w:val="auto"/>
          <w:sz w:val="26"/>
          <w:szCs w:val="24"/>
        </w:rPr>
        <w:t>surety if the clerk knows the surety’s</w:t>
      </w:r>
      <w:bookmarkStart w:id="221" w:name="_DV_C128"/>
      <w:bookmarkEnd w:id="220"/>
      <w:r>
        <w:rPr>
          <w:rStyle w:val="DeltaViewInsertion"/>
          <w:rFonts w:ascii="Times New Roman" w:eastAsia="Times New Roman" w:hAnsi="Times New Roman" w:cs="Times New Roman"/>
          <w:color w:val="auto"/>
          <w:sz w:val="26"/>
          <w:szCs w:val="24"/>
        </w:rPr>
        <w:t>security  provider whose</w:t>
      </w:r>
      <w:bookmarkStart w:id="222" w:name="_DV_M103"/>
      <w:bookmarkEnd w:id="221"/>
      <w:bookmarkEnd w:id="222"/>
      <w:r>
        <w:rPr>
          <w:rFonts w:ascii="Times New Roman" w:eastAsia="Times New Roman" w:hAnsi="Times New Roman" w:cs="Times New Roman"/>
          <w:sz w:val="26"/>
          <w:szCs w:val="24"/>
        </w:rPr>
        <w:t xml:space="preserve"> address</w:t>
      </w:r>
      <w:bookmarkStart w:id="223" w:name="_DV_C129"/>
      <w:r>
        <w:rPr>
          <w:rStyle w:val="DeltaViewInsertion"/>
          <w:rFonts w:ascii="Times New Roman" w:eastAsia="Times New Roman" w:hAnsi="Times New Roman" w:cs="Times New Roman"/>
          <w:color w:val="auto"/>
          <w:sz w:val="26"/>
          <w:szCs w:val="24"/>
        </w:rPr>
        <w:t xml:space="preserve"> is known</w:t>
      </w:r>
      <w:bookmarkStart w:id="224" w:name="_DV_M104"/>
      <w:bookmarkEnd w:id="223"/>
      <w:bookmarkEnd w:id="224"/>
      <w:r>
        <w:rPr>
          <w:rFonts w:ascii="Times New Roman" w:eastAsia="Times New Roman" w:hAnsi="Times New Roman" w:cs="Times New Roman"/>
          <w:sz w:val="26"/>
          <w:szCs w:val="24"/>
        </w:rPr>
        <w:t>.</w:t>
      </w:r>
    </w:p>
    <w:p w:rsidR="005A7492" w:rsidRDefault="005A7492">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Bold" w:eastAsia="Times New Roman" w:hAnsi="Times New Roman Bold" w:cs="Times New Roman"/>
          <w:b/>
          <w:sz w:val="28"/>
          <w:szCs w:val="28"/>
        </w:rPr>
      </w:pPr>
      <w:bookmarkStart w:id="225" w:name="_DV_M105"/>
      <w:bookmarkEnd w:id="225"/>
      <w:r>
        <w:rPr>
          <w:rFonts w:ascii="Times New Roman Bold" w:eastAsia="Times New Roman" w:hAnsi="Times New Roman Bold" w:cs="Times New Roman"/>
          <w:b/>
          <w:sz w:val="28"/>
          <w:szCs w:val="28"/>
        </w:rPr>
        <w:br w:type="page"/>
      </w:r>
    </w:p>
    <w:p w:rsidR="005A7492" w:rsidRDefault="005A7492">
      <w:pPr>
        <w:widowControl/>
        <w:rPr>
          <w:rFonts w:ascii="Times New Roman Bold" w:eastAsia="Times New Roman" w:hAnsi="Times New Roman Bold" w:cs="Times New Roman"/>
          <w:b/>
          <w:sz w:val="28"/>
          <w:szCs w:val="28"/>
        </w:rPr>
      </w:pPr>
    </w:p>
    <w:p w:rsidR="005A7492" w:rsidRDefault="006B6D4D">
      <w:pPr>
        <w:keepNext/>
        <w:widowControl/>
        <w:tabs>
          <w:tab w:val="left" w:pos="1238"/>
        </w:tabs>
        <w:spacing w:after="120" w:line="240" w:lineRule="auto"/>
        <w:ind w:left="1238" w:hanging="1238"/>
        <w:jc w:val="both"/>
        <w:rPr>
          <w:rFonts w:ascii="Times New Roman" w:eastAsia="Times New Roman" w:hAnsi="Times New Roman" w:cs="Times New Roman"/>
          <w:b/>
          <w:sz w:val="26"/>
          <w:szCs w:val="24"/>
        </w:rPr>
      </w:pPr>
      <w:bookmarkStart w:id="226" w:name="_DV_M106"/>
      <w:bookmarkEnd w:id="226"/>
      <w:r>
        <w:rPr>
          <w:rFonts w:ascii="Times New Roman Bold" w:eastAsia="Times New Roman" w:hAnsi="Times New Roman Bold" w:cs="Times New Roman"/>
          <w:b/>
          <w:sz w:val="28"/>
          <w:szCs w:val="28"/>
        </w:rPr>
        <w:t>Rule 62.</w:t>
      </w:r>
      <w:r>
        <w:rPr>
          <w:rFonts w:ascii="Times New Roman" w:eastAsia="Times New Roman" w:hAnsi="Times New Roman" w:cs="Times New Roman"/>
          <w:b/>
          <w:sz w:val="26"/>
          <w:szCs w:val="24"/>
        </w:rPr>
        <w:tab/>
        <w:t>Stay of Proceedings to Enforce a Judgment</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27" w:name="_DV_M107"/>
      <w:bookmarkEnd w:id="227"/>
      <w:r>
        <w:rPr>
          <w:rFonts w:ascii="Times New Roman" w:eastAsia="Times New Roman" w:hAnsi="Times New Roman" w:cs="Times New Roman"/>
          <w:b/>
          <w:sz w:val="26"/>
          <w:szCs w:val="24"/>
        </w:rPr>
        <w:t>(a)</w:t>
      </w:r>
      <w:r>
        <w:rPr>
          <w:rFonts w:ascii="Times New Roman" w:eastAsia="Times New Roman" w:hAnsi="Times New Roman" w:cs="Times New Roman"/>
          <w:b/>
          <w:sz w:val="26"/>
          <w:szCs w:val="24"/>
        </w:rPr>
        <w:tab/>
      </w:r>
      <w:bookmarkStart w:id="228" w:name="_DV_C130"/>
      <w:r>
        <w:rPr>
          <w:rStyle w:val="DeltaViewDeletion"/>
          <w:rFonts w:ascii="Times New Roman" w:eastAsia="Times New Roman" w:hAnsi="Times New Roman" w:cs="Times New Roman"/>
          <w:b/>
          <w:color w:val="auto"/>
          <w:sz w:val="26"/>
          <w:szCs w:val="24"/>
        </w:rPr>
        <w:t xml:space="preserve">No </w:t>
      </w:r>
      <w:bookmarkStart w:id="229" w:name="_DV_M108"/>
      <w:bookmarkEnd w:id="228"/>
      <w:bookmarkEnd w:id="229"/>
      <w:r>
        <w:rPr>
          <w:rFonts w:ascii="Times New Roman" w:eastAsia="Times New Roman" w:hAnsi="Times New Roman" w:cs="Times New Roman"/>
          <w:b/>
          <w:sz w:val="26"/>
          <w:szCs w:val="24"/>
        </w:rPr>
        <w:t>Automatic Stay</w:t>
      </w:r>
      <w:bookmarkStart w:id="230" w:name="_DV_C131"/>
      <w:r>
        <w:rPr>
          <w:rStyle w:val="DeltaViewInsertion"/>
          <w:rFonts w:ascii="Times New Roman" w:eastAsia="Times New Roman" w:hAnsi="Times New Roman" w:cs="Times New Roman"/>
          <w:b/>
          <w:color w:val="auto"/>
          <w:sz w:val="26"/>
          <w:szCs w:val="24"/>
        </w:rPr>
        <w:t xml:space="preserve"> of Enforcement</w:t>
      </w:r>
      <w:bookmarkStart w:id="231" w:name="_DV_M109"/>
      <w:bookmarkEnd w:id="230"/>
      <w:bookmarkEnd w:id="231"/>
      <w:r>
        <w:rPr>
          <w:rFonts w:ascii="Times New Roman" w:eastAsia="Times New Roman" w:hAnsi="Times New Roman" w:cs="Times New Roman"/>
          <w:b/>
          <w:sz w:val="26"/>
          <w:szCs w:val="24"/>
        </w:rPr>
        <w:t>.</w:t>
      </w:r>
      <w:r>
        <w:rPr>
          <w:rFonts w:ascii="Times New Roman" w:eastAsia="Times New Roman" w:hAnsi="Times New Roman" w:cs="Times New Roman"/>
          <w:sz w:val="26"/>
          <w:szCs w:val="24"/>
        </w:rPr>
        <w:t xml:space="preserve"> </w:t>
      </w:r>
      <w:bookmarkStart w:id="232" w:name="_DV_M110"/>
      <w:bookmarkEnd w:id="232"/>
      <w:r>
        <w:rPr>
          <w:rFonts w:ascii="Times New Roman" w:eastAsia="Times New Roman" w:hAnsi="Times New Roman" w:cs="Times New Roman"/>
          <w:b/>
          <w:sz w:val="26"/>
          <w:szCs w:val="24"/>
        </w:rPr>
        <w:t xml:space="preserve"> </w:t>
      </w:r>
      <w:r>
        <w:rPr>
          <w:rFonts w:ascii="Times New Roman" w:eastAsia="Times New Roman" w:hAnsi="Times New Roman" w:cs="Times New Roman"/>
          <w:sz w:val="26"/>
          <w:szCs w:val="24"/>
        </w:rPr>
        <w:t xml:space="preserve">Except as provided in </w:t>
      </w:r>
      <w:bookmarkStart w:id="233" w:name="_DV_C132"/>
      <w:r>
        <w:rPr>
          <w:rStyle w:val="DeltaViewDeletion"/>
          <w:rFonts w:ascii="Times New Roman" w:eastAsia="Times New Roman" w:hAnsi="Times New Roman" w:cs="Times New Roman"/>
          <w:color w:val="auto"/>
          <w:sz w:val="26"/>
          <w:szCs w:val="24"/>
        </w:rPr>
        <w:t>Arizona Rule of Civil Appellate Procedure 7 or as otherwise ordered by the court</w:t>
      </w:r>
      <w:bookmarkStart w:id="234" w:name="_DV_X141"/>
      <w:bookmarkStart w:id="235" w:name="_DV_C133"/>
      <w:bookmarkEnd w:id="233"/>
      <w:r>
        <w:rPr>
          <w:rStyle w:val="DeltaViewMoveSource"/>
          <w:rFonts w:ascii="Times New Roman" w:eastAsia="Times New Roman" w:hAnsi="Times New Roman" w:cs="Times New Roman"/>
          <w:color w:val="auto"/>
          <w:sz w:val="26"/>
          <w:szCs w:val="24"/>
        </w:rPr>
        <w:t>, an interlocutory or final judgment</w:t>
      </w:r>
      <w:bookmarkStart w:id="236" w:name="_DV_C134"/>
      <w:bookmarkEnd w:id="234"/>
      <w:bookmarkEnd w:id="235"/>
      <w:r>
        <w:rPr>
          <w:rStyle w:val="DeltaViewDeletion"/>
          <w:rFonts w:ascii="Times New Roman" w:eastAsia="Times New Roman" w:hAnsi="Times New Roman" w:cs="Times New Roman"/>
          <w:color w:val="auto"/>
          <w:sz w:val="26"/>
          <w:szCs w:val="24"/>
        </w:rPr>
        <w:t>—including in an action for an injunction or a receivership—</w:t>
      </w:r>
      <w:bookmarkStart w:id="237" w:name="_DV_X143"/>
      <w:bookmarkStart w:id="238" w:name="_DV_C135"/>
      <w:bookmarkEnd w:id="236"/>
      <w:r>
        <w:rPr>
          <w:rStyle w:val="DeltaViewMoveSource"/>
          <w:rFonts w:ascii="Times New Roman" w:eastAsia="Times New Roman" w:hAnsi="Times New Roman" w:cs="Times New Roman"/>
          <w:color w:val="auto"/>
          <w:sz w:val="26"/>
          <w:szCs w:val="24"/>
        </w:rPr>
        <w:t>is not stayed after being entered, even if an appeal is taken</w:t>
      </w:r>
      <w:bookmarkStart w:id="239" w:name="_DV_C136"/>
      <w:bookmarkEnd w:id="237"/>
      <w:bookmarkEnd w:id="238"/>
      <w:r>
        <w:rPr>
          <w:rStyle w:val="DeltaViewInsertion"/>
          <w:rFonts w:ascii="Times New Roman" w:eastAsia="Times New Roman" w:hAnsi="Times New Roman" w:cs="Times New Roman"/>
          <w:color w:val="auto"/>
          <w:sz w:val="26"/>
          <w:szCs w:val="24"/>
        </w:rPr>
        <w:t>Rule 62(d), (e), and (f), execution on a judgment and proceedings to enforce it are stayed for 15 days after its entry, unless the court orders otherwise. During the 15-day period, unless and until a bond or other security is posted, a party may record a judgment</w:t>
      </w:r>
      <w:bookmarkStart w:id="240" w:name="_DV_M112"/>
      <w:bookmarkEnd w:id="239"/>
      <w:bookmarkEnd w:id="240"/>
      <w:r>
        <w:rPr>
          <w:rFonts w:ascii="Times New Roman" w:eastAsia="Times New Roman" w:hAnsi="Times New Roman" w:cs="Times New Roman"/>
          <w:sz w:val="26"/>
          <w:szCs w:val="24"/>
        </w:rPr>
        <w:t>.</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41" w:name="_DV_M113"/>
      <w:bookmarkEnd w:id="241"/>
      <w:r>
        <w:rPr>
          <w:rFonts w:ascii="Times New Roman" w:eastAsia="Times New Roman" w:hAnsi="Times New Roman" w:cs="Times New Roman"/>
          <w:b/>
          <w:sz w:val="26"/>
          <w:szCs w:val="24"/>
        </w:rPr>
        <w:t>(b)</w:t>
      </w:r>
      <w:r>
        <w:rPr>
          <w:rFonts w:ascii="Times New Roman" w:eastAsia="Times New Roman" w:hAnsi="Times New Roman" w:cs="Times New Roman"/>
          <w:b/>
          <w:sz w:val="26"/>
          <w:szCs w:val="24"/>
        </w:rPr>
        <w:tab/>
        <w:t>Stay Pending the Disposition of a Motion.</w:t>
      </w:r>
      <w:r>
        <w:rPr>
          <w:rFonts w:ascii="Times New Roman" w:eastAsia="Times New Roman" w:hAnsi="Times New Roman" w:cs="Times New Roman"/>
          <w:sz w:val="26"/>
          <w:szCs w:val="24"/>
        </w:rPr>
        <w:t xml:space="preserve">  On appropriate terms for the </w:t>
      </w:r>
      <w:bookmarkStart w:id="242" w:name="_DV_C137"/>
      <w:r>
        <w:rPr>
          <w:rStyle w:val="DeltaViewDeletion"/>
          <w:rFonts w:ascii="Times New Roman" w:eastAsia="Times New Roman" w:hAnsi="Times New Roman" w:cs="Times New Roman"/>
          <w:color w:val="auto"/>
          <w:sz w:val="26"/>
          <w:szCs w:val="24"/>
        </w:rPr>
        <w:t>opposing</w:t>
      </w:r>
      <w:bookmarkStart w:id="243" w:name="_DV_C138"/>
      <w:bookmarkEnd w:id="242"/>
      <w:r>
        <w:rPr>
          <w:rStyle w:val="DeltaViewInsertion"/>
          <w:rFonts w:ascii="Times New Roman" w:eastAsia="Times New Roman" w:hAnsi="Times New Roman" w:cs="Times New Roman"/>
          <w:color w:val="auto"/>
          <w:sz w:val="26"/>
          <w:szCs w:val="24"/>
        </w:rPr>
        <w:t>adverse</w:t>
      </w:r>
      <w:bookmarkStart w:id="244" w:name="_DV_M114"/>
      <w:bookmarkEnd w:id="243"/>
      <w:bookmarkEnd w:id="244"/>
      <w:r>
        <w:rPr>
          <w:rFonts w:ascii="Times New Roman" w:eastAsia="Times New Roman" w:hAnsi="Times New Roman" w:cs="Times New Roman"/>
          <w:sz w:val="26"/>
          <w:szCs w:val="24"/>
        </w:rPr>
        <w:t xml:space="preserve"> party’s security, the court may stay the execution of a judgment—or any proceedings to enforce it—pending disposition of any of the following motions:</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5" w:name="_DV_M115"/>
      <w:bookmarkEnd w:id="245"/>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under Rule 50, for judgment as a matter of law;</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6" w:name="_DV_M116"/>
      <w:bookmarkEnd w:id="246"/>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under Rule 52(b), to amend the findings or for additional findings;</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7" w:name="_DV_M117"/>
      <w:bookmarkEnd w:id="247"/>
      <w:r>
        <w:rPr>
          <w:rFonts w:ascii="Times New Roman" w:eastAsia="Times New Roman" w:hAnsi="Times New Roman" w:cs="Times New Roman"/>
          <w:b/>
          <w:sz w:val="26"/>
          <w:szCs w:val="24"/>
        </w:rPr>
        <w:t>(3)</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 xml:space="preserve">under Rule 59, for a new trial or to alter or amend a judgment;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8" w:name="_DV_M118"/>
      <w:bookmarkEnd w:id="248"/>
      <w:r>
        <w:rPr>
          <w:rFonts w:ascii="Times New Roman" w:eastAsia="Times New Roman" w:hAnsi="Times New Roman" w:cs="Times New Roman"/>
          <w:b/>
          <w:sz w:val="26"/>
          <w:szCs w:val="24"/>
        </w:rPr>
        <w:t>(4)</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under Rule 60(a) and (b), for relief from a judgment or order; or</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49" w:name="_DV_M119"/>
      <w:bookmarkEnd w:id="249"/>
      <w:r>
        <w:rPr>
          <w:rFonts w:ascii="Times New Roman" w:eastAsia="Times New Roman" w:hAnsi="Times New Roman" w:cs="Times New Roman"/>
          <w:b/>
          <w:sz w:val="26"/>
          <w:szCs w:val="24"/>
        </w:rPr>
        <w:t>(5)</w:t>
      </w:r>
      <w:r>
        <w:rPr>
          <w:rFonts w:ascii="Times New Roman" w:eastAsia="Times New Roman" w:hAnsi="Times New Roman" w:cs="Times New Roman"/>
          <w:b/>
          <w:sz w:val="26"/>
          <w:szCs w:val="24"/>
        </w:rPr>
        <w:tab/>
      </w:r>
      <w:r>
        <w:rPr>
          <w:rFonts w:ascii="Times New Roman" w:eastAsia="Times New Roman" w:hAnsi="Times New Roman" w:cs="Times New Roman"/>
          <w:sz w:val="26"/>
          <w:szCs w:val="24"/>
        </w:rPr>
        <w:t>when justice so requires in other instances until such time as the court may fix.</w:t>
      </w:r>
    </w:p>
    <w:p w:rsidR="005A7492" w:rsidRDefault="006B6D4D">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50" w:name="_DV_M120"/>
      <w:bookmarkEnd w:id="250"/>
      <w:r>
        <w:rPr>
          <w:rFonts w:ascii="Times New Roman" w:eastAsia="Times New Roman" w:hAnsi="Times New Roman" w:cs="Times New Roman"/>
          <w:b/>
          <w:sz w:val="26"/>
          <w:szCs w:val="24"/>
        </w:rPr>
        <w:t>(c)</w:t>
      </w:r>
      <w:bookmarkStart w:id="251" w:name="_DV_C139"/>
      <w:r>
        <w:rPr>
          <w:rStyle w:val="DeltaViewInsertion"/>
          <w:rFonts w:ascii="Times New Roman" w:eastAsia="Times New Roman" w:hAnsi="Times New Roman" w:cs="Times New Roman"/>
          <w:b/>
          <w:color w:val="auto"/>
          <w:sz w:val="26"/>
          <w:szCs w:val="24"/>
        </w:rPr>
        <w:t xml:space="preserve"> Stay by Bond or Other Security.</w:t>
      </w:r>
      <w:r>
        <w:rPr>
          <w:rStyle w:val="DeltaViewInsertion"/>
          <w:rFonts w:ascii="Times New Roman" w:eastAsia="Times New Roman" w:hAnsi="Times New Roman" w:cs="Times New Roman"/>
          <w:color w:val="auto"/>
          <w:sz w:val="26"/>
          <w:szCs w:val="24"/>
        </w:rPr>
        <w:t xml:space="preserve"> At any time after judgment is entered, a party may obtain a stay by supersedeas bond or other security as provided in Rule 7 of the Arizona Rules of Civil Appellate Procedure.</w:t>
      </w:r>
      <w:bookmarkEnd w:id="251"/>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bookmarkStart w:id="252" w:name="_DV_C140"/>
      <w:r>
        <w:rPr>
          <w:rStyle w:val="DeltaViewInsertion"/>
          <w:rFonts w:ascii="Times New Roman" w:eastAsia="Times New Roman" w:hAnsi="Times New Roman" w:cs="Times New Roman"/>
          <w:b/>
          <w:color w:val="auto"/>
          <w:sz w:val="26"/>
          <w:szCs w:val="24"/>
        </w:rPr>
        <w:t>(d)</w:t>
      </w:r>
      <w:r>
        <w:rPr>
          <w:rStyle w:val="DeltaViewInsertion"/>
          <w:rFonts w:ascii="Times New Roman" w:eastAsia="Times New Roman" w:hAnsi="Times New Roman" w:cs="Times New Roman"/>
          <w:b/>
          <w:color w:val="auto"/>
          <w:sz w:val="26"/>
          <w:szCs w:val="24"/>
        </w:rPr>
        <w:tab/>
        <w:t xml:space="preserve">Stay of an Injunction or Receivership. </w:t>
      </w:r>
      <w:r>
        <w:rPr>
          <w:rStyle w:val="DeltaViewInsertion"/>
          <w:rFonts w:ascii="Times New Roman" w:eastAsia="Times New Roman" w:hAnsi="Times New Roman" w:cs="Times New Roman"/>
          <w:color w:val="auto"/>
          <w:sz w:val="26"/>
          <w:szCs w:val="24"/>
        </w:rPr>
        <w:t>Unless the court orders otherwise</w:t>
      </w:r>
      <w:bookmarkStart w:id="253" w:name="_DV_X133"/>
      <w:bookmarkStart w:id="254" w:name="_DV_C141"/>
      <w:bookmarkEnd w:id="252"/>
      <w:r>
        <w:rPr>
          <w:rStyle w:val="DeltaViewMoveDestination"/>
          <w:rFonts w:ascii="Times New Roman" w:eastAsia="Times New Roman" w:hAnsi="Times New Roman" w:cs="Times New Roman"/>
          <w:color w:val="auto"/>
          <w:sz w:val="26"/>
          <w:szCs w:val="24"/>
        </w:rPr>
        <w:t>, an interlocutory or final judgment</w:t>
      </w:r>
      <w:bookmarkStart w:id="255" w:name="_DV_C142"/>
      <w:bookmarkEnd w:id="253"/>
      <w:bookmarkEnd w:id="254"/>
      <w:r>
        <w:rPr>
          <w:rStyle w:val="DeltaViewInsertion"/>
          <w:rFonts w:ascii="Times New Roman" w:eastAsia="Times New Roman" w:hAnsi="Times New Roman" w:cs="Times New Roman"/>
          <w:color w:val="auto"/>
          <w:sz w:val="26"/>
          <w:szCs w:val="24"/>
        </w:rPr>
        <w:t xml:space="preserve"> in an action for an injunction or receivership </w:t>
      </w:r>
      <w:bookmarkStart w:id="256" w:name="_DV_X135"/>
      <w:bookmarkStart w:id="257" w:name="_DV_C143"/>
      <w:bookmarkEnd w:id="255"/>
      <w:r>
        <w:rPr>
          <w:rStyle w:val="DeltaViewMoveDestination"/>
          <w:rFonts w:ascii="Times New Roman" w:eastAsia="Times New Roman" w:hAnsi="Times New Roman" w:cs="Times New Roman"/>
          <w:color w:val="auto"/>
          <w:sz w:val="26"/>
          <w:szCs w:val="24"/>
        </w:rPr>
        <w:t>is not stayed after being entered, even if an appeal is taken</w:t>
      </w:r>
      <w:bookmarkStart w:id="258" w:name="_DV_C144"/>
      <w:bookmarkEnd w:id="256"/>
      <w:bookmarkEnd w:id="257"/>
      <w:r>
        <w:rPr>
          <w:rStyle w:val="DeltaViewInsertion"/>
          <w:rFonts w:ascii="Times New Roman" w:eastAsia="Times New Roman" w:hAnsi="Times New Roman" w:cs="Times New Roman"/>
          <w:color w:val="auto"/>
          <w:sz w:val="26"/>
          <w:szCs w:val="24"/>
        </w:rPr>
        <w:t>.</w:t>
      </w:r>
      <w:bookmarkEnd w:id="258"/>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59" w:name="_DV_C145"/>
      <w:r>
        <w:rPr>
          <w:rStyle w:val="DeltaViewInsertion"/>
          <w:rFonts w:ascii="Times New Roman" w:eastAsia="Times New Roman" w:hAnsi="Times New Roman" w:cs="Times New Roman"/>
          <w:b/>
          <w:color w:val="auto"/>
          <w:sz w:val="26"/>
          <w:szCs w:val="24"/>
        </w:rPr>
        <w:t>(e)</w:t>
      </w:r>
      <w:bookmarkStart w:id="260" w:name="_DV_M121"/>
      <w:bookmarkEnd w:id="259"/>
      <w:bookmarkEnd w:id="260"/>
      <w:r>
        <w:rPr>
          <w:rFonts w:ascii="Times New Roman" w:eastAsia="Times New Roman" w:hAnsi="Times New Roman" w:cs="Times New Roman"/>
          <w:b/>
          <w:sz w:val="26"/>
          <w:szCs w:val="24"/>
        </w:rPr>
        <w:tab/>
        <w:t>Injunction Pending an Appeal.</w:t>
      </w:r>
      <w:r>
        <w:rPr>
          <w:rFonts w:ascii="Times New Roman" w:eastAsia="Times New Roman" w:hAnsi="Times New Roman" w:cs="Times New Roman"/>
          <w:sz w:val="26"/>
          <w:szCs w:val="24"/>
        </w:rPr>
        <w:t xml:space="preserve">  While an appeal is pending from an interlocutory order or final judgment that grants, </w:t>
      </w:r>
      <w:bookmarkStart w:id="261" w:name="_DV_C146"/>
      <w:r>
        <w:rPr>
          <w:rStyle w:val="DeltaViewInsertion"/>
          <w:rFonts w:ascii="Times New Roman" w:eastAsia="Times New Roman" w:hAnsi="Times New Roman" w:cs="Times New Roman"/>
          <w:color w:val="auto"/>
          <w:sz w:val="26"/>
          <w:szCs w:val="24"/>
        </w:rPr>
        <w:t xml:space="preserve">continues, modifies, refuses, </w:t>
      </w:r>
      <w:bookmarkStart w:id="262" w:name="_DV_M122"/>
      <w:bookmarkEnd w:id="261"/>
      <w:bookmarkEnd w:id="262"/>
      <w:r>
        <w:rPr>
          <w:rFonts w:ascii="Times New Roman" w:eastAsia="Times New Roman" w:hAnsi="Times New Roman" w:cs="Times New Roman"/>
          <w:sz w:val="26"/>
          <w:szCs w:val="24"/>
        </w:rPr>
        <w:t xml:space="preserve">dissolves, or </w:t>
      </w:r>
      <w:bookmarkStart w:id="263" w:name="_DV_C147"/>
      <w:r>
        <w:rPr>
          <w:rStyle w:val="DeltaViewDeletion"/>
          <w:rFonts w:ascii="Times New Roman" w:eastAsia="Times New Roman" w:hAnsi="Times New Roman" w:cs="Times New Roman"/>
          <w:color w:val="auto"/>
          <w:sz w:val="26"/>
          <w:szCs w:val="24"/>
        </w:rPr>
        <w:t>denies</w:t>
      </w:r>
      <w:bookmarkStart w:id="264" w:name="_DV_C148"/>
      <w:bookmarkEnd w:id="263"/>
      <w:r>
        <w:rPr>
          <w:rStyle w:val="DeltaViewInsertion"/>
          <w:rFonts w:ascii="Times New Roman" w:eastAsia="Times New Roman" w:hAnsi="Times New Roman" w:cs="Times New Roman"/>
          <w:color w:val="auto"/>
          <w:sz w:val="26"/>
          <w:szCs w:val="24"/>
        </w:rPr>
        <w:t>refuses to dissolve or modify</w:t>
      </w:r>
      <w:bookmarkStart w:id="265" w:name="_DV_M123"/>
      <w:bookmarkEnd w:id="264"/>
      <w:bookmarkEnd w:id="265"/>
      <w:r>
        <w:rPr>
          <w:rFonts w:ascii="Times New Roman" w:eastAsia="Times New Roman" w:hAnsi="Times New Roman" w:cs="Times New Roman"/>
          <w:sz w:val="26"/>
          <w:szCs w:val="24"/>
        </w:rPr>
        <w:t xml:space="preserve"> an injunction, the court may suspend, modify, restore, or grant an injunction on such terms for bond, security, or otherwise that preserve the </w:t>
      </w:r>
      <w:bookmarkStart w:id="266" w:name="_DV_C149"/>
      <w:r>
        <w:rPr>
          <w:rStyle w:val="DeltaViewDeletion"/>
          <w:rFonts w:ascii="Times New Roman" w:eastAsia="Times New Roman" w:hAnsi="Times New Roman" w:cs="Times New Roman"/>
          <w:color w:val="auto"/>
          <w:sz w:val="26"/>
          <w:szCs w:val="24"/>
        </w:rPr>
        <w:t>opposing</w:t>
      </w:r>
      <w:bookmarkStart w:id="267" w:name="_DV_C150"/>
      <w:bookmarkEnd w:id="266"/>
      <w:r>
        <w:rPr>
          <w:rStyle w:val="DeltaViewInsertion"/>
          <w:rFonts w:ascii="Times New Roman" w:eastAsia="Times New Roman" w:hAnsi="Times New Roman" w:cs="Times New Roman"/>
          <w:color w:val="auto"/>
          <w:sz w:val="26"/>
          <w:szCs w:val="24"/>
        </w:rPr>
        <w:t>adverse</w:t>
      </w:r>
      <w:bookmarkStart w:id="268" w:name="_DV_M124"/>
      <w:bookmarkEnd w:id="267"/>
      <w:bookmarkEnd w:id="268"/>
      <w:r>
        <w:rPr>
          <w:rFonts w:ascii="Times New Roman" w:eastAsia="Times New Roman" w:hAnsi="Times New Roman" w:cs="Times New Roman"/>
          <w:sz w:val="26"/>
          <w:szCs w:val="24"/>
        </w:rPr>
        <w:t xml:space="preserve"> party’s rights. </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sz w:val="26"/>
          <w:szCs w:val="24"/>
        </w:rPr>
      </w:pPr>
      <w:bookmarkStart w:id="269" w:name="_DV_M125"/>
      <w:bookmarkEnd w:id="269"/>
      <w:r>
        <w:rPr>
          <w:rFonts w:ascii="Times New Roman" w:eastAsia="Times New Roman" w:hAnsi="Times New Roman" w:cs="Times New Roman"/>
          <w:b/>
          <w:sz w:val="26"/>
          <w:szCs w:val="24"/>
        </w:rPr>
        <w:t>(</w:t>
      </w:r>
      <w:bookmarkStart w:id="270" w:name="_DV_C151"/>
      <w:r>
        <w:rPr>
          <w:rStyle w:val="DeltaViewDeletion"/>
          <w:rFonts w:ascii="Times New Roman" w:eastAsia="Times New Roman" w:hAnsi="Times New Roman" w:cs="Times New Roman"/>
          <w:b/>
          <w:color w:val="auto"/>
          <w:sz w:val="26"/>
          <w:szCs w:val="24"/>
        </w:rPr>
        <w:t>d</w:t>
      </w:r>
      <w:bookmarkStart w:id="271" w:name="_DV_C152"/>
      <w:bookmarkEnd w:id="270"/>
      <w:r>
        <w:rPr>
          <w:rStyle w:val="DeltaViewInsertion"/>
          <w:rFonts w:ascii="Times New Roman" w:eastAsia="Times New Roman" w:hAnsi="Times New Roman" w:cs="Times New Roman"/>
          <w:b/>
          <w:color w:val="auto"/>
          <w:sz w:val="26"/>
          <w:szCs w:val="24"/>
        </w:rPr>
        <w:t>f</w:t>
      </w:r>
      <w:bookmarkStart w:id="272" w:name="_DV_M126"/>
      <w:bookmarkEnd w:id="271"/>
      <w:bookmarkEnd w:id="272"/>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 xml:space="preserve">Stay of Judgment Ordering Execution of an Instrument or Sale of Perishable Property.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73" w:name="_DV_M127"/>
      <w:bookmarkEnd w:id="273"/>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Judgment Directing Execution of Instrument.</w:t>
      </w:r>
      <w:r>
        <w:rPr>
          <w:rFonts w:ascii="Times New Roman" w:eastAsia="Times New Roman" w:hAnsi="Times New Roman" w:cs="Times New Roman"/>
          <w:sz w:val="26"/>
          <w:szCs w:val="24"/>
        </w:rPr>
        <w:t xml:space="preserve">  If a party appeals a judgment or order directing the execution of a conveyance or other instrument, the judgment or order may not be stayed unless and until the conveyance or other instrument is executed and deposited with the clerk pending the outcome of the appeal.</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74" w:name="_DV_M128"/>
      <w:bookmarkEnd w:id="274"/>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r>
        <w:rPr>
          <w:rFonts w:ascii="Times New Roman" w:eastAsia="Times New Roman" w:hAnsi="Times New Roman" w:cs="Times New Roman"/>
          <w:b/>
          <w:i/>
          <w:sz w:val="26"/>
          <w:szCs w:val="24"/>
        </w:rPr>
        <w:t xml:space="preserve">Judgment Directing Sale of Perishable Property and Distribution of Proceeds.  </w:t>
      </w:r>
      <w:r>
        <w:rPr>
          <w:rFonts w:ascii="Times New Roman" w:eastAsia="Times New Roman" w:hAnsi="Times New Roman" w:cs="Times New Roman"/>
          <w:sz w:val="26"/>
          <w:szCs w:val="24"/>
        </w:rPr>
        <w:t>A judgment or order directing the sale of perishable property may not be stayed pending appeal, but the proceeds of the sale must be deposited with the clerk pending the outcome of the appeal.</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75" w:name="_DV_M129"/>
      <w:bookmarkEnd w:id="275"/>
      <w:r>
        <w:rPr>
          <w:rFonts w:ascii="Times New Roman" w:eastAsia="Times New Roman" w:hAnsi="Times New Roman" w:cs="Times New Roman"/>
          <w:b/>
          <w:sz w:val="26"/>
          <w:szCs w:val="24"/>
        </w:rPr>
        <w:t>(</w:t>
      </w:r>
      <w:bookmarkStart w:id="276" w:name="_DV_C153"/>
      <w:r>
        <w:rPr>
          <w:rStyle w:val="DeltaViewDeletion"/>
          <w:rFonts w:ascii="Times New Roman" w:eastAsia="Times New Roman" w:hAnsi="Times New Roman" w:cs="Times New Roman"/>
          <w:b/>
          <w:color w:val="auto"/>
          <w:sz w:val="26"/>
          <w:szCs w:val="24"/>
        </w:rPr>
        <w:t>e</w:t>
      </w:r>
      <w:bookmarkStart w:id="277" w:name="_DV_C154"/>
      <w:bookmarkEnd w:id="276"/>
      <w:r>
        <w:rPr>
          <w:rStyle w:val="DeltaViewInsertion"/>
          <w:rFonts w:ascii="Times New Roman" w:eastAsia="Times New Roman" w:hAnsi="Times New Roman" w:cs="Times New Roman"/>
          <w:b/>
          <w:color w:val="auto"/>
          <w:sz w:val="26"/>
          <w:szCs w:val="24"/>
        </w:rPr>
        <w:t>g</w:t>
      </w:r>
      <w:bookmarkStart w:id="278" w:name="_DV_M130"/>
      <w:bookmarkEnd w:id="277"/>
      <w:bookmarkEnd w:id="278"/>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 xml:space="preserve">Stay of a Judgment Against the State or Its Agencies or Political Subdivisions. </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79" w:name="_DV_M131"/>
      <w:bookmarkEnd w:id="279"/>
      <w:r>
        <w:rPr>
          <w:rFonts w:ascii="Times New Roman" w:eastAsia="Times New Roman" w:hAnsi="Times New Roman" w:cs="Times New Roman"/>
          <w:b/>
          <w:sz w:val="26"/>
          <w:szCs w:val="24"/>
        </w:rPr>
        <w:t>(1)</w:t>
      </w:r>
      <w:r>
        <w:rPr>
          <w:rFonts w:ascii="Times New Roman" w:eastAsia="Times New Roman" w:hAnsi="Times New Roman" w:cs="Times New Roman"/>
          <w:b/>
          <w:sz w:val="26"/>
          <w:szCs w:val="24"/>
        </w:rPr>
        <w:tab/>
      </w:r>
      <w:bookmarkStart w:id="280" w:name="_DV_C155"/>
      <w:r>
        <w:rPr>
          <w:rFonts w:ascii="Times New Roman" w:eastAsia="Times New Roman" w:hAnsi="Times New Roman" w:cs="Times New Roman"/>
          <w:b/>
          <w:i/>
          <w:sz w:val="26"/>
          <w:szCs w:val="24"/>
        </w:rPr>
        <w:t>Mone</w:t>
      </w:r>
      <w:bookmarkStart w:id="281" w:name="_DV_C156"/>
      <w:bookmarkEnd w:id="280"/>
      <w:r>
        <w:rPr>
          <w:rStyle w:val="DeltaViewInsertion"/>
          <w:rFonts w:ascii="Times New Roman" w:eastAsia="Times New Roman" w:hAnsi="Times New Roman" w:cs="Times New Roman"/>
          <w:b/>
          <w:i/>
          <w:color w:val="auto"/>
          <w:sz w:val="26"/>
          <w:szCs w:val="24"/>
        </w:rPr>
        <w:t>tar</w:t>
      </w:r>
      <w:bookmarkStart w:id="282" w:name="_DV_M132"/>
      <w:bookmarkEnd w:id="281"/>
      <w:bookmarkEnd w:id="282"/>
      <w:r>
        <w:rPr>
          <w:rFonts w:ascii="Times New Roman" w:eastAsia="Times New Roman" w:hAnsi="Times New Roman" w:cs="Times New Roman"/>
          <w:b/>
          <w:i/>
          <w:sz w:val="26"/>
          <w:szCs w:val="24"/>
        </w:rPr>
        <w:t>y Judgments.</w:t>
      </w:r>
      <w:r>
        <w:rPr>
          <w:rFonts w:ascii="Times New Roman" w:eastAsia="Times New Roman" w:hAnsi="Times New Roman" w:cs="Times New Roman"/>
          <w:sz w:val="26"/>
          <w:szCs w:val="24"/>
        </w:rPr>
        <w:t xml:space="preserve">  If a </w:t>
      </w:r>
      <w:bookmarkStart w:id="283" w:name="_DV_C157"/>
      <w:r>
        <w:rPr>
          <w:rFonts w:ascii="Times New Roman" w:eastAsia="Times New Roman" w:hAnsi="Times New Roman" w:cs="Times New Roman"/>
          <w:sz w:val="26"/>
          <w:szCs w:val="24"/>
        </w:rPr>
        <w:t>mone</w:t>
      </w:r>
      <w:bookmarkStart w:id="284" w:name="_DV_C158"/>
      <w:bookmarkEnd w:id="283"/>
      <w:r>
        <w:rPr>
          <w:rStyle w:val="DeltaViewInsertion"/>
          <w:rFonts w:ascii="Times New Roman" w:eastAsia="Times New Roman" w:hAnsi="Times New Roman" w:cs="Times New Roman"/>
          <w:color w:val="auto"/>
          <w:sz w:val="26"/>
          <w:szCs w:val="24"/>
        </w:rPr>
        <w:t>tar</w:t>
      </w:r>
      <w:bookmarkStart w:id="285" w:name="_DV_M133"/>
      <w:bookmarkEnd w:id="284"/>
      <w:bookmarkEnd w:id="285"/>
      <w:r>
        <w:rPr>
          <w:rFonts w:ascii="Times New Roman" w:eastAsia="Times New Roman" w:hAnsi="Times New Roman" w:cs="Times New Roman"/>
          <w:sz w:val="26"/>
          <w:szCs w:val="24"/>
        </w:rPr>
        <w:t>y judgment is entered against the State of Arizona or one of its agencies or political subdivisions, the judgment is automatically stayed upon the filing of an appeal.</w:t>
      </w:r>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rPr>
      </w:pPr>
      <w:bookmarkStart w:id="286" w:name="_DV_M134"/>
      <w:bookmarkEnd w:id="286"/>
      <w:r>
        <w:rPr>
          <w:rFonts w:ascii="Times New Roman" w:eastAsia="Times New Roman" w:hAnsi="Times New Roman" w:cs="Times New Roman"/>
          <w:b/>
          <w:sz w:val="26"/>
          <w:szCs w:val="24"/>
        </w:rPr>
        <w:t>(2)</w:t>
      </w:r>
      <w:r>
        <w:rPr>
          <w:rFonts w:ascii="Times New Roman" w:eastAsia="Times New Roman" w:hAnsi="Times New Roman" w:cs="Times New Roman"/>
          <w:b/>
          <w:sz w:val="26"/>
          <w:szCs w:val="24"/>
        </w:rPr>
        <w:tab/>
      </w:r>
      <w:bookmarkStart w:id="287" w:name="_DV_C159"/>
      <w:r>
        <w:rPr>
          <w:rFonts w:ascii="Times New Roman" w:eastAsia="Times New Roman" w:hAnsi="Times New Roman" w:cs="Times New Roman"/>
          <w:b/>
          <w:i/>
          <w:sz w:val="26"/>
          <w:szCs w:val="24"/>
        </w:rPr>
        <w:t>Nonmone</w:t>
      </w:r>
      <w:bookmarkStart w:id="288" w:name="_DV_C160"/>
      <w:bookmarkEnd w:id="287"/>
      <w:r>
        <w:rPr>
          <w:rStyle w:val="DeltaViewInsertion"/>
          <w:rFonts w:ascii="Times New Roman" w:eastAsia="Times New Roman" w:hAnsi="Times New Roman" w:cs="Times New Roman"/>
          <w:b/>
          <w:i/>
          <w:color w:val="auto"/>
          <w:sz w:val="26"/>
          <w:szCs w:val="24"/>
        </w:rPr>
        <w:t>tar</w:t>
      </w:r>
      <w:bookmarkStart w:id="289" w:name="_DV_M135"/>
      <w:bookmarkEnd w:id="288"/>
      <w:bookmarkEnd w:id="289"/>
      <w:r>
        <w:rPr>
          <w:rFonts w:ascii="Times New Roman" w:eastAsia="Times New Roman" w:hAnsi="Times New Roman" w:cs="Times New Roman"/>
          <w:b/>
          <w:i/>
          <w:sz w:val="26"/>
          <w:szCs w:val="24"/>
        </w:rPr>
        <w:t>y Judgments.</w:t>
      </w:r>
      <w:r>
        <w:rPr>
          <w:rFonts w:ascii="Times New Roman" w:eastAsia="Times New Roman" w:hAnsi="Times New Roman" w:cs="Times New Roman"/>
          <w:sz w:val="26"/>
          <w:szCs w:val="24"/>
        </w:rPr>
        <w:t xml:space="preserve">  </w:t>
      </w:r>
      <w:bookmarkStart w:id="290" w:name="_DV_C161"/>
      <w:r>
        <w:rPr>
          <w:rStyle w:val="DeltaViewDeletion"/>
          <w:rFonts w:ascii="Times New Roman" w:eastAsia="Times New Roman" w:hAnsi="Times New Roman" w:cs="Times New Roman"/>
          <w:color w:val="auto"/>
          <w:sz w:val="26"/>
          <w:szCs w:val="24"/>
        </w:rPr>
        <w:t>If</w:t>
      </w:r>
      <w:bookmarkStart w:id="291" w:name="_DV_C162"/>
      <w:bookmarkEnd w:id="290"/>
      <w:r>
        <w:rPr>
          <w:rStyle w:val="DeltaViewInsertion"/>
          <w:rFonts w:ascii="Times New Roman" w:eastAsia="Times New Roman" w:hAnsi="Times New Roman" w:cs="Times New Roman"/>
          <w:color w:val="auto"/>
          <w:sz w:val="26"/>
          <w:szCs w:val="24"/>
        </w:rPr>
        <w:t>Subject to Rule 62(a), if</w:t>
      </w:r>
      <w:bookmarkStart w:id="292" w:name="_DV_M136"/>
      <w:bookmarkEnd w:id="291"/>
      <w:bookmarkEnd w:id="292"/>
      <w:r>
        <w:rPr>
          <w:rFonts w:ascii="Times New Roman" w:eastAsia="Times New Roman" w:hAnsi="Times New Roman" w:cs="Times New Roman"/>
          <w:sz w:val="26"/>
          <w:szCs w:val="24"/>
        </w:rPr>
        <w:t xml:space="preserve"> a judgment other than a </w:t>
      </w:r>
      <w:bookmarkStart w:id="293" w:name="_DV_C163"/>
      <w:r>
        <w:rPr>
          <w:rFonts w:ascii="Times New Roman" w:eastAsia="Times New Roman" w:hAnsi="Times New Roman" w:cs="Times New Roman"/>
          <w:sz w:val="26"/>
          <w:szCs w:val="24"/>
        </w:rPr>
        <w:t>mone</w:t>
      </w:r>
      <w:bookmarkStart w:id="294" w:name="_DV_C164"/>
      <w:bookmarkEnd w:id="293"/>
      <w:r>
        <w:rPr>
          <w:rStyle w:val="DeltaViewInsertion"/>
          <w:rFonts w:ascii="Times New Roman" w:eastAsia="Times New Roman" w:hAnsi="Times New Roman" w:cs="Times New Roman"/>
          <w:color w:val="auto"/>
          <w:sz w:val="26"/>
          <w:szCs w:val="24"/>
        </w:rPr>
        <w:t>tar</w:t>
      </w:r>
      <w:bookmarkStart w:id="295" w:name="_DV_M137"/>
      <w:bookmarkEnd w:id="294"/>
      <w:bookmarkEnd w:id="295"/>
      <w:r>
        <w:rPr>
          <w:rFonts w:ascii="Times New Roman" w:eastAsia="Times New Roman" w:hAnsi="Times New Roman" w:cs="Times New Roman"/>
          <w:sz w:val="26"/>
          <w:szCs w:val="24"/>
        </w:rPr>
        <w:t xml:space="preserve">y judgment is entered against the State of Arizona or one of its agencies or political subdivisions, the judgment is not automatically stayed upon the filing of an appeal. If a court grants a stay of such a judgment, it may not require a bond, obligation, or other security. </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rPr>
      </w:pPr>
      <w:bookmarkStart w:id="296" w:name="_DV_M138"/>
      <w:bookmarkEnd w:id="296"/>
      <w:r>
        <w:rPr>
          <w:rFonts w:ascii="Times New Roman" w:eastAsia="Times New Roman" w:hAnsi="Times New Roman" w:cs="Times New Roman"/>
          <w:b/>
          <w:sz w:val="26"/>
          <w:szCs w:val="24"/>
        </w:rPr>
        <w:t>(</w:t>
      </w:r>
      <w:bookmarkStart w:id="297" w:name="_DV_C165"/>
      <w:r>
        <w:rPr>
          <w:rStyle w:val="DeltaViewDeletion"/>
          <w:rFonts w:ascii="Times New Roman" w:eastAsia="Times New Roman" w:hAnsi="Times New Roman" w:cs="Times New Roman"/>
          <w:b/>
          <w:color w:val="auto"/>
          <w:sz w:val="26"/>
          <w:szCs w:val="24"/>
        </w:rPr>
        <w:t>f</w:t>
      </w:r>
      <w:bookmarkStart w:id="298" w:name="_DV_C166"/>
      <w:bookmarkEnd w:id="297"/>
      <w:r>
        <w:rPr>
          <w:rStyle w:val="DeltaViewInsertion"/>
          <w:rFonts w:ascii="Times New Roman" w:eastAsia="Times New Roman" w:hAnsi="Times New Roman" w:cs="Times New Roman"/>
          <w:b/>
          <w:color w:val="auto"/>
          <w:sz w:val="26"/>
          <w:szCs w:val="24"/>
        </w:rPr>
        <w:t>h</w:t>
      </w:r>
      <w:bookmarkStart w:id="299" w:name="_DV_M139"/>
      <w:bookmarkEnd w:id="298"/>
      <w:bookmarkEnd w:id="299"/>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Stay of Judgment Entered Under Rule 54(b).</w:t>
      </w:r>
      <w:r>
        <w:rPr>
          <w:rFonts w:ascii="Times New Roman" w:eastAsia="Times New Roman" w:hAnsi="Times New Roman" w:cs="Times New Roman"/>
          <w:sz w:val="26"/>
          <w:szCs w:val="24"/>
        </w:rPr>
        <w:t xml:space="preserve">  A court may stay the enforcement of a final judgment entered under Rule 54(b) until it enters a later judgment or judgments, and may prescribe terms necessary to secure the benefit of the stayed judgment for the party in whose favor it was entered.</w:t>
      </w:r>
    </w:p>
    <w:p w:rsidR="005A7492" w:rsidRDefault="006B6D4D">
      <w:pPr>
        <w:widowControl/>
        <w:tabs>
          <w:tab w:val="left" w:pos="389"/>
          <w:tab w:val="left" w:pos="605"/>
          <w:tab w:val="left" w:pos="778"/>
          <w:tab w:val="left" w:pos="1037"/>
          <w:tab w:val="left" w:pos="1368"/>
        </w:tabs>
        <w:spacing w:after="480" w:line="240" w:lineRule="auto"/>
        <w:ind w:left="389" w:hanging="389"/>
        <w:jc w:val="both"/>
        <w:rPr>
          <w:rFonts w:ascii="Times New Roman" w:eastAsia="Times New Roman" w:hAnsi="Times New Roman" w:cs="Times New Roman"/>
          <w:i/>
          <w:sz w:val="26"/>
          <w:szCs w:val="24"/>
        </w:rPr>
      </w:pPr>
      <w:bookmarkStart w:id="300" w:name="_DV_M141"/>
      <w:bookmarkEnd w:id="300"/>
      <w:r>
        <w:rPr>
          <w:rFonts w:ascii="Times New Roman" w:eastAsia="Times New Roman" w:hAnsi="Times New Roman" w:cs="Times New Roman"/>
          <w:b/>
          <w:sz w:val="26"/>
          <w:szCs w:val="24"/>
        </w:rPr>
        <w:t>(</w:t>
      </w:r>
      <w:bookmarkStart w:id="301" w:name="_DV_C167"/>
      <w:r>
        <w:rPr>
          <w:rStyle w:val="DeltaViewDeletion"/>
          <w:rFonts w:ascii="Times New Roman" w:eastAsia="Times New Roman" w:hAnsi="Times New Roman" w:cs="Times New Roman"/>
          <w:b/>
          <w:color w:val="auto"/>
          <w:sz w:val="26"/>
          <w:szCs w:val="24"/>
        </w:rPr>
        <w:t>g</w:t>
      </w:r>
      <w:bookmarkStart w:id="302" w:name="_DV_C168"/>
      <w:bookmarkEnd w:id="301"/>
      <w:r>
        <w:rPr>
          <w:rStyle w:val="DeltaViewInsertion"/>
          <w:rFonts w:ascii="Times New Roman" w:eastAsia="Times New Roman" w:hAnsi="Times New Roman" w:cs="Times New Roman"/>
          <w:b/>
          <w:color w:val="auto"/>
          <w:sz w:val="26"/>
          <w:szCs w:val="24"/>
        </w:rPr>
        <w:t>i</w:t>
      </w:r>
      <w:bookmarkStart w:id="303" w:name="_DV_M142"/>
      <w:bookmarkEnd w:id="302"/>
      <w:bookmarkEnd w:id="303"/>
      <w:r>
        <w:rPr>
          <w:rFonts w:ascii="Times New Roman" w:eastAsia="Times New Roman" w:hAnsi="Times New Roman" w:cs="Times New Roman"/>
          <w:b/>
          <w:sz w:val="26"/>
          <w:szCs w:val="24"/>
        </w:rPr>
        <w:t>)</w:t>
      </w:r>
      <w:r>
        <w:rPr>
          <w:rFonts w:ascii="Times New Roman" w:eastAsia="Times New Roman" w:hAnsi="Times New Roman" w:cs="Times New Roman"/>
          <w:b/>
          <w:sz w:val="26"/>
          <w:szCs w:val="24"/>
        </w:rPr>
        <w:tab/>
        <w:t>Stay of a Judgment in Rem.</w:t>
      </w:r>
      <w:r>
        <w:rPr>
          <w:rFonts w:ascii="Times New Roman" w:eastAsia="Times New Roman" w:hAnsi="Times New Roman" w:cs="Times New Roman"/>
          <w:sz w:val="26"/>
          <w:szCs w:val="24"/>
        </w:rPr>
        <w:t xml:space="preserve">  If a claimant has filed a timely claim to the property and is not in default, a judgment in rem is not self-executing until 15 days after its entry, and no execution or other process may issue on the judgment during that time.</w:t>
      </w:r>
      <w:r>
        <w:rPr>
          <w:rFonts w:ascii="Times New Roman" w:eastAsia="Times New Roman" w:hAnsi="Times New Roman" w:cs="Times New Roman"/>
          <w:i/>
          <w:sz w:val="26"/>
          <w:szCs w:val="24"/>
        </w:rPr>
        <w:t xml:space="preserve"> </w:t>
      </w:r>
    </w:p>
    <w:p w:rsidR="005A7492" w:rsidRDefault="006B6D4D">
      <w:pPr>
        <w:widowControl/>
        <w:rPr>
          <w:rFonts w:ascii="Times New Roman Bold" w:eastAsia="Times New Roman" w:hAnsi="Times New Roman Bold" w:cs="Times New Roman"/>
          <w:b/>
          <w:sz w:val="28"/>
          <w:szCs w:val="28"/>
        </w:rPr>
      </w:pPr>
      <w:bookmarkStart w:id="304" w:name="_DV_M144"/>
      <w:bookmarkEnd w:id="304"/>
      <w:r>
        <w:rPr>
          <w:rFonts w:ascii="Times New Roman Bold" w:eastAsia="Times New Roman" w:hAnsi="Times New Roman Bold" w:cs="Times New Roman"/>
          <w:b/>
          <w:sz w:val="28"/>
          <w:szCs w:val="28"/>
        </w:rPr>
        <w:br w:type="page"/>
      </w:r>
    </w:p>
    <w:p w:rsidR="005A7492" w:rsidRDefault="006B6D4D">
      <w:pPr>
        <w:keepNext/>
        <w:widowControl/>
        <w:tabs>
          <w:tab w:val="left" w:pos="1238"/>
        </w:tabs>
        <w:spacing w:after="120" w:line="240" w:lineRule="auto"/>
        <w:ind w:left="1238" w:hanging="1238"/>
        <w:jc w:val="both"/>
        <w:outlineLvl w:val="0"/>
        <w:rPr>
          <w:rFonts w:ascii="Times New Roman" w:eastAsia="Times New Roman" w:hAnsi="Times New Roman" w:cs="Times New Roman"/>
          <w:b/>
          <w:sz w:val="26"/>
          <w:szCs w:val="24"/>
        </w:rPr>
      </w:pPr>
      <w:bookmarkStart w:id="305" w:name="_DV_M145"/>
      <w:bookmarkEnd w:id="305"/>
      <w:r>
        <w:rPr>
          <w:rFonts w:ascii="Times New Roman Bold" w:eastAsia="Times New Roman" w:hAnsi="Times New Roman Bold" w:cs="Times New Roman"/>
          <w:b/>
          <w:sz w:val="28"/>
          <w:szCs w:val="28"/>
        </w:rPr>
        <w:t>Rule 69.</w:t>
      </w:r>
      <w:r>
        <w:rPr>
          <w:rFonts w:ascii="Times New Roman" w:eastAsia="Times New Roman" w:hAnsi="Times New Roman" w:cs="Times New Roman"/>
          <w:b/>
          <w:sz w:val="26"/>
          <w:szCs w:val="24"/>
        </w:rPr>
        <w:tab/>
        <w:t>Execution</w:t>
      </w:r>
      <w:bookmarkStart w:id="306" w:name="_DV_C169"/>
      <w:r>
        <w:rPr>
          <w:rStyle w:val="DeltaViewInsertion"/>
          <w:rFonts w:ascii="Times New Roman" w:eastAsia="Times New Roman" w:hAnsi="Times New Roman" w:cs="Times New Roman"/>
          <w:b/>
          <w:color w:val="auto"/>
          <w:sz w:val="26"/>
          <w:szCs w:val="24"/>
        </w:rPr>
        <w:t>; Postjudgment Discovery</w:t>
      </w:r>
      <w:bookmarkEnd w:id="306"/>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shd w:val="clear" w:color="auto" w:fill="FFFFFF"/>
        </w:rPr>
      </w:pPr>
      <w:bookmarkStart w:id="307" w:name="_DV_M146"/>
      <w:bookmarkEnd w:id="307"/>
      <w:r>
        <w:rPr>
          <w:rFonts w:ascii="Times New Roman" w:eastAsia="Times New Roman" w:hAnsi="Times New Roman" w:cs="Times New Roman"/>
          <w:b/>
          <w:sz w:val="26"/>
          <w:szCs w:val="24"/>
          <w:shd w:val="clear" w:color="auto" w:fill="FFFFFF"/>
        </w:rPr>
        <w:t>(a)</w:t>
      </w:r>
      <w:r>
        <w:rPr>
          <w:rFonts w:ascii="Times New Roman" w:eastAsia="Times New Roman" w:hAnsi="Times New Roman" w:cs="Times New Roman"/>
          <w:b/>
          <w:sz w:val="26"/>
          <w:szCs w:val="24"/>
          <w:shd w:val="clear" w:color="auto" w:fill="FFFFFF"/>
        </w:rPr>
        <w:tab/>
        <w:t>Generally.</w:t>
      </w:r>
      <w:r>
        <w:rPr>
          <w:rFonts w:ascii="Times New Roman" w:eastAsia="Times New Roman" w:hAnsi="Times New Roman" w:cs="Times New Roman"/>
          <w:sz w:val="26"/>
          <w:szCs w:val="24"/>
          <w:shd w:val="clear" w:color="auto" w:fill="FFFFFF"/>
        </w:rPr>
        <w:t xml:space="preserve">  A </w:t>
      </w:r>
      <w:bookmarkStart w:id="308" w:name="_DV_C170"/>
      <w:r>
        <w:rPr>
          <w:rFonts w:ascii="Times New Roman" w:eastAsia="Times New Roman" w:hAnsi="Times New Roman" w:cs="Times New Roman"/>
          <w:sz w:val="26"/>
          <w:szCs w:val="24"/>
          <w:shd w:val="clear" w:color="auto" w:fill="FFFFFF"/>
        </w:rPr>
        <w:t>mone</w:t>
      </w:r>
      <w:bookmarkStart w:id="309" w:name="_DV_C171"/>
      <w:bookmarkEnd w:id="308"/>
      <w:r>
        <w:rPr>
          <w:rStyle w:val="DeltaViewInsertion"/>
          <w:rFonts w:ascii="Times New Roman" w:eastAsia="Times New Roman" w:hAnsi="Times New Roman" w:cs="Times New Roman"/>
          <w:color w:val="auto"/>
          <w:sz w:val="26"/>
          <w:szCs w:val="24"/>
          <w:shd w:val="clear" w:color="auto" w:fill="FFFFFF"/>
        </w:rPr>
        <w:t>tar</w:t>
      </w:r>
      <w:bookmarkStart w:id="310" w:name="_DV_M147"/>
      <w:bookmarkEnd w:id="309"/>
      <w:bookmarkEnd w:id="310"/>
      <w:r>
        <w:rPr>
          <w:rFonts w:ascii="Times New Roman" w:eastAsia="Times New Roman" w:hAnsi="Times New Roman" w:cs="Times New Roman"/>
          <w:sz w:val="26"/>
          <w:szCs w:val="24"/>
          <w:shd w:val="clear" w:color="auto" w:fill="FFFFFF"/>
        </w:rPr>
        <w:t>y judgment is enforced by a writ of execution, unless the court orders otherwise. A party may execute on a judgment—and seek relief in proceedings supplementary to and in aid of judgment or execution—as provided in these rules, statutory remedies, and other applicable law.</w:t>
      </w:r>
    </w:p>
    <w:p w:rsidR="005A7492" w:rsidRDefault="006B6D4D">
      <w:pPr>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shd w:val="clear" w:color="auto" w:fill="FFFFFF"/>
        </w:rPr>
      </w:pPr>
      <w:bookmarkStart w:id="311" w:name="_DV_M148"/>
      <w:bookmarkEnd w:id="311"/>
      <w:r>
        <w:rPr>
          <w:rFonts w:ascii="Times New Roman" w:eastAsia="Times New Roman" w:hAnsi="Times New Roman" w:cs="Times New Roman"/>
          <w:b/>
          <w:sz w:val="26"/>
          <w:szCs w:val="24"/>
          <w:shd w:val="clear" w:color="auto" w:fill="FFFFFF"/>
        </w:rPr>
        <w:t>(b)</w:t>
      </w:r>
      <w:r>
        <w:rPr>
          <w:rFonts w:ascii="Times New Roman" w:eastAsia="Times New Roman" w:hAnsi="Times New Roman" w:cs="Times New Roman"/>
          <w:b/>
          <w:sz w:val="26"/>
          <w:szCs w:val="24"/>
          <w:shd w:val="clear" w:color="auto" w:fill="FFFFFF"/>
        </w:rPr>
        <w:tab/>
        <w:t>Special Writ.</w:t>
      </w:r>
      <w:r>
        <w:rPr>
          <w:rFonts w:ascii="Times New Roman" w:eastAsia="Times New Roman" w:hAnsi="Times New Roman" w:cs="Times New Roman"/>
          <w:sz w:val="26"/>
          <w:szCs w:val="24"/>
          <w:shd w:val="clear" w:color="auto" w:fill="FFFFFF"/>
        </w:rPr>
        <w:t xml:space="preserve">  If a judgment is for personal property and the court finds that the property has a special value to the prevailing party, the court may award the prevailing party a special writ for the seizure and delivery of the specific property, in addition to any other relief provided in these rules and other applicable law. </w:t>
      </w:r>
    </w:p>
    <w:p w:rsidR="005A7492" w:rsidRDefault="006B6D4D">
      <w:pPr>
        <w:keepNext/>
        <w:widowControl/>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6"/>
          <w:szCs w:val="24"/>
          <w:shd w:val="clear" w:color="auto" w:fill="FFFFFF"/>
        </w:rPr>
      </w:pPr>
      <w:bookmarkStart w:id="312" w:name="_DV_M149"/>
      <w:bookmarkEnd w:id="312"/>
      <w:r>
        <w:rPr>
          <w:rFonts w:ascii="Times New Roman" w:eastAsia="Times New Roman" w:hAnsi="Times New Roman" w:cs="Times New Roman"/>
          <w:b/>
          <w:sz w:val="26"/>
          <w:szCs w:val="24"/>
          <w:shd w:val="clear" w:color="auto" w:fill="FFFFFF"/>
        </w:rPr>
        <w:t>(c)</w:t>
      </w:r>
      <w:r>
        <w:rPr>
          <w:rFonts w:ascii="Times New Roman" w:eastAsia="Times New Roman" w:hAnsi="Times New Roman" w:cs="Times New Roman"/>
          <w:b/>
          <w:sz w:val="26"/>
          <w:szCs w:val="24"/>
          <w:shd w:val="clear" w:color="auto" w:fill="FFFFFF"/>
        </w:rPr>
        <w:tab/>
      </w:r>
      <w:bookmarkStart w:id="313" w:name="_DV_C172"/>
      <w:r>
        <w:rPr>
          <w:rStyle w:val="DeltaViewDeletion"/>
          <w:rFonts w:ascii="Times New Roman" w:eastAsia="Times New Roman" w:hAnsi="Times New Roman" w:cs="Times New Roman"/>
          <w:b/>
          <w:color w:val="auto"/>
          <w:sz w:val="26"/>
          <w:szCs w:val="24"/>
          <w:shd w:val="clear" w:color="auto" w:fill="FFFFFF"/>
        </w:rPr>
        <w:t xml:space="preserve">Obtaining Discovery. </w:t>
      </w:r>
      <w:r>
        <w:rPr>
          <w:rStyle w:val="DeltaViewDeletion"/>
          <w:rFonts w:ascii="Times New Roman" w:eastAsia="Times New Roman" w:hAnsi="Times New Roman" w:cs="Times New Roman"/>
          <w:color w:val="auto"/>
          <w:sz w:val="26"/>
          <w:szCs w:val="24"/>
          <w:shd w:val="clear" w:color="auto" w:fill="FFFFFF"/>
        </w:rPr>
        <w:t xml:space="preserve"> </w:t>
      </w:r>
      <w:bookmarkStart w:id="314" w:name="_DV_C175"/>
      <w:bookmarkEnd w:id="313"/>
      <w:r>
        <w:rPr>
          <w:rStyle w:val="DeltaViewInsertion"/>
          <w:rFonts w:ascii="Times New Roman" w:eastAsia="Times New Roman" w:hAnsi="Times New Roman" w:cs="Times New Roman"/>
          <w:b/>
          <w:color w:val="auto"/>
          <w:sz w:val="26"/>
          <w:szCs w:val="24"/>
          <w:shd w:val="clear" w:color="auto" w:fill="FFFFFF"/>
        </w:rPr>
        <w:t xml:space="preserve">Discovery. </w:t>
      </w:r>
      <w:r>
        <w:rPr>
          <w:rStyle w:val="DeltaViewInsertion"/>
          <w:rFonts w:ascii="Times New Roman" w:eastAsia="Times New Roman" w:hAnsi="Times New Roman" w:cs="Times New Roman"/>
          <w:color w:val="auto"/>
          <w:sz w:val="26"/>
          <w:szCs w:val="24"/>
          <w:shd w:val="clear" w:color="auto" w:fill="FFFFFF"/>
        </w:rPr>
        <w:t xml:space="preserve"> </w:t>
      </w:r>
      <w:bookmarkEnd w:id="314"/>
    </w:p>
    <w:p w:rsidR="005A7492" w:rsidRPr="009754ED"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shd w:val="clear" w:color="auto" w:fill="FFFFFF"/>
        </w:rPr>
      </w:pPr>
      <w:bookmarkStart w:id="315" w:name="_DV_C177"/>
      <w:r>
        <w:rPr>
          <w:rStyle w:val="DeltaViewInsertion"/>
          <w:rFonts w:ascii="Times New Roman" w:eastAsia="Times New Roman" w:hAnsi="Times New Roman" w:cs="Times New Roman"/>
          <w:b/>
          <w:color w:val="auto"/>
          <w:sz w:val="26"/>
          <w:szCs w:val="24"/>
          <w:shd w:val="clear" w:color="auto" w:fill="FFFFFF"/>
        </w:rPr>
        <w:t>(1)</w:t>
      </w:r>
      <w:r>
        <w:rPr>
          <w:rStyle w:val="DeltaViewInsertion"/>
          <w:rFonts w:ascii="Times New Roman" w:eastAsia="Times New Roman" w:hAnsi="Times New Roman" w:cs="Times New Roman"/>
          <w:b/>
          <w:color w:val="auto"/>
          <w:sz w:val="26"/>
          <w:szCs w:val="24"/>
          <w:shd w:val="clear" w:color="auto" w:fill="FFFFFF"/>
        </w:rPr>
        <w:tab/>
      </w:r>
      <w:r>
        <w:rPr>
          <w:rStyle w:val="DeltaViewInsertion"/>
          <w:rFonts w:ascii="Times New Roman" w:eastAsia="Times New Roman" w:hAnsi="Times New Roman" w:cs="Times New Roman"/>
          <w:b/>
          <w:i/>
          <w:color w:val="auto"/>
          <w:sz w:val="26"/>
          <w:szCs w:val="24"/>
          <w:shd w:val="clear" w:color="auto" w:fill="FFFFFF"/>
        </w:rPr>
        <w:t xml:space="preserve">Generally. </w:t>
      </w:r>
      <w:r>
        <w:rPr>
          <w:rStyle w:val="DeltaViewInsertion"/>
          <w:rFonts w:ascii="Times New Roman" w:eastAsia="Times New Roman" w:hAnsi="Times New Roman" w:cs="Times New Roman"/>
          <w:color w:val="auto"/>
          <w:sz w:val="26"/>
          <w:szCs w:val="24"/>
          <w:shd w:val="clear" w:color="auto" w:fill="FFFFFF"/>
        </w:rPr>
        <w:t xml:space="preserve">Unless the court orders otherwise for good cause, no discovery may be served or taken during the 15-day automatic stay of enforcement of, or execution on, a judgment under Rule 62(a). </w:t>
      </w:r>
      <w:r w:rsidR="00E31FD8">
        <w:rPr>
          <w:rStyle w:val="DeltaViewInsertion"/>
          <w:rFonts w:ascii="Times New Roman" w:eastAsia="Times New Roman" w:hAnsi="Times New Roman" w:cs="Times New Roman"/>
          <w:color w:val="auto"/>
          <w:sz w:val="26"/>
          <w:szCs w:val="24"/>
          <w:shd w:val="clear" w:color="auto" w:fill="FFFFFF"/>
        </w:rPr>
        <w:t>I</w:t>
      </w:r>
      <w:r w:rsidR="00DE01DC">
        <w:rPr>
          <w:rStyle w:val="DeltaViewInsertion"/>
          <w:rFonts w:ascii="Times New Roman" w:eastAsia="Times New Roman" w:hAnsi="Times New Roman" w:cs="Times New Roman"/>
          <w:color w:val="auto"/>
          <w:sz w:val="26"/>
          <w:szCs w:val="24"/>
          <w:shd w:val="clear" w:color="auto" w:fill="FFFFFF"/>
        </w:rPr>
        <w:t xml:space="preserve">f no further stay is ordered, </w:t>
      </w:r>
      <w:r w:rsidR="00E31FD8">
        <w:rPr>
          <w:rStyle w:val="DeltaViewInsertion"/>
          <w:rFonts w:ascii="Times New Roman" w:eastAsia="Times New Roman" w:hAnsi="Times New Roman" w:cs="Times New Roman"/>
          <w:color w:val="auto"/>
          <w:sz w:val="26"/>
          <w:szCs w:val="24"/>
          <w:shd w:val="clear" w:color="auto" w:fill="FFFFFF"/>
        </w:rPr>
        <w:t>after that 15-day period and</w:t>
      </w:r>
      <w:r w:rsidR="00E31FD8">
        <w:rPr>
          <w:rStyle w:val="DeltaViewInsertion"/>
          <w:rFonts w:ascii="Times New Roman" w:eastAsia="Times New Roman" w:hAnsi="Times New Roman" w:cs="Times New Roman"/>
          <w:color w:val="auto"/>
          <w:sz w:val="26"/>
          <w:szCs w:val="24"/>
          <w:u w:val="none"/>
          <w:shd w:val="clear" w:color="auto" w:fill="FFFFFF"/>
        </w:rPr>
        <w:t xml:space="preserve"> </w:t>
      </w:r>
      <w:r w:rsidR="00D95338" w:rsidRPr="00D95338">
        <w:rPr>
          <w:rStyle w:val="DeltaViewInsertion"/>
          <w:rFonts w:ascii="Times New Roman" w:eastAsia="Times New Roman" w:hAnsi="Times New Roman" w:cs="Times New Roman"/>
          <w:strike/>
          <w:color w:val="auto"/>
          <w:sz w:val="26"/>
          <w:szCs w:val="24"/>
          <w:u w:val="none"/>
          <w:shd w:val="clear" w:color="auto" w:fill="FFFFFF"/>
        </w:rPr>
        <w:t>I</w:t>
      </w:r>
      <w:r w:rsidR="00E31FD8" w:rsidRPr="00D95338">
        <w:rPr>
          <w:rStyle w:val="DeltaViewInsertion"/>
          <w:rFonts w:ascii="Times New Roman" w:eastAsia="Times New Roman" w:hAnsi="Times New Roman" w:cs="Times New Roman"/>
          <w:color w:val="auto"/>
          <w:sz w:val="26"/>
          <w:szCs w:val="24"/>
          <w:shd w:val="clear" w:color="auto" w:fill="FFFFFF"/>
        </w:rPr>
        <w:t>i</w:t>
      </w:r>
      <w:r w:rsidR="00E31FD8">
        <w:rPr>
          <w:rStyle w:val="DeltaViewInsertion"/>
          <w:rFonts w:ascii="Times New Roman" w:eastAsia="Times New Roman" w:hAnsi="Times New Roman" w:cs="Times New Roman"/>
          <w:color w:val="auto"/>
          <w:sz w:val="26"/>
          <w:szCs w:val="24"/>
          <w:u w:val="none"/>
          <w:shd w:val="clear" w:color="auto" w:fill="FFFFFF"/>
        </w:rPr>
        <w:t xml:space="preserve">n aid of the judgment or execution, </w:t>
      </w:r>
      <w:r w:rsidR="00D95338">
        <w:rPr>
          <w:rStyle w:val="DeltaViewInsertion"/>
          <w:rFonts w:ascii="Times New Roman" w:eastAsia="Times New Roman" w:hAnsi="Times New Roman" w:cs="Times New Roman"/>
          <w:color w:val="auto"/>
          <w:sz w:val="26"/>
          <w:szCs w:val="24"/>
          <w:u w:val="none"/>
          <w:shd w:val="clear" w:color="auto" w:fill="FFFFFF"/>
        </w:rPr>
        <w:t xml:space="preserve">the </w:t>
      </w:r>
      <w:r w:rsidR="00DE01DC" w:rsidRPr="009754ED">
        <w:rPr>
          <w:rStyle w:val="DeltaViewInsertion"/>
          <w:rFonts w:ascii="Times New Roman" w:eastAsia="Times New Roman" w:hAnsi="Times New Roman" w:cs="Times New Roman"/>
          <w:color w:val="auto"/>
          <w:sz w:val="26"/>
          <w:szCs w:val="24"/>
          <w:u w:val="none"/>
          <w:shd w:val="clear" w:color="auto" w:fill="FFFFFF"/>
        </w:rPr>
        <w:t>judgment creditor or a successor in interest whose interest appears</w:t>
      </w:r>
      <w:r w:rsidR="009754ED">
        <w:rPr>
          <w:rStyle w:val="DeltaViewInsertion"/>
          <w:rFonts w:ascii="Times New Roman" w:eastAsia="Times New Roman" w:hAnsi="Times New Roman" w:cs="Times New Roman"/>
          <w:color w:val="auto"/>
          <w:sz w:val="26"/>
          <w:szCs w:val="24"/>
          <w:u w:val="none"/>
          <w:shd w:val="clear" w:color="auto" w:fill="FFFFFF"/>
        </w:rPr>
        <w:t xml:space="preserve"> </w:t>
      </w:r>
      <w:r w:rsidR="009754ED">
        <w:rPr>
          <w:rStyle w:val="DeltaViewInsertion"/>
          <w:rFonts w:ascii="Times New Roman" w:eastAsia="Times New Roman" w:hAnsi="Times New Roman" w:cs="Times New Roman"/>
          <w:strike/>
          <w:color w:val="auto"/>
          <w:sz w:val="26"/>
          <w:szCs w:val="24"/>
          <w:u w:val="none"/>
          <w:shd w:val="clear" w:color="auto" w:fill="FFFFFF"/>
        </w:rPr>
        <w:t xml:space="preserve">from the </w:t>
      </w:r>
      <w:r w:rsidR="00DE01DC">
        <w:rPr>
          <w:rStyle w:val="DeltaViewInsertion"/>
          <w:rFonts w:ascii="Times New Roman" w:eastAsia="Times New Roman" w:hAnsi="Times New Roman" w:cs="Times New Roman"/>
          <w:color w:val="auto"/>
          <w:sz w:val="26"/>
          <w:szCs w:val="24"/>
          <w:shd w:val="clear" w:color="auto" w:fill="FFFFFF"/>
        </w:rPr>
        <w:t xml:space="preserve">of record </w:t>
      </w:r>
      <w:r w:rsidR="00DE01DC" w:rsidRPr="009754ED">
        <w:rPr>
          <w:rStyle w:val="DeltaViewInsertion"/>
          <w:rFonts w:ascii="Times New Roman" w:eastAsia="Times New Roman" w:hAnsi="Times New Roman" w:cs="Times New Roman"/>
          <w:color w:val="auto"/>
          <w:sz w:val="26"/>
          <w:szCs w:val="24"/>
          <w:u w:val="none"/>
          <w:shd w:val="clear" w:color="auto" w:fill="FFFFFF"/>
        </w:rPr>
        <w:t>may obtain discovery from any person</w:t>
      </w:r>
      <w:r w:rsidR="009754ED" w:rsidRPr="009754ED">
        <w:rPr>
          <w:rFonts w:ascii="Times New Roman" w:eastAsia="Times New Roman" w:hAnsi="Times New Roman" w:cs="Times New Roman"/>
          <w:sz w:val="26"/>
          <w:szCs w:val="24"/>
          <w:shd w:val="clear" w:color="auto" w:fill="FFFFFF"/>
        </w:rPr>
        <w:t>—</w:t>
      </w:r>
      <w:r w:rsidR="00DE01DC" w:rsidRPr="009754ED">
        <w:rPr>
          <w:rStyle w:val="DeltaViewInsertion"/>
          <w:rFonts w:ascii="Times New Roman" w:eastAsia="Times New Roman" w:hAnsi="Times New Roman" w:cs="Times New Roman"/>
          <w:color w:val="auto"/>
          <w:sz w:val="26"/>
          <w:szCs w:val="24"/>
          <w:u w:val="none"/>
          <w:shd w:val="clear" w:color="auto" w:fill="FFFFFF"/>
        </w:rPr>
        <w:t>including the judgment debtor</w:t>
      </w:r>
      <w:r w:rsidR="009754ED" w:rsidRPr="009754ED">
        <w:rPr>
          <w:rFonts w:ascii="Times New Roman" w:eastAsia="Times New Roman" w:hAnsi="Times New Roman" w:cs="Times New Roman"/>
          <w:sz w:val="26"/>
          <w:szCs w:val="24"/>
          <w:shd w:val="clear" w:color="auto" w:fill="FFFFFF"/>
        </w:rPr>
        <w:t>—</w:t>
      </w:r>
      <w:r w:rsidR="00DE01DC" w:rsidRPr="009754ED">
        <w:rPr>
          <w:rStyle w:val="DeltaViewInsertion"/>
          <w:rFonts w:ascii="Times New Roman" w:eastAsia="Times New Roman" w:hAnsi="Times New Roman" w:cs="Times New Roman"/>
          <w:color w:val="auto"/>
          <w:sz w:val="26"/>
          <w:szCs w:val="24"/>
          <w:u w:val="none"/>
          <w:shd w:val="clear" w:color="auto" w:fill="FFFFFF"/>
        </w:rPr>
        <w:t xml:space="preserve">as provided in these rules and other applicable law. </w:t>
      </w:r>
      <w:bookmarkEnd w:id="315"/>
    </w:p>
    <w:p w:rsidR="005A7492" w:rsidRDefault="006B6D4D">
      <w:pPr>
        <w:widowControl/>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6"/>
          <w:szCs w:val="24"/>
          <w:shd w:val="clear" w:color="auto" w:fill="FFFFFF"/>
        </w:rPr>
      </w:pPr>
      <w:bookmarkStart w:id="316" w:name="_DV_C178"/>
      <w:r>
        <w:rPr>
          <w:rStyle w:val="DeltaViewInsertion"/>
          <w:rFonts w:ascii="Times New Roman" w:eastAsia="Times New Roman" w:hAnsi="Times New Roman" w:cs="Times New Roman"/>
          <w:b/>
          <w:color w:val="auto"/>
          <w:sz w:val="26"/>
          <w:szCs w:val="24"/>
          <w:shd w:val="clear" w:color="auto" w:fill="FFFFFF"/>
        </w:rPr>
        <w:t>(2)</w:t>
      </w:r>
      <w:r>
        <w:rPr>
          <w:rStyle w:val="DeltaViewInsertion"/>
          <w:rFonts w:ascii="Times New Roman" w:eastAsia="Times New Roman" w:hAnsi="Times New Roman" w:cs="Times New Roman"/>
          <w:b/>
          <w:color w:val="auto"/>
          <w:sz w:val="26"/>
          <w:szCs w:val="24"/>
          <w:shd w:val="clear" w:color="auto" w:fill="FFFFFF"/>
        </w:rPr>
        <w:tab/>
      </w:r>
      <w:r>
        <w:rPr>
          <w:rStyle w:val="DeltaViewInsertion"/>
          <w:rFonts w:ascii="Times New Roman" w:eastAsia="Times New Roman" w:hAnsi="Times New Roman" w:cs="Times New Roman"/>
          <w:b/>
          <w:i/>
          <w:color w:val="auto"/>
          <w:sz w:val="26"/>
          <w:szCs w:val="24"/>
          <w:shd w:val="clear" w:color="auto" w:fill="FFFFFF"/>
        </w:rPr>
        <w:t>After Stay of Judgment.</w:t>
      </w:r>
      <w:r>
        <w:rPr>
          <w:rStyle w:val="DeltaViewInsertion"/>
          <w:rFonts w:ascii="Times New Roman" w:eastAsia="Times New Roman" w:hAnsi="Times New Roman" w:cs="Times New Roman"/>
          <w:i/>
          <w:color w:val="auto"/>
          <w:sz w:val="26"/>
          <w:szCs w:val="24"/>
          <w:shd w:val="clear" w:color="auto" w:fill="FFFFFF"/>
        </w:rPr>
        <w:t xml:space="preserve"> </w:t>
      </w:r>
      <w:r>
        <w:rPr>
          <w:rStyle w:val="DeltaViewInsertion"/>
          <w:rFonts w:ascii="Times New Roman" w:eastAsia="Times New Roman" w:hAnsi="Times New Roman" w:cs="Times New Roman"/>
          <w:color w:val="auto"/>
          <w:sz w:val="26"/>
          <w:szCs w:val="24"/>
          <w:shd w:val="clear" w:color="auto" w:fill="FFFFFF"/>
        </w:rPr>
        <w:t xml:space="preserve">If enforcement of, or execution on, a judgment is stayed under Rule 7 of the Arizona Rules of Civil Appellate Procedure, or by other rule or court order, the court may allow discovery </w:t>
      </w:r>
      <w:bookmarkStart w:id="317" w:name="_DV_X173"/>
      <w:bookmarkStart w:id="318" w:name="_DV_C179"/>
      <w:bookmarkEnd w:id="316"/>
      <w:r>
        <w:rPr>
          <w:rStyle w:val="DeltaViewMoveDestination"/>
          <w:rFonts w:ascii="Times New Roman" w:eastAsia="Times New Roman" w:hAnsi="Times New Roman" w:cs="Times New Roman"/>
          <w:color w:val="auto"/>
          <w:sz w:val="26"/>
          <w:szCs w:val="24"/>
          <w:shd w:val="clear" w:color="auto" w:fill="FFFFFF"/>
        </w:rPr>
        <w:t>as provided in these rules and other applicable law</w:t>
      </w:r>
      <w:bookmarkStart w:id="319" w:name="_DV_C180"/>
      <w:bookmarkEnd w:id="317"/>
      <w:bookmarkEnd w:id="318"/>
      <w:r>
        <w:rPr>
          <w:rStyle w:val="DeltaViewInsertion"/>
          <w:rFonts w:ascii="Times New Roman" w:eastAsia="Times New Roman" w:hAnsi="Times New Roman" w:cs="Times New Roman"/>
          <w:color w:val="auto"/>
          <w:sz w:val="26"/>
          <w:szCs w:val="24"/>
          <w:shd w:val="clear" w:color="auto" w:fill="FFFFFF"/>
        </w:rPr>
        <w:t xml:space="preserve"> if: </w:t>
      </w:r>
      <w:bookmarkEnd w:id="319"/>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shd w:val="clear" w:color="auto" w:fill="FFFFFF"/>
        </w:rPr>
      </w:pPr>
      <w:bookmarkStart w:id="320" w:name="_DV_C181"/>
      <w:r>
        <w:rPr>
          <w:rStyle w:val="DeltaViewInsertion"/>
          <w:rFonts w:ascii="Times New Roman" w:eastAsia="Times New Roman" w:hAnsi="Times New Roman" w:cs="Times New Roman"/>
          <w:b/>
          <w:color w:val="auto"/>
          <w:sz w:val="26"/>
          <w:szCs w:val="24"/>
          <w:shd w:val="clear" w:color="auto" w:fill="FFFFFF"/>
        </w:rPr>
        <w:t>(A)</w:t>
      </w:r>
      <w:r>
        <w:rPr>
          <w:rStyle w:val="DeltaViewInsertion"/>
          <w:rFonts w:ascii="Times New Roman" w:eastAsia="Times New Roman" w:hAnsi="Times New Roman" w:cs="Times New Roman"/>
          <w:b/>
          <w:color w:val="auto"/>
          <w:sz w:val="26"/>
          <w:szCs w:val="24"/>
          <w:shd w:val="clear" w:color="auto" w:fill="FFFFFF"/>
        </w:rPr>
        <w:tab/>
      </w:r>
      <w:r>
        <w:rPr>
          <w:rStyle w:val="DeltaViewInsertion"/>
          <w:rFonts w:ascii="Times New Roman" w:eastAsia="Times New Roman" w:hAnsi="Times New Roman" w:cs="Times New Roman"/>
          <w:color w:val="auto"/>
          <w:sz w:val="26"/>
          <w:szCs w:val="24"/>
          <w:shd w:val="clear" w:color="auto" w:fill="FFFFFF"/>
        </w:rPr>
        <w:t>the amount of any supersedeas bond or other security posted does not cover the total amount of any monetary judgment, including costs, attorney’s fees, prejudgment interest, or punitive damages included in the judgment when entered; or</w:t>
      </w:r>
      <w:bookmarkEnd w:id="320"/>
    </w:p>
    <w:p w:rsidR="005A7492" w:rsidRDefault="006B6D4D">
      <w:pPr>
        <w:widowControl/>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sz w:val="26"/>
          <w:szCs w:val="24"/>
          <w:shd w:val="clear" w:color="auto" w:fill="FFFFFF"/>
        </w:rPr>
      </w:pPr>
      <w:bookmarkStart w:id="321" w:name="_DV_C182"/>
      <w:r>
        <w:rPr>
          <w:rStyle w:val="DeltaViewInsertion"/>
          <w:rFonts w:ascii="Times New Roman" w:eastAsia="Times New Roman" w:hAnsi="Times New Roman" w:cs="Times New Roman"/>
          <w:b/>
          <w:color w:val="auto"/>
          <w:sz w:val="26"/>
          <w:szCs w:val="24"/>
          <w:shd w:val="clear" w:color="auto" w:fill="FFFFFF"/>
        </w:rPr>
        <w:t>(B)</w:t>
      </w:r>
      <w:r>
        <w:rPr>
          <w:rStyle w:val="DeltaViewInsertion"/>
          <w:rFonts w:ascii="Times New Roman" w:eastAsia="Times New Roman" w:hAnsi="Times New Roman" w:cs="Times New Roman"/>
          <w:b/>
          <w:color w:val="auto"/>
          <w:sz w:val="26"/>
          <w:szCs w:val="24"/>
          <w:shd w:val="clear" w:color="auto" w:fill="FFFFFF"/>
        </w:rPr>
        <w:tab/>
      </w:r>
      <w:r>
        <w:rPr>
          <w:rStyle w:val="DeltaViewInsertion"/>
          <w:rFonts w:ascii="Times New Roman" w:eastAsia="Times New Roman" w:hAnsi="Times New Roman" w:cs="Times New Roman"/>
          <w:color w:val="auto"/>
          <w:sz w:val="26"/>
          <w:szCs w:val="24"/>
          <w:shd w:val="clear" w:color="auto" w:fill="FFFFFF"/>
        </w:rPr>
        <w:t>the discovery is necessary to protect the judgment creditor’s interest in the judgment during the pendency of post-trial motions or an appeal.</w:t>
      </w:r>
      <w:bookmarkEnd w:id="321"/>
    </w:p>
    <w:p w:rsidR="005A7492" w:rsidRDefault="006B6D4D">
      <w:pPr>
        <w:widowControl/>
        <w:tabs>
          <w:tab w:val="left" w:pos="389"/>
          <w:tab w:val="left" w:pos="605"/>
          <w:tab w:val="left" w:pos="778"/>
          <w:tab w:val="left" w:pos="1037"/>
          <w:tab w:val="left" w:pos="1368"/>
        </w:tabs>
        <w:spacing w:after="480" w:line="240" w:lineRule="auto"/>
        <w:ind w:left="778" w:hanging="389"/>
        <w:jc w:val="both"/>
        <w:rPr>
          <w:rFonts w:ascii="Times New Roman" w:eastAsia="Times New Roman" w:hAnsi="Times New Roman" w:cs="Times New Roman"/>
          <w:sz w:val="26"/>
          <w:szCs w:val="24"/>
          <w:shd w:val="clear" w:color="auto" w:fill="FFFFFF"/>
        </w:rPr>
      </w:pPr>
      <w:bookmarkStart w:id="322" w:name="_DV_C183"/>
      <w:r>
        <w:rPr>
          <w:rStyle w:val="DeltaViewInsertion"/>
          <w:rFonts w:ascii="Times New Roman" w:eastAsia="Times New Roman" w:hAnsi="Times New Roman" w:cs="Times New Roman"/>
          <w:b/>
          <w:color w:val="auto"/>
          <w:sz w:val="26"/>
          <w:szCs w:val="24"/>
          <w:shd w:val="clear" w:color="auto" w:fill="FFFFFF"/>
        </w:rPr>
        <w:t>(3)</w:t>
      </w:r>
      <w:r>
        <w:rPr>
          <w:rStyle w:val="DeltaViewInsertion"/>
          <w:rFonts w:ascii="Times New Roman" w:eastAsia="Times New Roman" w:hAnsi="Times New Roman" w:cs="Times New Roman"/>
          <w:b/>
          <w:color w:val="auto"/>
          <w:sz w:val="26"/>
          <w:szCs w:val="24"/>
          <w:shd w:val="clear" w:color="auto" w:fill="FFFFFF"/>
        </w:rPr>
        <w:tab/>
      </w:r>
      <w:r>
        <w:rPr>
          <w:rStyle w:val="DeltaViewInsertion"/>
          <w:rFonts w:ascii="Times New Roman" w:eastAsia="Times New Roman" w:hAnsi="Times New Roman" w:cs="Times New Roman"/>
          <w:b/>
          <w:i/>
          <w:color w:val="auto"/>
          <w:sz w:val="26"/>
          <w:szCs w:val="24"/>
          <w:shd w:val="clear" w:color="auto" w:fill="FFFFFF"/>
        </w:rPr>
        <w:t>Limitations.</w:t>
      </w:r>
      <w:r>
        <w:rPr>
          <w:rStyle w:val="DeltaViewInsertion"/>
          <w:rFonts w:ascii="Times New Roman" w:eastAsia="Times New Roman" w:hAnsi="Times New Roman" w:cs="Times New Roman"/>
          <w:i/>
          <w:color w:val="auto"/>
          <w:sz w:val="26"/>
          <w:szCs w:val="24"/>
          <w:shd w:val="clear" w:color="auto" w:fill="FFFFFF"/>
        </w:rPr>
        <w:t xml:space="preserve">  </w:t>
      </w:r>
      <w:r>
        <w:rPr>
          <w:rStyle w:val="DeltaViewInsertion"/>
          <w:rFonts w:ascii="Times New Roman" w:eastAsia="Times New Roman" w:hAnsi="Times New Roman" w:cs="Times New Roman"/>
          <w:color w:val="auto"/>
          <w:sz w:val="26"/>
          <w:szCs w:val="24"/>
          <w:shd w:val="clear" w:color="auto" w:fill="FFFFFF"/>
        </w:rPr>
        <w:t>The court may limit discovery under Rule 69(c)(2) to protect the party against whom the discovery is requested from undue burden or expense while the appeal is pending.</w:t>
      </w:r>
      <w:bookmarkEnd w:id="322"/>
    </w:p>
    <w:p w:rsidR="005A7492" w:rsidRDefault="006B6D4D">
      <w:pPr>
        <w:widowControl/>
        <w:spacing w:after="0" w:line="240" w:lineRule="auto"/>
      </w:pPr>
      <w:r>
        <w:rPr>
          <w:rFonts w:ascii="Times New Roman" w:eastAsia="Times New Roman" w:hAnsi="Times New Roman" w:cs="Times New Roman"/>
          <w:sz w:val="26"/>
          <w:szCs w:val="24"/>
          <w:shd w:val="clear" w:color="auto" w:fill="FFFFFF"/>
        </w:rPr>
        <w:t xml:space="preserve"> </w:t>
      </w:r>
    </w:p>
    <w:sectPr w:rsidR="005A74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492" w:rsidRDefault="006B6D4D">
      <w:pPr>
        <w:widowControl/>
        <w:spacing w:after="0" w:line="240" w:lineRule="auto"/>
      </w:pPr>
      <w:r>
        <w:separator/>
      </w:r>
    </w:p>
  </w:endnote>
  <w:endnote w:type="continuationSeparator" w:id="0">
    <w:p w:rsidR="005A7492" w:rsidRDefault="006B6D4D">
      <w:pPr>
        <w:widowControl/>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33" w:rsidRDefault="00BA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23" w:name="_DV_C1"/>
  <w:p w:rsidR="005A7492" w:rsidRDefault="006B6D4D">
    <w:pPr>
      <w:pStyle w:val="Footer"/>
      <w:widowControl/>
      <w:tabs>
        <w:tab w:val="clear" w:pos="8630"/>
        <w:tab w:val="left" w:pos="9350"/>
      </w:tabs>
      <w:jc w:val="center"/>
      <w:rPr>
        <w:rFonts w:ascii="Times New Roman" w:hAnsi="Times New Roman" w:cs="Times New Roman"/>
        <w:sz w:val="26"/>
        <w:szCs w:val="24"/>
      </w:rPr>
    </w:pPr>
    <w:r>
      <w:rPr>
        <w:rStyle w:val="DeltaViewInsertion"/>
        <w:rFonts w:ascii="Times New Roman" w:eastAsia="MS Mincho" w:hAnsi="Times New Roman" w:cs="Times New Roman"/>
        <w:color w:val="auto"/>
        <w:sz w:val="26"/>
        <w:szCs w:val="24"/>
      </w:rPr>
      <w:fldChar w:fldCharType="begin"/>
    </w:r>
    <w:r>
      <w:rPr>
        <w:rStyle w:val="DeltaViewInsertion"/>
        <w:rFonts w:ascii="Times New Roman" w:eastAsia="MS Mincho" w:hAnsi="Times New Roman" w:cs="Times New Roman"/>
        <w:color w:val="auto"/>
        <w:sz w:val="26"/>
        <w:szCs w:val="24"/>
      </w:rPr>
      <w:instrText xml:space="preserve"> PAGE   \* MERGEFORMAT </w:instrText>
    </w:r>
    <w:r>
      <w:rPr>
        <w:rStyle w:val="DeltaViewInsertion"/>
        <w:rFonts w:ascii="Times New Roman" w:eastAsia="MS Mincho" w:hAnsi="Times New Roman" w:cs="Times New Roman"/>
        <w:color w:val="auto"/>
        <w:sz w:val="26"/>
        <w:szCs w:val="24"/>
      </w:rPr>
      <w:fldChar w:fldCharType="separate"/>
    </w:r>
    <w:r w:rsidR="00BA3233">
      <w:rPr>
        <w:rStyle w:val="DeltaViewInsertion"/>
        <w:rFonts w:ascii="Times New Roman" w:eastAsia="MS Mincho" w:hAnsi="Times New Roman" w:cs="Times New Roman"/>
        <w:noProof/>
        <w:color w:val="auto"/>
        <w:sz w:val="26"/>
        <w:szCs w:val="24"/>
      </w:rPr>
      <w:t>3</w:t>
    </w:r>
    <w:r>
      <w:rPr>
        <w:rStyle w:val="DeltaViewInsertion"/>
        <w:rFonts w:ascii="Times New Roman" w:eastAsia="MS Mincho" w:hAnsi="Times New Roman" w:cs="Times New Roman"/>
        <w:color w:val="auto"/>
        <w:sz w:val="26"/>
        <w:szCs w:val="24"/>
      </w:rPr>
      <w:fldChar w:fldCharType="end"/>
    </w:r>
    <w:bookmarkEnd w:id="323"/>
  </w:p>
  <w:p w:rsidR="005A7492" w:rsidRDefault="006B6D4D">
    <w:pPr>
      <w:pStyle w:val="Footer"/>
      <w:widowControl/>
      <w:tabs>
        <w:tab w:val="clear" w:pos="8630"/>
        <w:tab w:val="left" w:pos="9350"/>
      </w:tabs>
      <w:spacing w:line="200" w:lineRule="exact"/>
      <w:rPr>
        <w:rStyle w:val="DeltaViewInsertion"/>
        <w:rFonts w:eastAsia="MS Mincho" w:cs="Times New Roman"/>
        <w:color w:val="auto"/>
      </w:rPr>
    </w:pPr>
    <w:bookmarkStart w:id="324" w:name="_DV_C2"/>
    <w:r>
      <w:rPr>
        <w:rStyle w:val="DeltaViewInsertion"/>
        <w:rFonts w:eastAsia="MS Mincho" w:cs="Times New Roman"/>
        <w:noProof/>
        <w:color w:val="auto"/>
        <w:sz w:val="16"/>
        <w:szCs w:val="16"/>
      </w:rPr>
      <w:t>133581748.10</w:t>
    </w:r>
    <w:r>
      <w:rPr>
        <w:rStyle w:val="DeltaViewInsertion"/>
        <w:rFonts w:eastAsia="MS Mincho" w:cs="Times New Roman"/>
        <w:color w:val="auto"/>
      </w:rPr>
      <w:t xml:space="preserve"> </w:t>
    </w:r>
    <w:bookmarkEnd w:id="324"/>
  </w:p>
  <w:p w:rsidR="00C32CBC" w:rsidRDefault="00C32CBC" w:rsidP="00C32CBC">
    <w:pPr>
      <w:pStyle w:val="Footer"/>
      <w:widowControl/>
      <w:tabs>
        <w:tab w:val="clear" w:pos="8630"/>
        <w:tab w:val="left" w:pos="9350"/>
      </w:tabs>
      <w:spacing w:line="200" w:lineRule="exact"/>
      <w:rPr>
        <w:rStyle w:val="DeltaViewInsertion"/>
        <w:rFonts w:eastAsia="MS Mincho" w:cs="Times New Roman"/>
        <w:color w:val="auto"/>
      </w:rPr>
    </w:pPr>
    <w:r w:rsidRPr="00C32CBC">
      <w:rPr>
        <w:rStyle w:val="zzmpTrailerItem"/>
      </w:rPr>
      <w:t>140114423.2</w:t>
    </w:r>
    <w:r w:rsidRPr="00C32CB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92" w:rsidRDefault="006B6D4D">
    <w:pPr>
      <w:pStyle w:val="Footer"/>
      <w:widowControl/>
      <w:tabs>
        <w:tab w:val="clear" w:pos="8630"/>
        <w:tab w:val="left" w:pos="9350"/>
      </w:tabs>
      <w:jc w:val="center"/>
      <w:rPr>
        <w:rFonts w:ascii="Times New Roman" w:hAnsi="Times New Roman" w:cs="Times New Roman"/>
        <w:sz w:val="26"/>
        <w:szCs w:val="24"/>
      </w:rPr>
    </w:pPr>
    <w:r>
      <w:rPr>
        <w:rFonts w:ascii="Times New Roman" w:eastAsia="MS Mincho" w:hAnsi="Times New Roman" w:cs="Times New Roman"/>
        <w:sz w:val="26"/>
        <w:szCs w:val="24"/>
      </w:rPr>
      <w:fldChar w:fldCharType="begin"/>
    </w:r>
    <w:r>
      <w:rPr>
        <w:rFonts w:ascii="Times New Roman" w:eastAsia="MS Mincho" w:hAnsi="Times New Roman" w:cs="Times New Roman"/>
        <w:sz w:val="26"/>
        <w:szCs w:val="24"/>
      </w:rPr>
      <w:instrText xml:space="preserve"> PAGE   \* MERGEFORMAT </w:instrText>
    </w:r>
    <w:r>
      <w:rPr>
        <w:rFonts w:ascii="Times New Roman" w:eastAsia="MS Mincho" w:hAnsi="Times New Roman" w:cs="Times New Roman"/>
        <w:sz w:val="26"/>
        <w:szCs w:val="24"/>
      </w:rPr>
      <w:fldChar w:fldCharType="separate"/>
    </w:r>
    <w:r w:rsidR="00BA3233">
      <w:rPr>
        <w:rFonts w:ascii="Times New Roman" w:eastAsia="MS Mincho" w:hAnsi="Times New Roman" w:cs="Times New Roman"/>
        <w:noProof/>
        <w:sz w:val="26"/>
        <w:szCs w:val="24"/>
      </w:rPr>
      <w:t>1</w:t>
    </w:r>
    <w:r>
      <w:rPr>
        <w:rFonts w:ascii="Times New Roman" w:eastAsia="MS Mincho" w:hAnsi="Times New Roman" w:cs="Times New Roman"/>
        <w:sz w:val="26"/>
        <w:szCs w:val="24"/>
      </w:rPr>
      <w:fldChar w:fldCharType="end"/>
    </w:r>
  </w:p>
  <w:p w:rsidR="005A7492" w:rsidRDefault="006B6D4D">
    <w:pPr>
      <w:pStyle w:val="Footer"/>
      <w:widowControl/>
      <w:tabs>
        <w:tab w:val="clear" w:pos="8630"/>
        <w:tab w:val="left" w:pos="9350"/>
      </w:tabs>
      <w:spacing w:line="200" w:lineRule="exact"/>
      <w:rPr>
        <w:rStyle w:val="DeltaViewInsertion"/>
        <w:rFonts w:eastAsia="MS Mincho" w:cs="Times New Roman"/>
        <w:color w:val="auto"/>
      </w:rPr>
    </w:pPr>
    <w:bookmarkStart w:id="325" w:name="_DV_C3"/>
    <w:r>
      <w:rPr>
        <w:rStyle w:val="DeltaViewInsertion"/>
        <w:rFonts w:eastAsia="MS Mincho" w:cs="Times New Roman"/>
        <w:noProof/>
        <w:color w:val="auto"/>
        <w:sz w:val="16"/>
        <w:szCs w:val="16"/>
      </w:rPr>
      <w:t>133581748.10</w:t>
    </w:r>
    <w:r>
      <w:rPr>
        <w:rStyle w:val="DeltaViewInsertion"/>
        <w:rFonts w:eastAsia="MS Mincho" w:cs="Times New Roman"/>
        <w:color w:val="auto"/>
      </w:rPr>
      <w:t xml:space="preserve"> </w:t>
    </w:r>
    <w:bookmarkEnd w:id="325"/>
  </w:p>
  <w:p w:rsidR="00C32CBC" w:rsidRDefault="00C32CBC" w:rsidP="00C32CBC">
    <w:pPr>
      <w:pStyle w:val="Footer"/>
      <w:widowControl/>
      <w:tabs>
        <w:tab w:val="clear" w:pos="8630"/>
        <w:tab w:val="left" w:pos="9350"/>
      </w:tabs>
      <w:spacing w:line="200" w:lineRule="exact"/>
      <w:rPr>
        <w:rStyle w:val="DeltaViewInsertion"/>
        <w:rFonts w:eastAsia="MS Mincho" w:cs="Times New Roman"/>
        <w:color w:val="auto"/>
      </w:rPr>
    </w:pPr>
    <w:r w:rsidRPr="00C32CBC">
      <w:rPr>
        <w:rStyle w:val="zzmpTrailerItem"/>
      </w:rPr>
      <w:t>140114423.2</w:t>
    </w:r>
    <w:r w:rsidRPr="00C32CB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492" w:rsidRDefault="006B6D4D">
      <w:pPr>
        <w:widowControl/>
        <w:spacing w:after="0" w:line="240" w:lineRule="auto"/>
      </w:pPr>
      <w:r>
        <w:separator/>
      </w:r>
    </w:p>
  </w:footnote>
  <w:footnote w:type="continuationSeparator" w:id="0">
    <w:p w:rsidR="005A7492" w:rsidRDefault="006B6D4D">
      <w:pPr>
        <w:widowControl/>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233" w:rsidRDefault="00BA3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92" w:rsidRDefault="005A7492">
    <w:pPr>
      <w:widowControl/>
      <w:spacing w:after="0" w:line="240" w:lineRule="auto"/>
      <w:rPr>
        <w:rFonts w:ascii="Times New Roman" w:hAnsi="Times New Roman" w:cs="Times New Roman"/>
        <w:sz w:val="26"/>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7492" w:rsidRDefault="005A7492">
    <w:pPr>
      <w:widowControl/>
      <w:spacing w:after="0" w:line="240" w:lineRule="auto"/>
      <w:rPr>
        <w:rFonts w:ascii="Times New Roman" w:hAnsi="Times New Roman" w:cs="Times New Roman"/>
        <w:sz w:val="26"/>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DC89432"/>
    <w:lvl w:ilvl="0">
      <w:start w:val="1"/>
      <w:numFmt w:val="decimal"/>
      <w:pStyle w:val="ListNumber51"/>
      <w:lvlText w:val="%1."/>
      <w:lvlJc w:val="left"/>
      <w:pPr>
        <w:tabs>
          <w:tab w:val="num" w:pos="1800"/>
        </w:tabs>
        <w:ind w:left="1800" w:hanging="360"/>
      </w:pPr>
    </w:lvl>
  </w:abstractNum>
  <w:abstractNum w:abstractNumId="1" w15:restartNumberingAfterBreak="0">
    <w:nsid w:val="00000002"/>
    <w:multiLevelType w:val="singleLevel"/>
    <w:tmpl w:val="BC381F42"/>
    <w:lvl w:ilvl="0">
      <w:start w:val="1"/>
      <w:numFmt w:val="decimal"/>
      <w:pStyle w:val="ListNumber41"/>
      <w:lvlText w:val="%1."/>
      <w:lvlJc w:val="left"/>
      <w:pPr>
        <w:tabs>
          <w:tab w:val="num" w:pos="1440"/>
        </w:tabs>
        <w:ind w:left="1440" w:hanging="360"/>
      </w:pPr>
    </w:lvl>
  </w:abstractNum>
  <w:abstractNum w:abstractNumId="2" w15:restartNumberingAfterBreak="0">
    <w:nsid w:val="00000003"/>
    <w:multiLevelType w:val="singleLevel"/>
    <w:tmpl w:val="60EEF7F2"/>
    <w:lvl w:ilvl="0">
      <w:start w:val="1"/>
      <w:numFmt w:val="decimal"/>
      <w:pStyle w:val="ListNumber31"/>
      <w:lvlText w:val="%1."/>
      <w:lvlJc w:val="left"/>
      <w:pPr>
        <w:tabs>
          <w:tab w:val="num" w:pos="1080"/>
        </w:tabs>
        <w:ind w:left="1080" w:hanging="360"/>
      </w:pPr>
    </w:lvl>
  </w:abstractNum>
  <w:abstractNum w:abstractNumId="3" w15:restartNumberingAfterBreak="0">
    <w:nsid w:val="00000004"/>
    <w:multiLevelType w:val="singleLevel"/>
    <w:tmpl w:val="1C60DF3A"/>
    <w:lvl w:ilvl="0">
      <w:start w:val="1"/>
      <w:numFmt w:val="decimal"/>
      <w:pStyle w:val="ListNumber21"/>
      <w:lvlText w:val="%1."/>
      <w:lvlJc w:val="left"/>
      <w:pPr>
        <w:tabs>
          <w:tab w:val="num" w:pos="720"/>
        </w:tabs>
        <w:ind w:left="720" w:hanging="360"/>
      </w:pPr>
    </w:lvl>
  </w:abstractNum>
  <w:abstractNum w:abstractNumId="4" w15:restartNumberingAfterBreak="0">
    <w:nsid w:val="00000005"/>
    <w:multiLevelType w:val="singleLevel"/>
    <w:tmpl w:val="9DB4A616"/>
    <w:lvl w:ilvl="0">
      <w:start w:val="1"/>
      <w:numFmt w:val="bullet"/>
      <w:pStyle w:val="ListBullet51"/>
      <w:lvlText w:val=""/>
      <w:lvlJc w:val="left"/>
      <w:pPr>
        <w:tabs>
          <w:tab w:val="num" w:pos="1800"/>
        </w:tabs>
        <w:ind w:left="1800" w:hanging="360"/>
      </w:pPr>
      <w:rPr>
        <w:rFonts w:ascii="Symbol" w:hAnsi="Symbol"/>
      </w:rPr>
    </w:lvl>
  </w:abstractNum>
  <w:abstractNum w:abstractNumId="5" w15:restartNumberingAfterBreak="0">
    <w:nsid w:val="00000006"/>
    <w:multiLevelType w:val="singleLevel"/>
    <w:tmpl w:val="4FA4A222"/>
    <w:lvl w:ilvl="0">
      <w:start w:val="1"/>
      <w:numFmt w:val="bullet"/>
      <w:pStyle w:val="ListBullet41"/>
      <w:lvlText w:val=""/>
      <w:lvlJc w:val="left"/>
      <w:pPr>
        <w:tabs>
          <w:tab w:val="num" w:pos="1440"/>
        </w:tabs>
        <w:ind w:left="1440" w:hanging="360"/>
      </w:pPr>
      <w:rPr>
        <w:rFonts w:ascii="Symbol" w:hAnsi="Symbol"/>
      </w:rPr>
    </w:lvl>
  </w:abstractNum>
  <w:abstractNum w:abstractNumId="6" w15:restartNumberingAfterBreak="0">
    <w:nsid w:val="00000007"/>
    <w:multiLevelType w:val="singleLevel"/>
    <w:tmpl w:val="B9EAD4EE"/>
    <w:lvl w:ilvl="0">
      <w:start w:val="1"/>
      <w:numFmt w:val="bullet"/>
      <w:pStyle w:val="ListBullet31"/>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DF6A86E0"/>
    <w:lvl w:ilvl="0">
      <w:start w:val="1"/>
      <w:numFmt w:val="bullet"/>
      <w:pStyle w:val="ListBullet21"/>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3C3E7642"/>
    <w:lvl w:ilvl="0">
      <w:start w:val="1"/>
      <w:numFmt w:val="decimal"/>
      <w:pStyle w:val="ListNumber1"/>
      <w:lvlText w:val="%1."/>
      <w:lvlJc w:val="left"/>
      <w:pPr>
        <w:tabs>
          <w:tab w:val="num" w:pos="360"/>
        </w:tabs>
        <w:ind w:left="360" w:hanging="360"/>
      </w:pPr>
    </w:lvl>
  </w:abstractNum>
  <w:abstractNum w:abstractNumId="9" w15:restartNumberingAfterBreak="0">
    <w:nsid w:val="0000000A"/>
    <w:multiLevelType w:val="singleLevel"/>
    <w:tmpl w:val="7B1A32A8"/>
    <w:lvl w:ilvl="0">
      <w:start w:val="1"/>
      <w:numFmt w:val="bullet"/>
      <w:pStyle w:val="ListBullet1"/>
      <w:lvlText w:val=""/>
      <w:lvlJc w:val="left"/>
      <w:pPr>
        <w:tabs>
          <w:tab w:val="num" w:pos="360"/>
        </w:tabs>
        <w:ind w:left="360" w:hanging="360"/>
      </w:pPr>
      <w:rPr>
        <w:rFonts w:ascii="Symbol" w:hAnsi="Symbol"/>
      </w:rPr>
    </w:lvl>
  </w:abstractNum>
  <w:abstractNum w:abstractNumId="10" w15:restartNumberingAfterBreak="0">
    <w:nsid w:val="0000000B"/>
    <w:multiLevelType w:val="hybridMultilevel"/>
    <w:tmpl w:val="B26662F4"/>
    <w:lvl w:ilvl="0" w:tplc="00000000">
      <w:start w:val="1"/>
      <w:numFmt w:val="upperLetter"/>
      <w:lvlText w:val="(%1)"/>
      <w:lvlJc w:val="left"/>
      <w:pPr>
        <w:ind w:left="978" w:hanging="690"/>
      </w:pPr>
      <w:rPr>
        <w:b/>
        <w:u w:val="none"/>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11" w15:restartNumberingAfterBreak="0">
    <w:nsid w:val="0000000C"/>
    <w:multiLevelType w:val="hybridMultilevel"/>
    <w:tmpl w:val="2DC06CCA"/>
    <w:lvl w:ilvl="0" w:tplc="00000000">
      <w:start w:val="59"/>
      <w:numFmt w:val="bullet"/>
      <w:lvlText w:val=""/>
      <w:lvlJc w:val="left"/>
      <w:pPr>
        <w:ind w:left="720" w:hanging="360"/>
      </w:pPr>
      <w:rPr>
        <w:rFonts w:ascii="Wingdings" w:eastAsia="Times New Roman" w:hAnsi="Wingdings" w:cs="Times New Roman"/>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2" w15:restartNumberingAfterBreak="0">
    <w:nsid w:val="0000000D"/>
    <w:multiLevelType w:val="hybridMultilevel"/>
    <w:tmpl w:val="8416CD4A"/>
    <w:lvl w:ilvl="0" w:tplc="00000000">
      <w:start w:val="1"/>
      <w:numFmt w:val="bullet"/>
      <w:lvlText w:val="●"/>
      <w:lvlJc w:val="left"/>
      <w:pPr>
        <w:ind w:left="720" w:hanging="360"/>
      </w:pPr>
      <w:rPr>
        <w:rFonts w:ascii="Arial" w:eastAsia="Times New Roman" w:hAnsi="Aria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3" w15:restartNumberingAfterBreak="0">
    <w:nsid w:val="0000000E"/>
    <w:multiLevelType w:val="hybridMultilevel"/>
    <w:tmpl w:val="71146C9A"/>
    <w:lvl w:ilvl="0" w:tplc="00000000">
      <w:start w:val="1"/>
      <w:numFmt w:val="bullet"/>
      <w:lvlText w:val=""/>
      <w:lvlJc w:val="left"/>
      <w:pPr>
        <w:ind w:left="900" w:hanging="360"/>
      </w:pPr>
      <w:rPr>
        <w:rFonts w:ascii="Symbol" w:hAnsi="Symbol"/>
      </w:rPr>
    </w:lvl>
    <w:lvl w:ilvl="1" w:tplc="00000001">
      <w:start w:val="1"/>
      <w:numFmt w:val="bullet"/>
      <w:lvlText w:val="o"/>
      <w:lvlJc w:val="left"/>
      <w:pPr>
        <w:ind w:left="1620" w:hanging="360"/>
      </w:pPr>
      <w:rPr>
        <w:rFonts w:ascii="Courier New" w:hAnsi="Courier New" w:cs="Courier New"/>
      </w:rPr>
    </w:lvl>
    <w:lvl w:ilvl="2" w:tplc="00000002">
      <w:start w:val="1"/>
      <w:numFmt w:val="bullet"/>
      <w:lvlText w:val=""/>
      <w:lvlJc w:val="left"/>
      <w:pPr>
        <w:ind w:left="2340" w:hanging="360"/>
      </w:pPr>
      <w:rPr>
        <w:rFonts w:ascii="Wingdings" w:hAnsi="Wingdings"/>
      </w:rPr>
    </w:lvl>
    <w:lvl w:ilvl="3" w:tplc="00000003">
      <w:start w:val="1"/>
      <w:numFmt w:val="bullet"/>
      <w:lvlText w:val=""/>
      <w:lvlJc w:val="left"/>
      <w:pPr>
        <w:ind w:left="3060" w:hanging="360"/>
      </w:pPr>
      <w:rPr>
        <w:rFonts w:ascii="Symbol" w:hAnsi="Symbol"/>
      </w:rPr>
    </w:lvl>
    <w:lvl w:ilvl="4" w:tplc="00000004">
      <w:start w:val="1"/>
      <w:numFmt w:val="bullet"/>
      <w:lvlText w:val="o"/>
      <w:lvlJc w:val="left"/>
      <w:pPr>
        <w:ind w:left="3780" w:hanging="360"/>
      </w:pPr>
      <w:rPr>
        <w:rFonts w:ascii="Courier New" w:hAnsi="Courier New" w:cs="Courier New"/>
      </w:rPr>
    </w:lvl>
    <w:lvl w:ilvl="5" w:tplc="00000005">
      <w:start w:val="1"/>
      <w:numFmt w:val="bullet"/>
      <w:lvlText w:val=""/>
      <w:lvlJc w:val="left"/>
      <w:pPr>
        <w:ind w:left="4500" w:hanging="360"/>
      </w:pPr>
      <w:rPr>
        <w:rFonts w:ascii="Wingdings" w:hAnsi="Wingdings"/>
      </w:rPr>
    </w:lvl>
    <w:lvl w:ilvl="6" w:tplc="00000006">
      <w:start w:val="1"/>
      <w:numFmt w:val="bullet"/>
      <w:lvlText w:val=""/>
      <w:lvlJc w:val="left"/>
      <w:pPr>
        <w:ind w:left="5220" w:hanging="360"/>
      </w:pPr>
      <w:rPr>
        <w:rFonts w:ascii="Symbol" w:hAnsi="Symbol"/>
      </w:rPr>
    </w:lvl>
    <w:lvl w:ilvl="7" w:tplc="00000007">
      <w:start w:val="1"/>
      <w:numFmt w:val="bullet"/>
      <w:lvlText w:val="o"/>
      <w:lvlJc w:val="left"/>
      <w:pPr>
        <w:ind w:left="5940" w:hanging="360"/>
      </w:pPr>
      <w:rPr>
        <w:rFonts w:ascii="Courier New" w:hAnsi="Courier New" w:cs="Courier New"/>
      </w:rPr>
    </w:lvl>
    <w:lvl w:ilvl="8" w:tplc="00000008">
      <w:start w:val="1"/>
      <w:numFmt w:val="bullet"/>
      <w:lvlText w:val=""/>
      <w:lvlJc w:val="left"/>
      <w:pPr>
        <w:ind w:left="6660" w:hanging="360"/>
      </w:pPr>
      <w:rPr>
        <w:rFonts w:ascii="Wingdings" w:hAnsi="Wingdings"/>
      </w:rPr>
    </w:lvl>
  </w:abstractNum>
  <w:abstractNum w:abstractNumId="14" w15:restartNumberingAfterBreak="0">
    <w:nsid w:val="0000000F"/>
    <w:multiLevelType w:val="hybridMultilevel"/>
    <w:tmpl w:val="5BECC204"/>
    <w:lvl w:ilvl="0" w:tplc="00000000">
      <w:start w:val="1"/>
      <w:numFmt w:val="bullet"/>
      <w:lvlText w:val="●"/>
      <w:lvlJc w:val="left"/>
      <w:pPr>
        <w:ind w:left="720" w:hanging="360"/>
      </w:pPr>
      <w:rPr>
        <w:rFonts w:ascii="Arial" w:eastAsia="Times New Roman" w:hAnsi="Aria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rPr>
    </w:lvl>
  </w:abstractNum>
  <w:abstractNum w:abstractNumId="15" w15:restartNumberingAfterBreak="0">
    <w:nsid w:val="00000010"/>
    <w:multiLevelType w:val="hybridMultilevel"/>
    <w:tmpl w:val="2D8CC5B2"/>
    <w:lvl w:ilvl="0" w:tplc="00000000">
      <w:start w:val="1"/>
      <w:numFmt w:val="decimal"/>
      <w:lvlText w:val="(%1)"/>
      <w:lvlJc w:val="left"/>
      <w:pPr>
        <w:ind w:left="648" w:hanging="36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16" w15:restartNumberingAfterBreak="0">
    <w:nsid w:val="00000011"/>
    <w:multiLevelType w:val="multilevel"/>
    <w:tmpl w:val="BB02D856"/>
    <w:name w:val="LRR Par"/>
    <w:lvl w:ilvl="0">
      <w:start w:val="1"/>
      <w:numFmt w:val="decimal"/>
      <w:pStyle w:val="Heading11"/>
      <w:lvlText w:val="%1."/>
      <w:lvlJc w:val="left"/>
      <w:pPr>
        <w:tabs>
          <w:tab w:val="num" w:pos="1440"/>
        </w:tabs>
        <w:ind w:firstLine="720"/>
      </w:pPr>
      <w:rPr>
        <w:caps w:val="0"/>
        <w:color w:val="010000"/>
        <w:u w:val="none"/>
      </w:rPr>
    </w:lvl>
    <w:lvl w:ilvl="1">
      <w:start w:val="1"/>
      <w:numFmt w:val="lowerLetter"/>
      <w:pStyle w:val="Heading21"/>
      <w:lvlText w:val="%2."/>
      <w:lvlJc w:val="left"/>
      <w:pPr>
        <w:tabs>
          <w:tab w:val="num" w:pos="2160"/>
        </w:tabs>
        <w:ind w:firstLine="1440"/>
      </w:pPr>
      <w:rPr>
        <w:caps w:val="0"/>
        <w:color w:val="010000"/>
        <w:u w:val="none"/>
      </w:rPr>
    </w:lvl>
    <w:lvl w:ilvl="2">
      <w:start w:val="1"/>
      <w:numFmt w:val="lowerRoman"/>
      <w:pStyle w:val="Heading31"/>
      <w:lvlText w:val="%3."/>
      <w:lvlJc w:val="left"/>
      <w:pPr>
        <w:tabs>
          <w:tab w:val="num" w:pos="2880"/>
        </w:tabs>
        <w:ind w:left="720" w:firstLine="1440"/>
      </w:pPr>
      <w:rPr>
        <w:caps w:val="0"/>
        <w:color w:val="010000"/>
        <w:u w:val="none"/>
      </w:rPr>
    </w:lvl>
    <w:lvl w:ilvl="3">
      <w:start w:val="1"/>
      <w:numFmt w:val="decimal"/>
      <w:pStyle w:val="Heading41"/>
      <w:lvlText w:val="(%4)"/>
      <w:lvlJc w:val="left"/>
      <w:pPr>
        <w:tabs>
          <w:tab w:val="num" w:pos="3600"/>
        </w:tabs>
        <w:ind w:left="1440" w:firstLine="1440"/>
      </w:pPr>
      <w:rPr>
        <w:caps w:val="0"/>
        <w:color w:val="010000"/>
        <w:u w:val="none"/>
      </w:rPr>
    </w:lvl>
    <w:lvl w:ilvl="4">
      <w:start w:val="1"/>
      <w:numFmt w:val="upperLetter"/>
      <w:pStyle w:val="Heading51"/>
      <w:lvlText w:val="(%5)"/>
      <w:lvlJc w:val="left"/>
      <w:pPr>
        <w:tabs>
          <w:tab w:val="num" w:pos="4320"/>
        </w:tabs>
        <w:ind w:left="2160" w:firstLine="1440"/>
      </w:pPr>
      <w:rPr>
        <w:caps w:val="0"/>
        <w:color w:val="010000"/>
        <w:u w:val="none"/>
      </w:rPr>
    </w:lvl>
    <w:lvl w:ilvl="5">
      <w:start w:val="1"/>
      <w:numFmt w:val="none"/>
      <w:pStyle w:val="Heading61"/>
      <w:lvlText w:val=""/>
      <w:lvlJc w:val="left"/>
      <w:pPr>
        <w:tabs>
          <w:tab w:val="num" w:pos="720"/>
        </w:tabs>
      </w:pPr>
      <w:rPr>
        <w:caps w:val="0"/>
        <w:color w:val="010000"/>
        <w:u w:val="none"/>
      </w:rPr>
    </w:lvl>
    <w:lvl w:ilvl="6">
      <w:start w:val="1"/>
      <w:numFmt w:val="none"/>
      <w:pStyle w:val="Heading71"/>
      <w:lvlText w:val=""/>
      <w:lvlJc w:val="left"/>
      <w:pPr>
        <w:tabs>
          <w:tab w:val="num" w:pos="720"/>
        </w:tabs>
      </w:pPr>
      <w:rPr>
        <w:caps w:val="0"/>
        <w:color w:val="010000"/>
        <w:u w:val="none"/>
      </w:rPr>
    </w:lvl>
    <w:lvl w:ilvl="7">
      <w:start w:val="1"/>
      <w:numFmt w:val="none"/>
      <w:pStyle w:val="Heading81"/>
      <w:lvlText w:val=""/>
      <w:lvlJc w:val="left"/>
      <w:pPr>
        <w:tabs>
          <w:tab w:val="num" w:pos="720"/>
        </w:tabs>
      </w:pPr>
      <w:rPr>
        <w:caps w:val="0"/>
        <w:color w:val="010000"/>
        <w:u w:val="none"/>
      </w:rPr>
    </w:lvl>
    <w:lvl w:ilvl="8">
      <w:start w:val="1"/>
      <w:numFmt w:val="none"/>
      <w:pStyle w:val="Heading91"/>
      <w:lvlText w:val=""/>
      <w:lvlJc w:val="left"/>
      <w:pPr>
        <w:tabs>
          <w:tab w:val="num" w:pos="720"/>
        </w:tabs>
      </w:pPr>
      <w:rPr>
        <w:caps w:val="0"/>
        <w:color w:val="010000"/>
        <w:u w:val="none"/>
      </w:rPr>
    </w:lvl>
  </w:abstractNum>
  <w:abstractNum w:abstractNumId="17" w15:restartNumberingAfterBreak="0">
    <w:nsid w:val="00000012"/>
    <w:multiLevelType w:val="multilevel"/>
    <w:tmpl w:val="6D48D5DA"/>
    <w:lvl w:ilvl="0">
      <w:start w:val="1"/>
      <w:numFmt w:val="upperLetter"/>
      <w:lvlText w:val="%1."/>
      <w:lvlJc w:val="left"/>
      <w:pPr>
        <w:ind w:left="720" w:hanging="720"/>
      </w:pPr>
    </w:lvl>
    <w:lvl w:ilvl="1">
      <w:start w:val="1"/>
      <w:numFmt w:val="decimal"/>
      <w:lvlText w:val="%2."/>
      <w:lvlJc w:val="left"/>
      <w:pPr>
        <w:ind w:left="1440" w:hanging="720"/>
      </w:pPr>
    </w:lvl>
    <w:lvl w:ilvl="2">
      <w:start w:val="1"/>
      <w:numFmt w:val="lowerLetter"/>
      <w:lvlText w:val="%3."/>
      <w:lvlJc w:val="left"/>
      <w:pPr>
        <w:ind w:left="2160" w:hanging="720"/>
      </w:pPr>
    </w:lvl>
    <w:lvl w:ilvl="3">
      <w:start w:val="1"/>
      <w:numFmt w:val="lowerRoman"/>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decimal"/>
      <w:lvlText w:val="(%8)"/>
      <w:lvlJc w:val="left"/>
      <w:pPr>
        <w:ind w:left="5760" w:hanging="720"/>
      </w:pPr>
    </w:lvl>
    <w:lvl w:ilvl="8">
      <w:start w:val="1"/>
      <w:numFmt w:val="lowerLetter"/>
      <w:lvlText w:val="(%9)"/>
      <w:lvlJc w:val="left"/>
      <w:pPr>
        <w:ind w:left="6480" w:hanging="720"/>
      </w:pPr>
    </w:lvl>
  </w:abstractNum>
  <w:abstractNum w:abstractNumId="18" w15:restartNumberingAfterBreak="0">
    <w:nsid w:val="00000013"/>
    <w:multiLevelType w:val="hybridMultilevel"/>
    <w:tmpl w:val="A25AC38E"/>
    <w:lvl w:ilvl="0" w:tplc="00000000">
      <w:start w:val="1"/>
      <w:numFmt w:val="decimal"/>
      <w:lvlText w:val="(%1)"/>
      <w:lvlJc w:val="left"/>
      <w:pPr>
        <w:ind w:left="958" w:hanging="67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19" w15:restartNumberingAfterBreak="0">
    <w:nsid w:val="00000014"/>
    <w:multiLevelType w:val="hybridMultilevel"/>
    <w:tmpl w:val="54A48282"/>
    <w:lvl w:ilvl="0" w:tplc="00000000">
      <w:start w:val="1"/>
      <w:numFmt w:val="decimal"/>
      <w:lvlText w:val="%1."/>
      <w:lvlJc w:val="left"/>
      <w:pPr>
        <w:ind w:left="360" w:hanging="360"/>
      </w:pPr>
      <w:rPr>
        <w:b/>
        <w:i/>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0" w15:restartNumberingAfterBreak="0">
    <w:nsid w:val="00000015"/>
    <w:multiLevelType w:val="hybridMultilevel"/>
    <w:tmpl w:val="7FB0E8DA"/>
    <w:lvl w:ilvl="0" w:tplc="00000000">
      <w:start w:val="1"/>
      <w:numFmt w:val="lowerLetter"/>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3270756C"/>
    <w:lvl w:ilvl="0" w:tplc="00000000">
      <w:start w:val="1"/>
      <w:numFmt w:val="decimal"/>
      <w:lvlText w:val="(%1)"/>
      <w:lvlJc w:val="left"/>
      <w:pPr>
        <w:ind w:left="948" w:hanging="66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22" w15:restartNumberingAfterBreak="0">
    <w:nsid w:val="00000017"/>
    <w:multiLevelType w:val="hybridMultilevel"/>
    <w:tmpl w:val="9B3247D6"/>
    <w:lvl w:ilvl="0" w:tplc="00000000">
      <w:start w:val="2"/>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3" w15:restartNumberingAfterBreak="0">
    <w:nsid w:val="00000018"/>
    <w:multiLevelType w:val="hybridMultilevel"/>
    <w:tmpl w:val="F6967574"/>
    <w:lvl w:ilvl="0" w:tplc="00000000">
      <w:start w:val="13"/>
      <w:numFmt w:val="decimal"/>
      <w:lvlText w:val="%1."/>
      <w:lvlJc w:val="left"/>
      <w:pPr>
        <w:ind w:left="720" w:hanging="360"/>
      </w:pPr>
      <w:rPr>
        <w:b/>
        <w:i/>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4" w15:restartNumberingAfterBreak="0">
    <w:nsid w:val="00000019"/>
    <w:multiLevelType w:val="hybridMultilevel"/>
    <w:tmpl w:val="6EBCBDEE"/>
    <w:lvl w:ilvl="0" w:tplc="00000000">
      <w:start w:val="1"/>
      <w:numFmt w:val="decimal"/>
      <w:lvlText w:val="%1."/>
      <w:lvlJc w:val="left"/>
      <w:pPr>
        <w:ind w:left="450" w:hanging="360"/>
      </w:pPr>
      <w:rPr>
        <w:b/>
        <w:i/>
        <w:strike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5" w15:restartNumberingAfterBreak="0">
    <w:nsid w:val="0000001A"/>
    <w:multiLevelType w:val="hybridMultilevel"/>
    <w:tmpl w:val="BFB4020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hybridMultilevel"/>
    <w:tmpl w:val="3270756C"/>
    <w:lvl w:ilvl="0" w:tplc="00000000">
      <w:start w:val="1"/>
      <w:numFmt w:val="decimal"/>
      <w:lvlText w:val="(%1)"/>
      <w:lvlJc w:val="left"/>
      <w:pPr>
        <w:ind w:left="948" w:hanging="660"/>
      </w:pPr>
      <w:rPr>
        <w:b/>
      </w:rPr>
    </w:lvl>
    <w:lvl w:ilvl="1" w:tplc="00000001">
      <w:start w:val="1"/>
      <w:numFmt w:val="lowerLetter"/>
      <w:lvlText w:val="%2."/>
      <w:lvlJc w:val="left"/>
      <w:pPr>
        <w:ind w:left="1368" w:hanging="360"/>
      </w:pPr>
    </w:lvl>
    <w:lvl w:ilvl="2" w:tplc="00000002">
      <w:start w:val="1"/>
      <w:numFmt w:val="lowerRoman"/>
      <w:lvlText w:val="%3."/>
      <w:lvlJc w:val="right"/>
      <w:pPr>
        <w:ind w:left="2088" w:hanging="180"/>
      </w:pPr>
    </w:lvl>
    <w:lvl w:ilvl="3" w:tplc="00000003">
      <w:start w:val="1"/>
      <w:numFmt w:val="decimal"/>
      <w:lvlText w:val="%4."/>
      <w:lvlJc w:val="left"/>
      <w:pPr>
        <w:ind w:left="2808" w:hanging="360"/>
      </w:pPr>
    </w:lvl>
    <w:lvl w:ilvl="4" w:tplc="00000004">
      <w:start w:val="1"/>
      <w:numFmt w:val="lowerLetter"/>
      <w:lvlText w:val="%5."/>
      <w:lvlJc w:val="left"/>
      <w:pPr>
        <w:ind w:left="3528" w:hanging="360"/>
      </w:pPr>
    </w:lvl>
    <w:lvl w:ilvl="5" w:tplc="00000005">
      <w:start w:val="1"/>
      <w:numFmt w:val="lowerRoman"/>
      <w:lvlText w:val="%6."/>
      <w:lvlJc w:val="right"/>
      <w:pPr>
        <w:ind w:left="4248" w:hanging="180"/>
      </w:pPr>
    </w:lvl>
    <w:lvl w:ilvl="6" w:tplc="00000006">
      <w:start w:val="1"/>
      <w:numFmt w:val="decimal"/>
      <w:lvlText w:val="%7."/>
      <w:lvlJc w:val="left"/>
      <w:pPr>
        <w:ind w:left="4968" w:hanging="360"/>
      </w:pPr>
    </w:lvl>
    <w:lvl w:ilvl="7" w:tplc="00000007">
      <w:start w:val="1"/>
      <w:numFmt w:val="lowerLetter"/>
      <w:lvlText w:val="%8."/>
      <w:lvlJc w:val="left"/>
      <w:pPr>
        <w:ind w:left="5688" w:hanging="360"/>
      </w:pPr>
    </w:lvl>
    <w:lvl w:ilvl="8" w:tplc="00000008">
      <w:start w:val="1"/>
      <w:numFmt w:val="lowerRoman"/>
      <w:lvlText w:val="%9."/>
      <w:lvlJc w:val="right"/>
      <w:pPr>
        <w:ind w:left="6408" w:hanging="180"/>
      </w:pPr>
    </w:lvl>
  </w:abstractNum>
  <w:abstractNum w:abstractNumId="27" w15:restartNumberingAfterBreak="0">
    <w:nsid w:val="0000001C"/>
    <w:multiLevelType w:val="hybridMultilevel"/>
    <w:tmpl w:val="22F208F4"/>
    <w:lvl w:ilvl="0" w:tplc="00000000">
      <w:start w:val="1"/>
      <w:numFmt w:val="upperLetter"/>
      <w:lvlText w:val="(%1)"/>
      <w:lvlJc w:val="left"/>
      <w:pPr>
        <w:ind w:left="1316" w:hanging="740"/>
      </w:pPr>
      <w:rPr>
        <w:b/>
      </w:rPr>
    </w:lvl>
    <w:lvl w:ilvl="1" w:tplc="00000001">
      <w:start w:val="1"/>
      <w:numFmt w:val="lowerLetter"/>
      <w:lvlText w:val="%2."/>
      <w:lvlJc w:val="left"/>
      <w:pPr>
        <w:ind w:left="1656" w:hanging="360"/>
      </w:pPr>
    </w:lvl>
    <w:lvl w:ilvl="2" w:tplc="00000002">
      <w:start w:val="1"/>
      <w:numFmt w:val="lowerRoman"/>
      <w:lvlText w:val="%3."/>
      <w:lvlJc w:val="right"/>
      <w:pPr>
        <w:ind w:left="2376" w:hanging="180"/>
      </w:pPr>
    </w:lvl>
    <w:lvl w:ilvl="3" w:tplc="00000003">
      <w:start w:val="1"/>
      <w:numFmt w:val="decimal"/>
      <w:lvlText w:val="%4."/>
      <w:lvlJc w:val="left"/>
      <w:pPr>
        <w:ind w:left="3096" w:hanging="360"/>
      </w:pPr>
    </w:lvl>
    <w:lvl w:ilvl="4" w:tplc="00000004">
      <w:start w:val="1"/>
      <w:numFmt w:val="lowerLetter"/>
      <w:lvlText w:val="%5."/>
      <w:lvlJc w:val="left"/>
      <w:pPr>
        <w:ind w:left="3816" w:hanging="360"/>
      </w:pPr>
    </w:lvl>
    <w:lvl w:ilvl="5" w:tplc="00000005">
      <w:start w:val="1"/>
      <w:numFmt w:val="lowerRoman"/>
      <w:lvlText w:val="%6."/>
      <w:lvlJc w:val="right"/>
      <w:pPr>
        <w:ind w:left="4536" w:hanging="180"/>
      </w:pPr>
    </w:lvl>
    <w:lvl w:ilvl="6" w:tplc="00000006">
      <w:start w:val="1"/>
      <w:numFmt w:val="decimal"/>
      <w:lvlText w:val="%7."/>
      <w:lvlJc w:val="left"/>
      <w:pPr>
        <w:ind w:left="5256" w:hanging="360"/>
      </w:pPr>
    </w:lvl>
    <w:lvl w:ilvl="7" w:tplc="00000007">
      <w:start w:val="1"/>
      <w:numFmt w:val="lowerLetter"/>
      <w:lvlText w:val="%8."/>
      <w:lvlJc w:val="left"/>
      <w:pPr>
        <w:ind w:left="5976" w:hanging="360"/>
      </w:pPr>
    </w:lvl>
    <w:lvl w:ilvl="8" w:tplc="00000008">
      <w:start w:val="1"/>
      <w:numFmt w:val="lowerRoman"/>
      <w:lvlText w:val="%9."/>
      <w:lvlJc w:val="right"/>
      <w:pPr>
        <w:ind w:left="6696"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22"/>
  </w:num>
  <w:num w:numId="15">
    <w:abstractNumId w:val="20"/>
  </w:num>
  <w:num w:numId="16">
    <w:abstractNumId w:val="21"/>
  </w:num>
  <w:num w:numId="17">
    <w:abstractNumId w:val="26"/>
  </w:num>
  <w:num w:numId="18">
    <w:abstractNumId w:val="27"/>
  </w:num>
  <w:num w:numId="19">
    <w:abstractNumId w:val="18"/>
  </w:num>
  <w:num w:numId="20">
    <w:abstractNumId w:val="10"/>
  </w:num>
  <w:num w:numId="21">
    <w:abstractNumId w:val="10"/>
    <w:lvlOverride w:ilvl="0">
      <w:lvl w:ilvl="0" w:tplc="00000000">
        <w:start w:val="1"/>
        <w:numFmt w:val="upperLetter"/>
        <w:lvlText w:val="(%1)"/>
        <w:lvlJc w:val="left"/>
        <w:pPr>
          <w:ind w:left="978" w:hanging="690"/>
        </w:pPr>
        <w:rPr>
          <w:b/>
          <w:color w:val="0000FF"/>
          <w:u w:val="double"/>
        </w:rPr>
      </w:lvl>
    </w:lvlOverride>
    <w:lvlOverride w:ilvl="1">
      <w:lvl w:ilvl="1" w:tplc="00000001">
        <w:start w:val="1"/>
        <w:numFmt w:val="lowerLetter"/>
        <w:lvlText w:val="%2."/>
        <w:lvlJc w:val="left"/>
        <w:pPr>
          <w:ind w:left="1368" w:hanging="360"/>
        </w:pPr>
        <w:rPr>
          <w:color w:val="0000FF"/>
          <w:u w:val="double"/>
        </w:rPr>
      </w:lvl>
    </w:lvlOverride>
    <w:lvlOverride w:ilvl="2">
      <w:lvl w:ilvl="2" w:tplc="00000002">
        <w:start w:val="1"/>
        <w:numFmt w:val="lowerRoman"/>
        <w:lvlText w:val="%3."/>
        <w:lvlJc w:val="right"/>
        <w:pPr>
          <w:ind w:left="2088" w:hanging="180"/>
        </w:pPr>
        <w:rPr>
          <w:color w:val="0000FF"/>
          <w:u w:val="double"/>
        </w:rPr>
      </w:lvl>
    </w:lvlOverride>
    <w:lvlOverride w:ilvl="3">
      <w:lvl w:ilvl="3" w:tplc="00000003">
        <w:start w:val="1"/>
        <w:numFmt w:val="decimal"/>
        <w:lvlText w:val="%4."/>
        <w:lvlJc w:val="left"/>
        <w:pPr>
          <w:ind w:left="2808" w:hanging="360"/>
        </w:pPr>
        <w:rPr>
          <w:color w:val="0000FF"/>
          <w:u w:val="double"/>
        </w:rPr>
      </w:lvl>
    </w:lvlOverride>
    <w:lvlOverride w:ilvl="4">
      <w:lvl w:ilvl="4" w:tplc="00000004">
        <w:start w:val="1"/>
        <w:numFmt w:val="lowerLetter"/>
        <w:lvlText w:val="%5."/>
        <w:lvlJc w:val="left"/>
        <w:pPr>
          <w:ind w:left="3528" w:hanging="360"/>
        </w:pPr>
        <w:rPr>
          <w:color w:val="0000FF"/>
          <w:u w:val="double"/>
        </w:rPr>
      </w:lvl>
    </w:lvlOverride>
    <w:lvlOverride w:ilvl="5">
      <w:lvl w:ilvl="5" w:tplc="00000005">
        <w:start w:val="1"/>
        <w:numFmt w:val="lowerRoman"/>
        <w:lvlText w:val="%6."/>
        <w:lvlJc w:val="right"/>
        <w:pPr>
          <w:ind w:left="4248" w:hanging="180"/>
        </w:pPr>
        <w:rPr>
          <w:color w:val="0000FF"/>
          <w:u w:val="double"/>
        </w:rPr>
      </w:lvl>
    </w:lvlOverride>
    <w:lvlOverride w:ilvl="6">
      <w:lvl w:ilvl="6" w:tplc="00000006">
        <w:start w:val="1"/>
        <w:numFmt w:val="decimal"/>
        <w:lvlText w:val="%7."/>
        <w:lvlJc w:val="left"/>
        <w:pPr>
          <w:ind w:left="4968" w:hanging="360"/>
        </w:pPr>
        <w:rPr>
          <w:color w:val="0000FF"/>
          <w:u w:val="double"/>
        </w:rPr>
      </w:lvl>
    </w:lvlOverride>
    <w:lvlOverride w:ilvl="7">
      <w:lvl w:ilvl="7" w:tplc="00000007">
        <w:start w:val="1"/>
        <w:numFmt w:val="lowerLetter"/>
        <w:lvlText w:val="%8."/>
        <w:lvlJc w:val="left"/>
        <w:pPr>
          <w:ind w:left="5688" w:hanging="360"/>
        </w:pPr>
        <w:rPr>
          <w:color w:val="0000FF"/>
          <w:u w:val="double"/>
        </w:rPr>
      </w:lvl>
    </w:lvlOverride>
    <w:lvlOverride w:ilvl="8">
      <w:lvl w:ilvl="8" w:tplc="00000008">
        <w:start w:val="1"/>
        <w:numFmt w:val="lowerRoman"/>
        <w:lvlText w:val="%9."/>
        <w:lvlJc w:val="right"/>
        <w:pPr>
          <w:ind w:left="6408" w:hanging="180"/>
        </w:pPr>
        <w:rPr>
          <w:color w:val="0000FF"/>
          <w:u w:val="double"/>
        </w:rPr>
      </w:lvl>
    </w:lvlOverride>
  </w:num>
  <w:num w:numId="22">
    <w:abstractNumId w:val="17"/>
  </w:num>
  <w:num w:numId="23">
    <w:abstractNumId w:val="25"/>
  </w:num>
  <w:num w:numId="24">
    <w:abstractNumId w:val="11"/>
  </w:num>
  <w:num w:numId="25">
    <w:abstractNumId w:val="12"/>
  </w:num>
  <w:num w:numId="26">
    <w:abstractNumId w:val="19"/>
  </w:num>
  <w:num w:numId="27">
    <w:abstractNumId w:val="14"/>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492"/>
    <w:rsid w:val="001960E3"/>
    <w:rsid w:val="005A7492"/>
    <w:rsid w:val="006B6D4D"/>
    <w:rsid w:val="008B2089"/>
    <w:rsid w:val="009754ED"/>
    <w:rsid w:val="00A33E18"/>
    <w:rsid w:val="00AC4BBB"/>
    <w:rsid w:val="00B36EDB"/>
    <w:rsid w:val="00B55F18"/>
    <w:rsid w:val="00BA3233"/>
    <w:rsid w:val="00BE18DC"/>
    <w:rsid w:val="00BF7DFA"/>
    <w:rsid w:val="00C32CBC"/>
    <w:rsid w:val="00CE0E67"/>
    <w:rsid w:val="00D95338"/>
    <w:rsid w:val="00DD7718"/>
    <w:rsid w:val="00DE01DC"/>
    <w:rsid w:val="00E31FD8"/>
    <w:rsid w:val="00E411CF"/>
    <w:rsid w:val="00F5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96"/>
  <w15:docId w15:val="{A9D77714-7E7A-4193-9600-4B6F7737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alibri" w:hAnsi="Calibri"/>
    </w:rPr>
  </w:style>
  <w:style w:type="paragraph" w:styleId="Heading1">
    <w:name w:val="heading 1"/>
    <w:basedOn w:val="Normal"/>
    <w:next w:val="Normal"/>
    <w:link w:val="Heading1Char"/>
    <w:uiPriority w:val="9"/>
    <w:qFormat/>
    <w:pPr>
      <w:keepNext/>
      <w:keepLines/>
      <w:spacing w:before="480" w:after="0"/>
      <w:outlineLvl w:val="0"/>
    </w:pPr>
    <w:rPr>
      <w:rFonts w:ascii="Cambria" w:eastAsia="MS Gothic" w:hAnsi="Cambria" w:cs="Times New Roman"/>
      <w:b/>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eastAsia="MS Gothic" w:hAnsi="Cambria" w:cs="Times New Roman"/>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MS Gothic" w:hAnsi="Cambria" w:cs="Times New Roman"/>
      <w:b/>
      <w:color w:val="4F81BD"/>
    </w:rPr>
  </w:style>
  <w:style w:type="paragraph" w:styleId="Heading4">
    <w:name w:val="heading 4"/>
    <w:basedOn w:val="Normal"/>
    <w:next w:val="Normal"/>
    <w:link w:val="Heading4Char"/>
    <w:uiPriority w:val="9"/>
    <w:qFormat/>
    <w:pPr>
      <w:keepNext/>
      <w:keepLines/>
      <w:spacing w:before="200" w:after="0"/>
      <w:outlineLvl w:val="3"/>
    </w:pPr>
    <w:rPr>
      <w:rFonts w:ascii="Cambria" w:eastAsia="MS Gothic" w:hAnsi="Cambria" w:cs="Times New Roman"/>
      <w:b/>
      <w:i/>
      <w:color w:val="4F81BD"/>
    </w:rPr>
  </w:style>
  <w:style w:type="paragraph" w:styleId="Heading5">
    <w:name w:val="heading 5"/>
    <w:basedOn w:val="Normal"/>
    <w:next w:val="Normal"/>
    <w:link w:val="Heading5Char"/>
    <w:uiPriority w:val="9"/>
    <w:qFormat/>
    <w:pPr>
      <w:keepNext/>
      <w:keepLines/>
      <w:spacing w:before="200" w:after="0"/>
      <w:outlineLvl w:val="4"/>
    </w:pPr>
    <w:rPr>
      <w:rFonts w:ascii="Cambria" w:eastAsia="MS Gothic" w:hAnsi="Cambria" w:cs="Times New Roman"/>
      <w:color w:val="243F60"/>
    </w:rPr>
  </w:style>
  <w:style w:type="paragraph" w:styleId="Heading6">
    <w:name w:val="heading 6"/>
    <w:basedOn w:val="Normal"/>
    <w:next w:val="Normal"/>
    <w:link w:val="Heading6Char"/>
    <w:uiPriority w:val="9"/>
    <w:qFormat/>
    <w:pPr>
      <w:keepNext/>
      <w:keepLines/>
      <w:spacing w:before="200" w:after="0"/>
      <w:outlineLvl w:val="5"/>
    </w:pPr>
    <w:rPr>
      <w:rFonts w:ascii="Cambria" w:eastAsia="MS Gothic" w:hAnsi="Cambria" w:cs="Times New Roman"/>
      <w:i/>
      <w:color w:val="243F60"/>
    </w:rPr>
  </w:style>
  <w:style w:type="paragraph" w:styleId="Heading7">
    <w:name w:val="heading 7"/>
    <w:basedOn w:val="Normal"/>
    <w:next w:val="Normal"/>
    <w:link w:val="Heading7Char"/>
    <w:uiPriority w:val="9"/>
    <w:qFormat/>
    <w:pPr>
      <w:keepNext/>
      <w:keepLines/>
      <w:spacing w:before="200" w:after="0"/>
      <w:outlineLvl w:val="6"/>
    </w:pPr>
    <w:rPr>
      <w:rFonts w:ascii="Cambria" w:eastAsia="MS Gothic" w:hAnsi="Cambria" w:cs="Times New Roman"/>
      <w:i/>
      <w:color w:val="404040"/>
    </w:rPr>
  </w:style>
  <w:style w:type="paragraph" w:styleId="Heading8">
    <w:name w:val="heading 8"/>
    <w:basedOn w:val="Normal"/>
    <w:next w:val="Normal"/>
    <w:link w:val="Heading8Char"/>
    <w:uiPriority w:val="9"/>
    <w:qFormat/>
    <w:pPr>
      <w:keepNext/>
      <w:keepLines/>
      <w:spacing w:before="200" w:after="0"/>
      <w:outlineLvl w:val="7"/>
    </w:pPr>
    <w:rPr>
      <w:rFonts w:ascii="Cambria" w:eastAsia="MS Gothic" w:hAnsi="Cambria" w:cs="Times New Roman"/>
      <w:color w:val="404040"/>
      <w:sz w:val="20"/>
      <w:szCs w:val="20"/>
    </w:rPr>
  </w:style>
  <w:style w:type="paragraph" w:styleId="Heading9">
    <w:name w:val="heading 9"/>
    <w:basedOn w:val="Normal"/>
    <w:next w:val="Normal"/>
    <w:link w:val="Heading9Char"/>
    <w:uiPriority w:val="9"/>
    <w:qFormat/>
    <w:pPr>
      <w:keepNext/>
      <w:keepLines/>
      <w:spacing w:before="200" w:after="0"/>
      <w:outlineLvl w:val="8"/>
    </w:pPr>
    <w:rPr>
      <w:rFonts w:ascii="Cambria" w:eastAsia="MS Gothic" w:hAnsi="Cambria"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cs="Times New Roman"/>
      <w:szCs w:val="28"/>
    </w:rPr>
  </w:style>
  <w:style w:type="character" w:customStyle="1" w:styleId="Heading2Char">
    <w:name w:val="Heading 2 Char"/>
    <w:basedOn w:val="DefaultParagraphFont"/>
    <w:link w:val="Heading2"/>
    <w:uiPriority w:val="9"/>
    <w:rPr>
      <w:rFonts w:cs="Times New Roman"/>
      <w:szCs w:val="26"/>
    </w:rPr>
  </w:style>
  <w:style w:type="character" w:customStyle="1" w:styleId="Heading3Char">
    <w:name w:val="Heading 3 Char"/>
    <w:basedOn w:val="DefaultParagraphFont"/>
    <w:link w:val="Heading3"/>
    <w:uiPriority w:val="9"/>
    <w:rPr>
      <w:rFonts w:cs="Times New Roman"/>
    </w:rPr>
  </w:style>
  <w:style w:type="character" w:customStyle="1" w:styleId="Heading4Char">
    <w:name w:val="Heading 4 Char"/>
    <w:basedOn w:val="DefaultParagraphFont"/>
    <w:link w:val="Heading4"/>
    <w:uiPriority w:val="9"/>
    <w:rPr>
      <w:rFonts w:cs="Times New Roman"/>
    </w:rPr>
  </w:style>
  <w:style w:type="character" w:customStyle="1" w:styleId="Heading5Char">
    <w:name w:val="Heading 5 Char"/>
    <w:basedOn w:val="DefaultParagraphFont"/>
    <w:link w:val="Heading5"/>
    <w:uiPriority w:val="9"/>
    <w:rPr>
      <w:rFonts w:cs="Times New Roman"/>
    </w:rPr>
  </w:style>
  <w:style w:type="character" w:customStyle="1" w:styleId="Heading6Char">
    <w:name w:val="Heading 6 Char"/>
    <w:basedOn w:val="DefaultParagraphFont"/>
    <w:link w:val="Heading6"/>
    <w:uiPriority w:val="9"/>
    <w:rPr>
      <w:rFonts w:cs="Times New Roman"/>
    </w:rPr>
  </w:style>
  <w:style w:type="character" w:customStyle="1" w:styleId="Heading7Char">
    <w:name w:val="Heading 7 Char"/>
    <w:basedOn w:val="DefaultParagraphFont"/>
    <w:link w:val="Heading7"/>
    <w:uiPriority w:val="9"/>
    <w:rPr>
      <w:rFonts w:cs="Times New Roman"/>
    </w:rPr>
  </w:style>
  <w:style w:type="character" w:customStyle="1" w:styleId="Heading8Char">
    <w:name w:val="Heading 8 Char"/>
    <w:basedOn w:val="DefaultParagraphFont"/>
    <w:link w:val="Heading8"/>
    <w:uiPriority w:val="9"/>
    <w:rPr>
      <w:rFonts w:cs="Times New Roman"/>
      <w:szCs w:val="20"/>
    </w:rPr>
  </w:style>
  <w:style w:type="character" w:customStyle="1" w:styleId="Heading9Char">
    <w:name w:val="Heading 9 Char"/>
    <w:basedOn w:val="DefaultParagraphFont"/>
    <w:link w:val="Heading9"/>
    <w:uiPriority w:val="9"/>
    <w:rPr>
      <w:rFonts w:cs="Times New Roman"/>
      <w:szCs w:val="20"/>
    </w:rPr>
  </w:style>
  <w:style w:type="paragraph" w:styleId="Header">
    <w:name w:val="header"/>
    <w:basedOn w:val="Normal"/>
    <w:link w:val="HeaderChar"/>
    <w:uiPriority w:val="99"/>
    <w:pPr>
      <w:tabs>
        <w:tab w:val="center" w:pos="4680"/>
        <w:tab w:val="left" w:pos="863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left" w:pos="863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Strong">
    <w:name w:val="Strong"/>
    <w:basedOn w:val="DefaultParagraphFont"/>
    <w:uiPriority w:val="22"/>
    <w:qFormat/>
    <w:rPr>
      <w:b/>
    </w:rPr>
  </w:style>
  <w:style w:type="character" w:customStyle="1" w:styleId="cohovertext">
    <w:name w:val="co_hovertext"/>
    <w:basedOn w:val="DefaultParagraphFont"/>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sz w:val="24"/>
    </w:rPr>
  </w:style>
  <w:style w:type="paragraph" w:customStyle="1" w:styleId="MacPacTrailer">
    <w:name w:val="MacPac Trailer"/>
    <w:pPr>
      <w:widowControl w:val="0"/>
      <w:autoSpaceDE w:val="0"/>
      <w:autoSpaceDN w:val="0"/>
      <w:adjustRightInd w:val="0"/>
      <w:spacing w:after="0" w:line="200" w:lineRule="exact"/>
    </w:pPr>
    <w:rPr>
      <w:rFonts w:ascii="Times New Roman" w:hAnsi="Times New Roman" w:cs="Times New Roman"/>
      <w:sz w:val="16"/>
    </w:rPr>
  </w:style>
  <w:style w:type="character" w:styleId="PlaceholderText">
    <w:name w:val="Placeholder Text"/>
    <w:basedOn w:val="DefaultParagraphFont"/>
    <w:uiPriority w:val="99"/>
    <w:rPr>
      <w:color w:val="808080"/>
    </w:rPr>
  </w:style>
  <w:style w:type="character" w:styleId="Emphasis">
    <w:name w:val="Emphasis"/>
    <w:basedOn w:val="DefaultParagraphFont"/>
    <w:uiPriority w:val="20"/>
    <w:qFormat/>
    <w:rPr>
      <w: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Times New Roman" w:hAnsi="Times New Roman"/>
      <w:sz w:val="32"/>
      <w:szCs w:val="20"/>
    </w:rPr>
  </w:style>
  <w:style w:type="character" w:customStyle="1" w:styleId="CommentTextChar">
    <w:name w:val="Comment Text Char"/>
    <w:basedOn w:val="DefaultParagraphFont"/>
    <w:link w:val="CommentText"/>
    <w:uiPriority w:val="99"/>
    <w:rPr>
      <w:rFonts w:ascii="Times New Roman" w:hAnsi="Times New Roman"/>
      <w:sz w:val="32"/>
      <w:szCs w:val="20"/>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Times New Roman" w:hAnsi="Times New Roman"/>
      <w:b/>
      <w:sz w:val="20"/>
      <w:szCs w:val="20"/>
    </w:rPr>
  </w:style>
  <w:style w:type="character" w:customStyle="1" w:styleId="zzmpTrailerItem">
    <w:name w:val="zzmpTrailerItem"/>
    <w:rsid w:val="00C32CBC"/>
    <w:rPr>
      <w:rFonts w:ascii="Calibri" w:hAnsi="Calibri" w:cs="Calibri"/>
      <w:dstrike w:val="0"/>
      <w:noProof/>
      <w:color w:val="auto"/>
      <w:spacing w:val="0"/>
      <w:position w:val="0"/>
      <w:sz w:val="16"/>
      <w:szCs w:val="16"/>
      <w:u w:val="none"/>
      <w:effect w:val="none"/>
      <w:vertAlign w:val="baseline"/>
    </w:rPr>
  </w:style>
  <w:style w:type="paragraph" w:styleId="Revision">
    <w:name w:val="Revision"/>
    <w:hidden/>
    <w:uiPriority w:val="99"/>
    <w:pPr>
      <w:widowControl w:val="0"/>
      <w:autoSpaceDE w:val="0"/>
      <w:autoSpaceDN w:val="0"/>
      <w:adjustRightInd w:val="0"/>
      <w:spacing w:after="0" w:line="240" w:lineRule="auto"/>
    </w:pPr>
    <w:rPr>
      <w:rFonts w:ascii="Calibri" w:hAnsi="Calibri"/>
    </w:rPr>
  </w:style>
  <w:style w:type="paragraph" w:customStyle="1" w:styleId="Heading11">
    <w:name w:val="Heading 11"/>
    <w:basedOn w:val="Normal"/>
    <w:next w:val="Heading1"/>
    <w:qFormat/>
    <w:pPr>
      <w:numPr>
        <w:numId w:val="12"/>
      </w:numPr>
      <w:tabs>
        <w:tab w:val="left" w:pos="1440"/>
      </w:tabs>
      <w:spacing w:after="240" w:line="240" w:lineRule="auto"/>
      <w:outlineLvl w:val="0"/>
    </w:pPr>
    <w:rPr>
      <w:rFonts w:cs="Times New Roman"/>
      <w:szCs w:val="28"/>
    </w:rPr>
  </w:style>
  <w:style w:type="paragraph" w:customStyle="1" w:styleId="Heading21">
    <w:name w:val="Heading 21"/>
    <w:basedOn w:val="Normal"/>
    <w:next w:val="Heading2"/>
    <w:qFormat/>
    <w:pPr>
      <w:numPr>
        <w:ilvl w:val="1"/>
        <w:numId w:val="12"/>
      </w:numPr>
      <w:tabs>
        <w:tab w:val="left" w:pos="2160"/>
      </w:tabs>
      <w:spacing w:after="240" w:line="240" w:lineRule="auto"/>
      <w:outlineLvl w:val="1"/>
    </w:pPr>
    <w:rPr>
      <w:rFonts w:cs="Times New Roman"/>
      <w:szCs w:val="26"/>
    </w:rPr>
  </w:style>
  <w:style w:type="paragraph" w:customStyle="1" w:styleId="Heading31">
    <w:name w:val="Heading 31"/>
    <w:basedOn w:val="Normal"/>
    <w:next w:val="Heading3"/>
    <w:qFormat/>
    <w:pPr>
      <w:numPr>
        <w:ilvl w:val="2"/>
        <w:numId w:val="12"/>
      </w:numPr>
      <w:tabs>
        <w:tab w:val="left" w:pos="2880"/>
      </w:tabs>
      <w:spacing w:after="240" w:line="240" w:lineRule="auto"/>
      <w:outlineLvl w:val="2"/>
    </w:pPr>
    <w:rPr>
      <w:rFonts w:cs="Times New Roman"/>
    </w:rPr>
  </w:style>
  <w:style w:type="paragraph" w:customStyle="1" w:styleId="Heading41">
    <w:name w:val="Heading 41"/>
    <w:basedOn w:val="Normal"/>
    <w:next w:val="Heading4"/>
    <w:qFormat/>
    <w:pPr>
      <w:numPr>
        <w:ilvl w:val="3"/>
        <w:numId w:val="12"/>
      </w:numPr>
      <w:tabs>
        <w:tab w:val="left" w:pos="3600"/>
      </w:tabs>
      <w:spacing w:after="240" w:line="240" w:lineRule="auto"/>
      <w:outlineLvl w:val="3"/>
    </w:pPr>
    <w:rPr>
      <w:rFonts w:cs="Times New Roman"/>
    </w:rPr>
  </w:style>
  <w:style w:type="paragraph" w:customStyle="1" w:styleId="Heading51">
    <w:name w:val="Heading 51"/>
    <w:basedOn w:val="Normal"/>
    <w:next w:val="Heading5"/>
    <w:qFormat/>
    <w:pPr>
      <w:numPr>
        <w:ilvl w:val="4"/>
        <w:numId w:val="12"/>
      </w:numPr>
      <w:tabs>
        <w:tab w:val="left" w:pos="4320"/>
      </w:tabs>
      <w:spacing w:after="240" w:line="240" w:lineRule="auto"/>
      <w:outlineLvl w:val="4"/>
    </w:pPr>
    <w:rPr>
      <w:rFonts w:cs="Times New Roman"/>
    </w:rPr>
  </w:style>
  <w:style w:type="paragraph" w:customStyle="1" w:styleId="Heading61">
    <w:name w:val="Heading 61"/>
    <w:basedOn w:val="Normal"/>
    <w:next w:val="Heading6"/>
    <w:qFormat/>
    <w:pPr>
      <w:numPr>
        <w:ilvl w:val="5"/>
        <w:numId w:val="12"/>
      </w:numPr>
      <w:tabs>
        <w:tab w:val="left" w:pos="720"/>
      </w:tabs>
      <w:spacing w:after="240" w:line="240" w:lineRule="auto"/>
      <w:outlineLvl w:val="5"/>
    </w:pPr>
    <w:rPr>
      <w:rFonts w:cs="Times New Roman"/>
    </w:rPr>
  </w:style>
  <w:style w:type="paragraph" w:customStyle="1" w:styleId="Heading71">
    <w:name w:val="Heading 71"/>
    <w:basedOn w:val="Normal"/>
    <w:next w:val="Heading7"/>
    <w:qFormat/>
    <w:pPr>
      <w:numPr>
        <w:ilvl w:val="6"/>
        <w:numId w:val="12"/>
      </w:numPr>
      <w:tabs>
        <w:tab w:val="left" w:pos="720"/>
      </w:tabs>
      <w:spacing w:after="240" w:line="240" w:lineRule="auto"/>
      <w:outlineLvl w:val="6"/>
    </w:pPr>
    <w:rPr>
      <w:rFonts w:cs="Times New Roman"/>
    </w:rPr>
  </w:style>
  <w:style w:type="paragraph" w:customStyle="1" w:styleId="Heading81">
    <w:name w:val="Heading 81"/>
    <w:basedOn w:val="Normal"/>
    <w:next w:val="Heading8"/>
    <w:qFormat/>
    <w:pPr>
      <w:numPr>
        <w:ilvl w:val="7"/>
        <w:numId w:val="12"/>
      </w:numPr>
      <w:tabs>
        <w:tab w:val="left" w:pos="720"/>
      </w:tabs>
      <w:spacing w:after="240" w:line="240" w:lineRule="auto"/>
      <w:outlineLvl w:val="7"/>
    </w:pPr>
    <w:rPr>
      <w:rFonts w:cs="Times New Roman"/>
      <w:szCs w:val="20"/>
    </w:rPr>
  </w:style>
  <w:style w:type="paragraph" w:customStyle="1" w:styleId="Heading91">
    <w:name w:val="Heading 91"/>
    <w:basedOn w:val="Normal"/>
    <w:next w:val="Heading9"/>
    <w:qFormat/>
    <w:pPr>
      <w:numPr>
        <w:ilvl w:val="8"/>
        <w:numId w:val="12"/>
      </w:numPr>
      <w:tabs>
        <w:tab w:val="left" w:pos="720"/>
      </w:tabs>
      <w:spacing w:after="240" w:line="240" w:lineRule="auto"/>
      <w:outlineLvl w:val="8"/>
    </w:pPr>
    <w:rPr>
      <w:rFonts w:cs="Times New Roman"/>
      <w:szCs w:val="20"/>
    </w:rPr>
  </w:style>
  <w:style w:type="paragraph" w:customStyle="1" w:styleId="LRRMainText">
    <w:name w:val="LRR Main Text"/>
    <w:basedOn w:val="Normal"/>
    <w:qFormat/>
    <w:pPr>
      <w:spacing w:after="240" w:line="240" w:lineRule="auto"/>
      <w:ind w:firstLine="720"/>
    </w:pPr>
    <w:rPr>
      <w:rFonts w:ascii="Times New Roman" w:hAnsi="Times New Roman"/>
      <w:sz w:val="24"/>
      <w:szCs w:val="24"/>
    </w:rPr>
  </w:style>
  <w:style w:type="paragraph" w:customStyle="1" w:styleId="LRRBodyTextTab">
    <w:name w:val="LRR Body Text Tab"/>
    <w:basedOn w:val="Normal"/>
    <w:qFormat/>
    <w:pPr>
      <w:tabs>
        <w:tab w:val="left" w:pos="1440"/>
      </w:tabs>
      <w:spacing w:after="240" w:line="240" w:lineRule="auto"/>
    </w:pPr>
    <w:rPr>
      <w:rFonts w:ascii="Times New Roman" w:hAnsi="Times New Roman"/>
      <w:sz w:val="24"/>
      <w:szCs w:val="24"/>
    </w:rPr>
  </w:style>
  <w:style w:type="paragraph" w:customStyle="1" w:styleId="LRRDoubleIndent">
    <w:name w:val="LRR Double Indent"/>
    <w:basedOn w:val="Normal"/>
    <w:qFormat/>
    <w:pPr>
      <w:spacing w:after="240" w:line="240" w:lineRule="auto"/>
      <w:ind w:left="1440" w:right="1440"/>
    </w:pPr>
    <w:rPr>
      <w:rFonts w:ascii="Times New Roman" w:hAnsi="Times New Roman"/>
      <w:sz w:val="24"/>
      <w:szCs w:val="24"/>
    </w:rPr>
  </w:style>
  <w:style w:type="paragraph" w:customStyle="1" w:styleId="LRRSig">
    <w:name w:val="LRR Sig"/>
    <w:basedOn w:val="Normal"/>
    <w:qFormat/>
    <w:pPr>
      <w:spacing w:after="0" w:line="240" w:lineRule="auto"/>
      <w:ind w:left="4680"/>
    </w:pPr>
    <w:rPr>
      <w:rFonts w:ascii="Times New Roman" w:hAnsi="Times New Roman"/>
      <w:sz w:val="24"/>
      <w:szCs w:val="24"/>
    </w:rPr>
  </w:style>
  <w:style w:type="paragraph" w:customStyle="1" w:styleId="LRRTitle">
    <w:name w:val="LRR Title"/>
    <w:basedOn w:val="Normal"/>
    <w:qFormat/>
    <w:pPr>
      <w:spacing w:after="480" w:line="240" w:lineRule="auto"/>
      <w:jc w:val="center"/>
      <w:outlineLvl w:val="0"/>
    </w:pPr>
    <w:rPr>
      <w:rFonts w:ascii="Times New Roman" w:hAnsi="Times New Roman"/>
      <w:b/>
      <w:caps/>
      <w:sz w:val="24"/>
      <w:szCs w:val="24"/>
    </w:rPr>
  </w:style>
  <w:style w:type="paragraph" w:customStyle="1" w:styleId="BlockText1">
    <w:name w:val="Block Text1"/>
    <w:basedOn w:val="Normal"/>
    <w:next w:val="BlockText"/>
    <w:uiPriority w:val="99"/>
    <w:pPr>
      <w:pBdr>
        <w:top w:val="single" w:sz="2" w:space="10" w:color="4F81BD" w:shadow="1"/>
        <w:left w:val="single" w:sz="2" w:space="10" w:color="4F81BD" w:shadow="1"/>
        <w:bottom w:val="single" w:sz="2" w:space="10" w:color="4F81BD" w:shadow="1"/>
        <w:right w:val="single" w:sz="2" w:space="10" w:color="4F81BD" w:shadow="1"/>
      </w:pBdr>
      <w:spacing w:after="0" w:line="240" w:lineRule="auto"/>
      <w:ind w:left="1152" w:right="1152"/>
    </w:pPr>
    <w:rPr>
      <w:rFonts w:ascii="Times New Roman" w:hAnsi="Times New Roman"/>
      <w:i/>
      <w:sz w:val="24"/>
      <w:szCs w:val="24"/>
    </w:rPr>
  </w:style>
  <w:style w:type="paragraph" w:customStyle="1" w:styleId="EnvelopeAddress1">
    <w:name w:val="Envelope Address1"/>
    <w:basedOn w:val="Normal"/>
    <w:next w:val="EnvelopeAddress"/>
    <w:uiPriority w:val="99"/>
    <w:pPr>
      <w:framePr w:w="7920" w:h="1980" w:hRule="exact" w:hSpace="180" w:wrap="auto" w:hAnchor="page" w:xAlign="center" w:yAlign="bottom"/>
      <w:spacing w:after="0" w:line="240" w:lineRule="auto"/>
      <w:ind w:left="2880"/>
    </w:pPr>
    <w:rPr>
      <w:rFonts w:ascii="Times New Roman" w:hAnsi="Times New Roman" w:cs="Times New Roman"/>
      <w:sz w:val="24"/>
      <w:szCs w:val="24"/>
    </w:rPr>
  </w:style>
  <w:style w:type="paragraph" w:customStyle="1" w:styleId="EnvelopeReturn1">
    <w:name w:val="Envelope Return1"/>
    <w:basedOn w:val="Normal"/>
    <w:next w:val="EnvelopeReturn"/>
    <w:uiPriority w:val="99"/>
    <w:pPr>
      <w:spacing w:after="0" w:line="240" w:lineRule="auto"/>
    </w:pPr>
    <w:rPr>
      <w:rFonts w:ascii="Times New Roman" w:hAnsi="Times New Roman" w:cs="Times New Roman"/>
      <w:sz w:val="20"/>
      <w:szCs w:val="20"/>
    </w:rPr>
  </w:style>
  <w:style w:type="paragraph" w:customStyle="1" w:styleId="Index11">
    <w:name w:val="Index 11"/>
    <w:basedOn w:val="Normal"/>
    <w:next w:val="Normal"/>
    <w:autoRedefine/>
    <w:uiPriority w:val="99"/>
    <w:pPr>
      <w:spacing w:after="0" w:line="240" w:lineRule="auto"/>
      <w:ind w:left="240" w:hanging="240"/>
    </w:pPr>
    <w:rPr>
      <w:rFonts w:ascii="Times New Roman" w:hAnsi="Times New Roman"/>
      <w:sz w:val="24"/>
      <w:szCs w:val="24"/>
    </w:rPr>
  </w:style>
  <w:style w:type="paragraph" w:customStyle="1" w:styleId="IndexHeading1">
    <w:name w:val="Index Heading1"/>
    <w:basedOn w:val="Normal"/>
    <w:next w:val="Index1"/>
    <w:uiPriority w:val="99"/>
    <w:pPr>
      <w:spacing w:after="0" w:line="240" w:lineRule="auto"/>
    </w:pPr>
    <w:rPr>
      <w:rFonts w:ascii="Times New Roman" w:hAnsi="Times New Roman" w:cs="Times New Roman"/>
      <w:b/>
      <w:sz w:val="24"/>
      <w:szCs w:val="24"/>
    </w:rPr>
  </w:style>
  <w:style w:type="paragraph" w:customStyle="1" w:styleId="MessageHeader1">
    <w:name w:val="Message Header1"/>
    <w:basedOn w:val="Normal"/>
    <w:next w:val="MessageHeader"/>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cs="Times New Roman"/>
    </w:rPr>
  </w:style>
  <w:style w:type="character" w:customStyle="1" w:styleId="MessageHeaderChar">
    <w:name w:val="Message Header Char"/>
    <w:basedOn w:val="DefaultParagraphFont"/>
    <w:uiPriority w:val="99"/>
    <w:rPr>
      <w:rFonts w:cs="Times New Roman"/>
      <w:shd w:val="pct20" w:color="auto" w:fill="auto"/>
    </w:rPr>
  </w:style>
  <w:style w:type="paragraph" w:customStyle="1" w:styleId="TOAHeading1">
    <w:name w:val="TOA Heading1"/>
    <w:basedOn w:val="Normal"/>
    <w:next w:val="Normal"/>
    <w:uiPriority w:val="99"/>
    <w:pPr>
      <w:spacing w:before="120" w:after="0" w:line="240" w:lineRule="auto"/>
    </w:pPr>
    <w:rPr>
      <w:rFonts w:ascii="Times New Roman" w:hAnsi="Times New Roman" w:cs="Times New Roman"/>
      <w:b/>
      <w:sz w:val="24"/>
      <w:szCs w:val="24"/>
    </w:rPr>
  </w:style>
  <w:style w:type="paragraph" w:customStyle="1" w:styleId="TOCHeading1">
    <w:name w:val="TOC Heading1"/>
    <w:basedOn w:val="Normal"/>
    <w:next w:val="Normal"/>
    <w:uiPriority w:val="39"/>
    <w:qFormat/>
    <w:pPr>
      <w:spacing w:after="240" w:line="240" w:lineRule="auto"/>
      <w:jc w:val="center"/>
    </w:pPr>
    <w:rPr>
      <w:rFonts w:ascii="Times New Roman" w:hAnsi="Times New Roman"/>
      <w:b/>
      <w:sz w:val="24"/>
      <w:szCs w:val="24"/>
    </w:rPr>
  </w:style>
  <w:style w:type="paragraph" w:customStyle="1" w:styleId="BodyText1">
    <w:name w:val="Body Text1"/>
    <w:basedOn w:val="Normal"/>
    <w:next w:val="BodyText"/>
    <w:uiPriority w:val="99"/>
    <w:pPr>
      <w:spacing w:after="120" w:line="240" w:lineRule="auto"/>
    </w:pPr>
  </w:style>
  <w:style w:type="character" w:customStyle="1" w:styleId="BodyTextChar">
    <w:name w:val="Body Text Char"/>
    <w:basedOn w:val="DefaultParagraphFont"/>
    <w:uiPriority w:val="99"/>
  </w:style>
  <w:style w:type="paragraph" w:customStyle="1" w:styleId="TOC11">
    <w:name w:val="TOC 11"/>
    <w:basedOn w:val="Normal"/>
    <w:next w:val="Normal"/>
    <w:autoRedefine/>
    <w:uiPriority w:val="39"/>
    <w:pPr>
      <w:tabs>
        <w:tab w:val="right" w:leader="dot" w:pos="9360"/>
      </w:tabs>
      <w:spacing w:after="240" w:line="240" w:lineRule="auto"/>
      <w:ind w:left="720" w:right="432" w:hanging="720"/>
    </w:pPr>
    <w:rPr>
      <w:rFonts w:ascii="Times New Roman" w:hAnsi="Times New Roman"/>
      <w:sz w:val="24"/>
      <w:szCs w:val="24"/>
    </w:rPr>
  </w:style>
  <w:style w:type="paragraph" w:customStyle="1" w:styleId="TOC21">
    <w:name w:val="TOC 21"/>
    <w:basedOn w:val="Normal"/>
    <w:next w:val="Normal"/>
    <w:autoRedefine/>
    <w:uiPriority w:val="39"/>
    <w:pPr>
      <w:tabs>
        <w:tab w:val="right" w:leader="dot" w:pos="9360"/>
      </w:tabs>
      <w:spacing w:after="240" w:line="240" w:lineRule="auto"/>
      <w:ind w:left="1440" w:right="432" w:hanging="720"/>
    </w:pPr>
    <w:rPr>
      <w:rFonts w:ascii="Times New Roman" w:hAnsi="Times New Roman"/>
      <w:sz w:val="24"/>
      <w:szCs w:val="24"/>
    </w:rPr>
  </w:style>
  <w:style w:type="paragraph" w:customStyle="1" w:styleId="TOC31">
    <w:name w:val="TOC 31"/>
    <w:basedOn w:val="Normal"/>
    <w:next w:val="Normal"/>
    <w:autoRedefine/>
    <w:uiPriority w:val="39"/>
    <w:pPr>
      <w:tabs>
        <w:tab w:val="right" w:leader="dot" w:pos="9360"/>
      </w:tabs>
      <w:spacing w:after="120" w:line="240" w:lineRule="auto"/>
      <w:ind w:left="2160" w:right="432" w:hanging="720"/>
    </w:pPr>
    <w:rPr>
      <w:rFonts w:ascii="Times New Roman" w:hAnsi="Times New Roman"/>
      <w:sz w:val="24"/>
      <w:szCs w:val="24"/>
    </w:rPr>
  </w:style>
  <w:style w:type="paragraph" w:customStyle="1" w:styleId="TOC41">
    <w:name w:val="TOC 41"/>
    <w:basedOn w:val="Normal"/>
    <w:next w:val="Normal"/>
    <w:autoRedefine/>
    <w:uiPriority w:val="39"/>
    <w:pPr>
      <w:tabs>
        <w:tab w:val="right" w:leader="dot" w:pos="9360"/>
      </w:tabs>
      <w:spacing w:after="120" w:line="240" w:lineRule="auto"/>
      <w:ind w:left="2880" w:right="432" w:hanging="720"/>
    </w:pPr>
    <w:rPr>
      <w:rFonts w:ascii="Times New Roman" w:hAnsi="Times New Roman"/>
      <w:sz w:val="24"/>
      <w:szCs w:val="24"/>
    </w:rPr>
  </w:style>
  <w:style w:type="paragraph" w:customStyle="1" w:styleId="TOC51">
    <w:name w:val="TOC 51"/>
    <w:basedOn w:val="Normal"/>
    <w:next w:val="Normal"/>
    <w:autoRedefine/>
    <w:uiPriority w:val="39"/>
    <w:pPr>
      <w:tabs>
        <w:tab w:val="right" w:leader="dot" w:pos="9360"/>
      </w:tabs>
      <w:spacing w:after="120" w:line="240" w:lineRule="auto"/>
      <w:ind w:left="3600" w:right="432" w:hanging="720"/>
    </w:pPr>
    <w:rPr>
      <w:rFonts w:ascii="Times New Roman" w:hAnsi="Times New Roman"/>
      <w:sz w:val="24"/>
      <w:szCs w:val="24"/>
    </w:rPr>
  </w:style>
  <w:style w:type="paragraph" w:customStyle="1" w:styleId="TOC61">
    <w:name w:val="TOC 61"/>
    <w:basedOn w:val="Normal"/>
    <w:next w:val="Normal"/>
    <w:autoRedefine/>
    <w:uiPriority w:val="39"/>
    <w:pPr>
      <w:tabs>
        <w:tab w:val="right" w:leader="dot" w:pos="9360"/>
      </w:tabs>
      <w:spacing w:after="120" w:line="240" w:lineRule="auto"/>
      <w:ind w:left="4320" w:right="432" w:hanging="720"/>
    </w:pPr>
    <w:rPr>
      <w:rFonts w:ascii="Times New Roman" w:hAnsi="Times New Roman"/>
      <w:sz w:val="24"/>
      <w:szCs w:val="24"/>
    </w:rPr>
  </w:style>
  <w:style w:type="paragraph" w:customStyle="1" w:styleId="TOC71">
    <w:name w:val="TOC 71"/>
    <w:basedOn w:val="Normal"/>
    <w:next w:val="Normal"/>
    <w:autoRedefine/>
    <w:uiPriority w:val="39"/>
    <w:pPr>
      <w:tabs>
        <w:tab w:val="right" w:leader="dot" w:pos="9360"/>
      </w:tabs>
      <w:spacing w:after="120" w:line="240" w:lineRule="auto"/>
      <w:ind w:left="5040" w:right="432" w:hanging="720"/>
    </w:pPr>
    <w:rPr>
      <w:rFonts w:ascii="Times New Roman" w:hAnsi="Times New Roman"/>
      <w:sz w:val="24"/>
      <w:szCs w:val="24"/>
    </w:rPr>
  </w:style>
  <w:style w:type="paragraph" w:customStyle="1" w:styleId="TOC81">
    <w:name w:val="TOC 81"/>
    <w:basedOn w:val="Normal"/>
    <w:next w:val="Normal"/>
    <w:autoRedefine/>
    <w:uiPriority w:val="39"/>
    <w:pPr>
      <w:tabs>
        <w:tab w:val="right" w:leader="dot" w:pos="9360"/>
      </w:tabs>
      <w:spacing w:after="120" w:line="240" w:lineRule="auto"/>
      <w:ind w:left="5760" w:right="432" w:hanging="720"/>
    </w:pPr>
    <w:rPr>
      <w:rFonts w:ascii="Times New Roman" w:hAnsi="Times New Roman"/>
      <w:sz w:val="24"/>
      <w:szCs w:val="24"/>
    </w:rPr>
  </w:style>
  <w:style w:type="paragraph" w:customStyle="1" w:styleId="TOC91">
    <w:name w:val="TOC 91"/>
    <w:basedOn w:val="Normal"/>
    <w:next w:val="Normal"/>
    <w:autoRedefine/>
    <w:uiPriority w:val="39"/>
    <w:pPr>
      <w:tabs>
        <w:tab w:val="right" w:leader="dot" w:pos="9360"/>
      </w:tabs>
      <w:spacing w:after="120" w:line="240" w:lineRule="auto"/>
      <w:ind w:left="6480" w:right="432" w:hanging="720"/>
    </w:pPr>
    <w:rPr>
      <w:rFonts w:ascii="Times New Roman" w:hAnsi="Times New Roman"/>
      <w:sz w:val="24"/>
      <w:szCs w:val="24"/>
    </w:rPr>
  </w:style>
  <w:style w:type="character" w:customStyle="1" w:styleId="DocID">
    <w:name w:val="DocID"/>
    <w:basedOn w:val="DefaultParagraphFont"/>
    <w:uiPriority w:val="1"/>
    <w:rPr>
      <w:rFonts w:ascii="Times New Roman" w:hAnsi="Times New Roman"/>
      <w:sz w:val="16"/>
    </w:rPr>
  </w:style>
  <w:style w:type="paragraph" w:customStyle="1" w:styleId="Date1">
    <w:name w:val="Date1"/>
    <w:basedOn w:val="Normal"/>
    <w:next w:val="Normal"/>
    <w:uiPriority w:val="99"/>
    <w:pPr>
      <w:spacing w:after="0" w:line="240" w:lineRule="auto"/>
    </w:pPr>
    <w:rPr>
      <w:rFonts w:ascii="Times New Roman" w:hAnsi="Times New Roman"/>
      <w:sz w:val="24"/>
      <w:szCs w:val="24"/>
    </w:rPr>
  </w:style>
  <w:style w:type="character" w:customStyle="1" w:styleId="DateChar">
    <w:name w:val="Date Char"/>
    <w:basedOn w:val="DefaultParagraphFont"/>
    <w:uiPriority w:val="99"/>
  </w:style>
  <w:style w:type="paragraph" w:customStyle="1" w:styleId="Bibliography1">
    <w:name w:val="Bibliography1"/>
    <w:basedOn w:val="Normal"/>
    <w:next w:val="Normal"/>
    <w:uiPriority w:val="37"/>
    <w:pPr>
      <w:spacing w:after="0" w:line="240" w:lineRule="auto"/>
    </w:pPr>
    <w:rPr>
      <w:rFonts w:ascii="Times New Roman" w:hAnsi="Times New Roman"/>
      <w:sz w:val="24"/>
      <w:szCs w:val="24"/>
    </w:rPr>
  </w:style>
  <w:style w:type="paragraph" w:customStyle="1" w:styleId="BodyText21">
    <w:name w:val="Body Text 21"/>
    <w:basedOn w:val="Normal"/>
    <w:next w:val="BodyText2"/>
    <w:uiPriority w:val="99"/>
    <w:pPr>
      <w:spacing w:after="120" w:line="480" w:lineRule="auto"/>
    </w:pPr>
  </w:style>
  <w:style w:type="character" w:customStyle="1" w:styleId="BodyText2Char">
    <w:name w:val="Body Text 2 Char"/>
    <w:basedOn w:val="DefaultParagraphFont"/>
    <w:uiPriority w:val="99"/>
  </w:style>
  <w:style w:type="paragraph" w:customStyle="1" w:styleId="BodyText31">
    <w:name w:val="Body Text 31"/>
    <w:basedOn w:val="Normal"/>
    <w:next w:val="BodyText3"/>
    <w:uiPriority w:val="99"/>
    <w:pPr>
      <w:spacing w:after="120" w:line="240" w:lineRule="auto"/>
    </w:pPr>
    <w:rPr>
      <w:sz w:val="16"/>
      <w:szCs w:val="16"/>
    </w:rPr>
  </w:style>
  <w:style w:type="character" w:customStyle="1" w:styleId="BodyText3Char">
    <w:name w:val="Body Text 3 Char"/>
    <w:basedOn w:val="DefaultParagraphFont"/>
    <w:uiPriority w:val="99"/>
    <w:rPr>
      <w:sz w:val="16"/>
      <w:szCs w:val="16"/>
    </w:rPr>
  </w:style>
  <w:style w:type="paragraph" w:customStyle="1" w:styleId="BodyTextFirstIndent1">
    <w:name w:val="Body Text First Indent1"/>
    <w:basedOn w:val="BodyText"/>
    <w:next w:val="BodyTextFirstIndent"/>
    <w:uiPriority w:val="99"/>
    <w:pPr>
      <w:spacing w:after="0" w:line="240" w:lineRule="auto"/>
      <w:ind w:firstLine="360"/>
    </w:pPr>
  </w:style>
  <w:style w:type="character" w:customStyle="1" w:styleId="BodyTextFirstIndentChar">
    <w:name w:val="Body Text First Indent Char"/>
    <w:basedOn w:val="BodyTextChar"/>
    <w:uiPriority w:val="99"/>
  </w:style>
  <w:style w:type="paragraph" w:customStyle="1" w:styleId="BodyTextIndent1">
    <w:name w:val="Body Text Indent1"/>
    <w:basedOn w:val="Normal"/>
    <w:next w:val="BodyTextIndent"/>
    <w:uiPriority w:val="99"/>
    <w:pPr>
      <w:spacing w:after="120" w:line="240" w:lineRule="auto"/>
      <w:ind w:left="360"/>
    </w:pPr>
  </w:style>
  <w:style w:type="character" w:customStyle="1" w:styleId="BodyTextIndentChar">
    <w:name w:val="Body Text Indent Char"/>
    <w:basedOn w:val="DefaultParagraphFont"/>
    <w:uiPriority w:val="99"/>
  </w:style>
  <w:style w:type="paragraph" w:customStyle="1" w:styleId="BodyTextFirstIndent21">
    <w:name w:val="Body Text First Indent 21"/>
    <w:basedOn w:val="BodyTextIndent"/>
    <w:next w:val="BodyTextFirstIndent2"/>
    <w:uiPriority w:val="99"/>
    <w:pPr>
      <w:spacing w:after="0" w:line="240" w:lineRule="auto"/>
      <w:ind w:firstLine="360"/>
    </w:pPr>
  </w:style>
  <w:style w:type="character" w:customStyle="1" w:styleId="BodyTextFirstIndent2Char">
    <w:name w:val="Body Text First Indent 2 Char"/>
    <w:basedOn w:val="BodyTextIndentChar"/>
    <w:uiPriority w:val="99"/>
  </w:style>
  <w:style w:type="paragraph" w:customStyle="1" w:styleId="BodyTextIndent21">
    <w:name w:val="Body Text Indent 21"/>
    <w:basedOn w:val="Normal"/>
    <w:next w:val="BodyTextIndent2"/>
    <w:uiPriority w:val="99"/>
    <w:pPr>
      <w:spacing w:after="120" w:line="480" w:lineRule="auto"/>
      <w:ind w:left="360"/>
    </w:pPr>
  </w:style>
  <w:style w:type="character" w:customStyle="1" w:styleId="BodyTextIndent2Char">
    <w:name w:val="Body Text Indent 2 Char"/>
    <w:basedOn w:val="DefaultParagraphFont"/>
    <w:uiPriority w:val="99"/>
  </w:style>
  <w:style w:type="paragraph" w:customStyle="1" w:styleId="BodyTextIndent31">
    <w:name w:val="Body Text Indent 31"/>
    <w:basedOn w:val="Normal"/>
    <w:next w:val="BodyTextIndent3"/>
    <w:uiPriority w:val="99"/>
    <w:pPr>
      <w:spacing w:after="120" w:line="240" w:lineRule="auto"/>
      <w:ind w:left="360"/>
    </w:pPr>
    <w:rPr>
      <w:sz w:val="16"/>
      <w:szCs w:val="16"/>
    </w:rPr>
  </w:style>
  <w:style w:type="character" w:customStyle="1" w:styleId="BodyTextIndent3Char">
    <w:name w:val="Body Text Indent 3 Char"/>
    <w:basedOn w:val="DefaultParagraphFont"/>
    <w:uiPriority w:val="99"/>
    <w:rPr>
      <w:sz w:val="16"/>
      <w:szCs w:val="16"/>
    </w:rPr>
  </w:style>
  <w:style w:type="paragraph" w:customStyle="1" w:styleId="Caption1">
    <w:name w:val="Caption1"/>
    <w:basedOn w:val="Normal"/>
    <w:next w:val="Normal"/>
    <w:uiPriority w:val="35"/>
    <w:qFormat/>
    <w:pPr>
      <w:spacing w:line="240" w:lineRule="auto"/>
    </w:pPr>
    <w:rPr>
      <w:rFonts w:ascii="Times New Roman" w:hAnsi="Times New Roman"/>
      <w:b/>
      <w:color w:val="4F81BD"/>
      <w:sz w:val="18"/>
      <w:szCs w:val="18"/>
    </w:rPr>
  </w:style>
  <w:style w:type="paragraph" w:customStyle="1" w:styleId="Closing1">
    <w:name w:val="Closing1"/>
    <w:basedOn w:val="Normal"/>
    <w:next w:val="Closing"/>
    <w:uiPriority w:val="99"/>
    <w:pPr>
      <w:spacing w:after="0" w:line="240" w:lineRule="auto"/>
      <w:ind w:left="4320"/>
    </w:pPr>
  </w:style>
  <w:style w:type="character" w:customStyle="1" w:styleId="ClosingChar">
    <w:name w:val="Closing Char"/>
    <w:basedOn w:val="DefaultParagraphFont"/>
    <w:uiPriority w:val="99"/>
  </w:style>
  <w:style w:type="paragraph" w:customStyle="1" w:styleId="DocumentMap1">
    <w:name w:val="Document Map1"/>
    <w:basedOn w:val="Normal"/>
    <w:next w:val="DocumentMap"/>
    <w:uiPriority w:val="99"/>
    <w:pPr>
      <w:spacing w:after="0" w:line="240" w:lineRule="auto"/>
    </w:pPr>
    <w:rPr>
      <w:rFonts w:ascii="Tahoma" w:hAnsi="Tahoma" w:cs="Tahoma"/>
      <w:sz w:val="16"/>
      <w:szCs w:val="16"/>
    </w:rPr>
  </w:style>
  <w:style w:type="character" w:customStyle="1" w:styleId="DocumentMapChar">
    <w:name w:val="Document Map Char"/>
    <w:basedOn w:val="DefaultParagraphFont"/>
    <w:uiPriority w:val="99"/>
    <w:rPr>
      <w:rFonts w:ascii="Tahoma" w:hAnsi="Tahoma" w:cs="Tahoma"/>
      <w:sz w:val="16"/>
      <w:szCs w:val="16"/>
    </w:rPr>
  </w:style>
  <w:style w:type="paragraph" w:customStyle="1" w:styleId="E-mailSignature1">
    <w:name w:val="E-mail Signature1"/>
    <w:basedOn w:val="Normal"/>
    <w:next w:val="E-mailSignature"/>
    <w:uiPriority w:val="99"/>
    <w:pPr>
      <w:spacing w:after="0" w:line="240" w:lineRule="auto"/>
    </w:pPr>
  </w:style>
  <w:style w:type="character" w:customStyle="1" w:styleId="E-mailSignatureChar">
    <w:name w:val="E-mail Signature Char"/>
    <w:basedOn w:val="DefaultParagraphFont"/>
    <w:uiPriority w:val="99"/>
  </w:style>
  <w:style w:type="paragraph" w:customStyle="1" w:styleId="EndnoteText1">
    <w:name w:val="Endnote Text1"/>
    <w:basedOn w:val="Normal"/>
    <w:next w:val="EndnoteText"/>
    <w:uiPriority w:val="99"/>
    <w:pPr>
      <w:spacing w:after="0" w:line="240" w:lineRule="auto"/>
    </w:pPr>
    <w:rPr>
      <w:sz w:val="20"/>
      <w:szCs w:val="20"/>
    </w:rPr>
  </w:style>
  <w:style w:type="character" w:customStyle="1" w:styleId="EndnoteTextChar">
    <w:name w:val="Endnote Text Char"/>
    <w:basedOn w:val="DefaultParagraphFont"/>
    <w:uiPriority w:val="99"/>
    <w:rPr>
      <w:sz w:val="20"/>
      <w:szCs w:val="20"/>
    </w:rPr>
  </w:style>
  <w:style w:type="paragraph" w:customStyle="1" w:styleId="FootnoteText1">
    <w:name w:val="Footnote Text1"/>
    <w:basedOn w:val="Normal"/>
    <w:next w:val="FootnoteText"/>
    <w:uiPriority w:val="99"/>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paragraph" w:customStyle="1" w:styleId="HTMLAddress1">
    <w:name w:val="HTML Address1"/>
    <w:basedOn w:val="Normal"/>
    <w:next w:val="HTMLAddress"/>
    <w:uiPriority w:val="99"/>
    <w:pPr>
      <w:spacing w:after="0" w:line="240" w:lineRule="auto"/>
    </w:pPr>
    <w:rPr>
      <w:i/>
    </w:rPr>
  </w:style>
  <w:style w:type="character" w:customStyle="1" w:styleId="HTMLAddressChar">
    <w:name w:val="HTML Address Char"/>
    <w:basedOn w:val="DefaultParagraphFont"/>
    <w:uiPriority w:val="99"/>
    <w:rPr>
      <w:i/>
    </w:rPr>
  </w:style>
  <w:style w:type="paragraph" w:customStyle="1" w:styleId="HTMLPreformatted1">
    <w:name w:val="HTML Preformatted1"/>
    <w:basedOn w:val="Normal"/>
    <w:next w:val="HTMLPreformatted"/>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uiPriority w:val="99"/>
    <w:rPr>
      <w:rFonts w:ascii="Consolas" w:hAnsi="Consolas" w:cs="Consolas"/>
      <w:sz w:val="20"/>
      <w:szCs w:val="20"/>
    </w:rPr>
  </w:style>
  <w:style w:type="paragraph" w:customStyle="1" w:styleId="Index21">
    <w:name w:val="Index 21"/>
    <w:basedOn w:val="Normal"/>
    <w:next w:val="Normal"/>
    <w:autoRedefine/>
    <w:uiPriority w:val="99"/>
    <w:pPr>
      <w:spacing w:after="0" w:line="240" w:lineRule="auto"/>
      <w:ind w:left="480" w:hanging="240"/>
    </w:pPr>
    <w:rPr>
      <w:rFonts w:ascii="Times New Roman" w:hAnsi="Times New Roman"/>
      <w:sz w:val="24"/>
      <w:szCs w:val="24"/>
    </w:rPr>
  </w:style>
  <w:style w:type="paragraph" w:customStyle="1" w:styleId="Index31">
    <w:name w:val="Index 31"/>
    <w:basedOn w:val="Normal"/>
    <w:next w:val="Normal"/>
    <w:autoRedefine/>
    <w:uiPriority w:val="99"/>
    <w:pPr>
      <w:spacing w:after="0" w:line="240" w:lineRule="auto"/>
      <w:ind w:left="720" w:hanging="240"/>
    </w:pPr>
    <w:rPr>
      <w:rFonts w:ascii="Times New Roman" w:hAnsi="Times New Roman"/>
      <w:sz w:val="24"/>
      <w:szCs w:val="24"/>
    </w:rPr>
  </w:style>
  <w:style w:type="paragraph" w:customStyle="1" w:styleId="Index41">
    <w:name w:val="Index 41"/>
    <w:basedOn w:val="Normal"/>
    <w:next w:val="Normal"/>
    <w:autoRedefine/>
    <w:uiPriority w:val="99"/>
    <w:pPr>
      <w:spacing w:after="0" w:line="240" w:lineRule="auto"/>
      <w:ind w:left="960" w:hanging="240"/>
    </w:pPr>
    <w:rPr>
      <w:rFonts w:ascii="Times New Roman" w:hAnsi="Times New Roman"/>
      <w:sz w:val="24"/>
      <w:szCs w:val="24"/>
    </w:rPr>
  </w:style>
  <w:style w:type="paragraph" w:customStyle="1" w:styleId="Index51">
    <w:name w:val="Index 51"/>
    <w:basedOn w:val="Normal"/>
    <w:next w:val="Normal"/>
    <w:autoRedefine/>
    <w:uiPriority w:val="99"/>
    <w:pPr>
      <w:spacing w:after="0" w:line="240" w:lineRule="auto"/>
      <w:ind w:left="1200" w:hanging="240"/>
    </w:pPr>
    <w:rPr>
      <w:rFonts w:ascii="Times New Roman" w:hAnsi="Times New Roman"/>
      <w:sz w:val="24"/>
      <w:szCs w:val="24"/>
    </w:rPr>
  </w:style>
  <w:style w:type="paragraph" w:customStyle="1" w:styleId="Index61">
    <w:name w:val="Index 61"/>
    <w:basedOn w:val="Normal"/>
    <w:next w:val="Normal"/>
    <w:autoRedefine/>
    <w:uiPriority w:val="99"/>
    <w:pPr>
      <w:spacing w:after="0" w:line="240" w:lineRule="auto"/>
      <w:ind w:left="1440" w:hanging="240"/>
    </w:pPr>
    <w:rPr>
      <w:rFonts w:ascii="Times New Roman" w:hAnsi="Times New Roman"/>
      <w:sz w:val="24"/>
      <w:szCs w:val="24"/>
    </w:rPr>
  </w:style>
  <w:style w:type="paragraph" w:customStyle="1" w:styleId="Index71">
    <w:name w:val="Index 71"/>
    <w:basedOn w:val="Normal"/>
    <w:next w:val="Normal"/>
    <w:autoRedefine/>
    <w:uiPriority w:val="99"/>
    <w:pPr>
      <w:spacing w:after="0" w:line="240" w:lineRule="auto"/>
      <w:ind w:left="1680" w:hanging="240"/>
    </w:pPr>
    <w:rPr>
      <w:rFonts w:ascii="Times New Roman" w:hAnsi="Times New Roman"/>
      <w:sz w:val="24"/>
      <w:szCs w:val="24"/>
    </w:rPr>
  </w:style>
  <w:style w:type="paragraph" w:customStyle="1" w:styleId="Index81">
    <w:name w:val="Index 81"/>
    <w:basedOn w:val="Normal"/>
    <w:next w:val="Normal"/>
    <w:autoRedefine/>
    <w:uiPriority w:val="99"/>
    <w:pPr>
      <w:spacing w:after="0" w:line="240" w:lineRule="auto"/>
      <w:ind w:left="1920" w:hanging="240"/>
    </w:pPr>
    <w:rPr>
      <w:rFonts w:ascii="Times New Roman" w:hAnsi="Times New Roman"/>
      <w:sz w:val="24"/>
      <w:szCs w:val="24"/>
    </w:rPr>
  </w:style>
  <w:style w:type="paragraph" w:customStyle="1" w:styleId="Index91">
    <w:name w:val="Index 91"/>
    <w:basedOn w:val="Normal"/>
    <w:next w:val="Normal"/>
    <w:autoRedefine/>
    <w:uiPriority w:val="99"/>
    <w:pPr>
      <w:spacing w:after="0" w:line="240" w:lineRule="auto"/>
      <w:ind w:left="2160" w:hanging="240"/>
    </w:pPr>
    <w:rPr>
      <w:rFonts w:ascii="Times New Roman" w:hAnsi="Times New Roman"/>
      <w:sz w:val="24"/>
      <w:szCs w:val="24"/>
    </w:rPr>
  </w:style>
  <w:style w:type="paragraph" w:customStyle="1" w:styleId="IntenseQuote1">
    <w:name w:val="Intense Quote1"/>
    <w:basedOn w:val="Normal"/>
    <w:next w:val="Normal"/>
    <w:uiPriority w:val="30"/>
    <w:pPr>
      <w:pBdr>
        <w:bottom w:val="single" w:sz="4" w:space="4" w:color="4F81BD"/>
      </w:pBdr>
      <w:spacing w:before="200" w:after="280" w:line="240" w:lineRule="auto"/>
      <w:ind w:left="936" w:right="936"/>
    </w:pPr>
    <w:rPr>
      <w:rFonts w:ascii="Times New Roman" w:hAnsi="Times New Roman"/>
      <w:b/>
      <w:i/>
      <w:color w:val="4F81BD"/>
      <w:sz w:val="24"/>
      <w:szCs w:val="24"/>
    </w:rPr>
  </w:style>
  <w:style w:type="character" w:customStyle="1" w:styleId="IntenseQuoteChar">
    <w:name w:val="Intense Quote Char"/>
    <w:basedOn w:val="DefaultParagraphFont"/>
    <w:uiPriority w:val="30"/>
    <w:rPr>
      <w:b/>
      <w:i/>
      <w:color w:val="4F81BD"/>
    </w:rPr>
  </w:style>
  <w:style w:type="paragraph" w:customStyle="1" w:styleId="List1">
    <w:name w:val="List1"/>
    <w:basedOn w:val="Normal"/>
    <w:next w:val="List"/>
    <w:uiPriority w:val="99"/>
    <w:pPr>
      <w:spacing w:after="0" w:line="240" w:lineRule="auto"/>
      <w:ind w:left="360" w:hanging="360"/>
      <w:contextualSpacing/>
    </w:pPr>
    <w:rPr>
      <w:rFonts w:ascii="Times New Roman" w:hAnsi="Times New Roman"/>
      <w:sz w:val="24"/>
      <w:szCs w:val="24"/>
    </w:rPr>
  </w:style>
  <w:style w:type="paragraph" w:customStyle="1" w:styleId="List21">
    <w:name w:val="List 21"/>
    <w:basedOn w:val="Normal"/>
    <w:next w:val="List2"/>
    <w:uiPriority w:val="99"/>
    <w:pPr>
      <w:spacing w:after="0" w:line="240" w:lineRule="auto"/>
      <w:ind w:left="720" w:hanging="360"/>
      <w:contextualSpacing/>
    </w:pPr>
    <w:rPr>
      <w:rFonts w:ascii="Times New Roman" w:hAnsi="Times New Roman"/>
      <w:sz w:val="24"/>
      <w:szCs w:val="24"/>
    </w:rPr>
  </w:style>
  <w:style w:type="paragraph" w:customStyle="1" w:styleId="List31">
    <w:name w:val="List 31"/>
    <w:basedOn w:val="Normal"/>
    <w:next w:val="List3"/>
    <w:uiPriority w:val="99"/>
    <w:pPr>
      <w:spacing w:after="0" w:line="240" w:lineRule="auto"/>
      <w:ind w:left="1080" w:hanging="360"/>
      <w:contextualSpacing/>
    </w:pPr>
    <w:rPr>
      <w:rFonts w:ascii="Times New Roman" w:hAnsi="Times New Roman"/>
      <w:sz w:val="24"/>
      <w:szCs w:val="24"/>
    </w:rPr>
  </w:style>
  <w:style w:type="paragraph" w:customStyle="1" w:styleId="List41">
    <w:name w:val="List 41"/>
    <w:basedOn w:val="Normal"/>
    <w:next w:val="List4"/>
    <w:uiPriority w:val="99"/>
    <w:pPr>
      <w:spacing w:after="0" w:line="240" w:lineRule="auto"/>
      <w:ind w:left="1440" w:hanging="360"/>
      <w:contextualSpacing/>
    </w:pPr>
    <w:rPr>
      <w:rFonts w:ascii="Times New Roman" w:hAnsi="Times New Roman"/>
      <w:sz w:val="24"/>
      <w:szCs w:val="24"/>
    </w:rPr>
  </w:style>
  <w:style w:type="paragraph" w:customStyle="1" w:styleId="List51">
    <w:name w:val="List 51"/>
    <w:basedOn w:val="Normal"/>
    <w:next w:val="List5"/>
    <w:uiPriority w:val="99"/>
    <w:pPr>
      <w:spacing w:after="0" w:line="240" w:lineRule="auto"/>
      <w:ind w:left="1800" w:hanging="360"/>
      <w:contextualSpacing/>
    </w:pPr>
    <w:rPr>
      <w:rFonts w:ascii="Times New Roman" w:hAnsi="Times New Roman"/>
      <w:sz w:val="24"/>
      <w:szCs w:val="24"/>
    </w:rPr>
  </w:style>
  <w:style w:type="paragraph" w:customStyle="1" w:styleId="ListBullet1">
    <w:name w:val="List Bullet1"/>
    <w:basedOn w:val="Normal"/>
    <w:uiPriority w:val="99"/>
    <w:pPr>
      <w:numPr>
        <w:numId w:val="2"/>
      </w:numPr>
      <w:tabs>
        <w:tab w:val="clear" w:pos="360"/>
      </w:tabs>
      <w:spacing w:after="0" w:line="240" w:lineRule="auto"/>
      <w:ind w:left="900"/>
      <w:contextualSpacing/>
    </w:pPr>
    <w:rPr>
      <w:rFonts w:ascii="Times New Roman" w:hAnsi="Times New Roman"/>
      <w:sz w:val="24"/>
      <w:szCs w:val="24"/>
    </w:rPr>
  </w:style>
  <w:style w:type="paragraph" w:customStyle="1" w:styleId="ListBullet21">
    <w:name w:val="List Bullet 21"/>
    <w:basedOn w:val="Normal"/>
    <w:uiPriority w:val="99"/>
    <w:pPr>
      <w:numPr>
        <w:numId w:val="3"/>
      </w:numPr>
      <w:tabs>
        <w:tab w:val="clear" w:pos="720"/>
        <w:tab w:val="left" w:pos="360"/>
      </w:tabs>
      <w:spacing w:after="0" w:line="240" w:lineRule="auto"/>
      <w:ind w:left="360"/>
      <w:contextualSpacing/>
    </w:pPr>
    <w:rPr>
      <w:rFonts w:ascii="Times New Roman" w:hAnsi="Times New Roman"/>
      <w:sz w:val="24"/>
      <w:szCs w:val="24"/>
    </w:rPr>
  </w:style>
  <w:style w:type="paragraph" w:customStyle="1" w:styleId="ListBullet31">
    <w:name w:val="List Bullet 31"/>
    <w:basedOn w:val="Normal"/>
    <w:uiPriority w:val="99"/>
    <w:pPr>
      <w:numPr>
        <w:numId w:val="4"/>
      </w:numPr>
      <w:tabs>
        <w:tab w:val="clear" w:pos="1080"/>
        <w:tab w:val="left" w:pos="720"/>
      </w:tabs>
      <w:spacing w:after="0" w:line="240" w:lineRule="auto"/>
      <w:ind w:left="720"/>
      <w:contextualSpacing/>
    </w:pPr>
    <w:rPr>
      <w:rFonts w:ascii="Times New Roman" w:hAnsi="Times New Roman"/>
      <w:sz w:val="24"/>
      <w:szCs w:val="24"/>
    </w:rPr>
  </w:style>
  <w:style w:type="paragraph" w:customStyle="1" w:styleId="ListBullet41">
    <w:name w:val="List Bullet 41"/>
    <w:basedOn w:val="Normal"/>
    <w:uiPriority w:val="99"/>
    <w:pPr>
      <w:numPr>
        <w:numId w:val="5"/>
      </w:numPr>
      <w:tabs>
        <w:tab w:val="clear" w:pos="1440"/>
        <w:tab w:val="left" w:pos="1080"/>
      </w:tabs>
      <w:spacing w:after="0" w:line="240" w:lineRule="auto"/>
      <w:ind w:left="1080"/>
      <w:contextualSpacing/>
    </w:pPr>
    <w:rPr>
      <w:rFonts w:ascii="Times New Roman" w:hAnsi="Times New Roman"/>
      <w:sz w:val="24"/>
      <w:szCs w:val="24"/>
    </w:rPr>
  </w:style>
  <w:style w:type="paragraph" w:customStyle="1" w:styleId="ListBullet51">
    <w:name w:val="List Bullet 51"/>
    <w:basedOn w:val="Normal"/>
    <w:uiPriority w:val="99"/>
    <w:pPr>
      <w:numPr>
        <w:numId w:val="6"/>
      </w:numPr>
      <w:tabs>
        <w:tab w:val="clear" w:pos="1800"/>
        <w:tab w:val="left" w:pos="1440"/>
      </w:tabs>
      <w:spacing w:after="0" w:line="240" w:lineRule="auto"/>
      <w:ind w:left="1440"/>
      <w:contextualSpacing/>
    </w:pPr>
    <w:rPr>
      <w:rFonts w:ascii="Times New Roman" w:hAnsi="Times New Roman"/>
      <w:sz w:val="24"/>
      <w:szCs w:val="24"/>
    </w:rPr>
  </w:style>
  <w:style w:type="paragraph" w:customStyle="1" w:styleId="ListContinue1">
    <w:name w:val="List Continue1"/>
    <w:basedOn w:val="Normal"/>
    <w:next w:val="ListContinue"/>
    <w:uiPriority w:val="99"/>
    <w:pPr>
      <w:spacing w:after="120" w:line="240" w:lineRule="auto"/>
      <w:ind w:left="360"/>
      <w:contextualSpacing/>
    </w:pPr>
    <w:rPr>
      <w:rFonts w:ascii="Times New Roman" w:hAnsi="Times New Roman"/>
      <w:sz w:val="24"/>
      <w:szCs w:val="24"/>
    </w:rPr>
  </w:style>
  <w:style w:type="paragraph" w:customStyle="1" w:styleId="ListContinue21">
    <w:name w:val="List Continue 21"/>
    <w:basedOn w:val="Normal"/>
    <w:next w:val="ListContinue2"/>
    <w:uiPriority w:val="99"/>
    <w:pPr>
      <w:spacing w:after="120" w:line="240" w:lineRule="auto"/>
      <w:ind w:left="720"/>
      <w:contextualSpacing/>
    </w:pPr>
    <w:rPr>
      <w:rFonts w:ascii="Times New Roman" w:hAnsi="Times New Roman"/>
      <w:sz w:val="24"/>
      <w:szCs w:val="24"/>
    </w:rPr>
  </w:style>
  <w:style w:type="paragraph" w:customStyle="1" w:styleId="ListContinue31">
    <w:name w:val="List Continue 31"/>
    <w:basedOn w:val="Normal"/>
    <w:next w:val="ListContinue3"/>
    <w:uiPriority w:val="99"/>
    <w:pPr>
      <w:spacing w:after="120" w:line="240" w:lineRule="auto"/>
      <w:ind w:left="1080"/>
      <w:contextualSpacing/>
    </w:pPr>
    <w:rPr>
      <w:rFonts w:ascii="Times New Roman" w:hAnsi="Times New Roman"/>
      <w:sz w:val="24"/>
      <w:szCs w:val="24"/>
    </w:rPr>
  </w:style>
  <w:style w:type="paragraph" w:customStyle="1" w:styleId="ListContinue41">
    <w:name w:val="List Continue 41"/>
    <w:basedOn w:val="Normal"/>
    <w:next w:val="ListContinue4"/>
    <w:uiPriority w:val="99"/>
    <w:pPr>
      <w:spacing w:after="120" w:line="240" w:lineRule="auto"/>
      <w:ind w:left="1440"/>
      <w:contextualSpacing/>
    </w:pPr>
    <w:rPr>
      <w:rFonts w:ascii="Times New Roman" w:hAnsi="Times New Roman"/>
      <w:sz w:val="24"/>
      <w:szCs w:val="24"/>
    </w:rPr>
  </w:style>
  <w:style w:type="paragraph" w:customStyle="1" w:styleId="ListContinue51">
    <w:name w:val="List Continue 51"/>
    <w:basedOn w:val="Normal"/>
    <w:next w:val="ListContinue5"/>
    <w:uiPriority w:val="99"/>
    <w:pPr>
      <w:spacing w:after="120" w:line="240" w:lineRule="auto"/>
      <w:ind w:left="1800"/>
      <w:contextualSpacing/>
    </w:pPr>
    <w:rPr>
      <w:rFonts w:ascii="Times New Roman" w:hAnsi="Times New Roman"/>
      <w:sz w:val="24"/>
      <w:szCs w:val="24"/>
    </w:rPr>
  </w:style>
  <w:style w:type="paragraph" w:customStyle="1" w:styleId="ListNumber1">
    <w:name w:val="List Number1"/>
    <w:basedOn w:val="Normal"/>
    <w:uiPriority w:val="99"/>
    <w:pPr>
      <w:numPr>
        <w:numId w:val="7"/>
      </w:numPr>
      <w:tabs>
        <w:tab w:val="clear" w:pos="360"/>
        <w:tab w:val="left" w:pos="1800"/>
      </w:tabs>
      <w:spacing w:after="0" w:line="240" w:lineRule="auto"/>
      <w:ind w:left="1800"/>
      <w:contextualSpacing/>
    </w:pPr>
    <w:rPr>
      <w:rFonts w:ascii="Times New Roman" w:hAnsi="Times New Roman"/>
      <w:sz w:val="24"/>
      <w:szCs w:val="24"/>
    </w:rPr>
  </w:style>
  <w:style w:type="paragraph" w:customStyle="1" w:styleId="ListNumber21">
    <w:name w:val="List Number 21"/>
    <w:basedOn w:val="Normal"/>
    <w:uiPriority w:val="99"/>
    <w:pPr>
      <w:numPr>
        <w:numId w:val="8"/>
      </w:numPr>
      <w:tabs>
        <w:tab w:val="clear" w:pos="720"/>
        <w:tab w:val="left" w:pos="360"/>
      </w:tabs>
      <w:spacing w:after="0" w:line="240" w:lineRule="auto"/>
      <w:ind w:left="360"/>
      <w:contextualSpacing/>
    </w:pPr>
    <w:rPr>
      <w:rFonts w:ascii="Times New Roman" w:hAnsi="Times New Roman"/>
      <w:sz w:val="24"/>
      <w:szCs w:val="24"/>
    </w:rPr>
  </w:style>
  <w:style w:type="paragraph" w:customStyle="1" w:styleId="ListNumber31">
    <w:name w:val="List Number 31"/>
    <w:basedOn w:val="Normal"/>
    <w:uiPriority w:val="99"/>
    <w:pPr>
      <w:numPr>
        <w:numId w:val="9"/>
      </w:numPr>
      <w:tabs>
        <w:tab w:val="clear" w:pos="1080"/>
        <w:tab w:val="left" w:pos="720"/>
      </w:tabs>
      <w:spacing w:after="0" w:line="240" w:lineRule="auto"/>
      <w:ind w:left="720"/>
      <w:contextualSpacing/>
    </w:pPr>
    <w:rPr>
      <w:rFonts w:ascii="Times New Roman" w:hAnsi="Times New Roman"/>
      <w:sz w:val="24"/>
      <w:szCs w:val="24"/>
    </w:rPr>
  </w:style>
  <w:style w:type="paragraph" w:customStyle="1" w:styleId="ListNumber41">
    <w:name w:val="List Number 41"/>
    <w:basedOn w:val="Normal"/>
    <w:uiPriority w:val="99"/>
    <w:pPr>
      <w:numPr>
        <w:numId w:val="10"/>
      </w:numPr>
      <w:tabs>
        <w:tab w:val="clear" w:pos="1440"/>
        <w:tab w:val="left" w:pos="1080"/>
      </w:tabs>
      <w:spacing w:after="0" w:line="240" w:lineRule="auto"/>
      <w:ind w:left="1080"/>
      <w:contextualSpacing/>
    </w:pPr>
    <w:rPr>
      <w:rFonts w:ascii="Times New Roman" w:hAnsi="Times New Roman"/>
      <w:sz w:val="24"/>
      <w:szCs w:val="24"/>
    </w:rPr>
  </w:style>
  <w:style w:type="paragraph" w:customStyle="1" w:styleId="ListNumber51">
    <w:name w:val="List Number 51"/>
    <w:basedOn w:val="Normal"/>
    <w:uiPriority w:val="99"/>
    <w:pPr>
      <w:numPr>
        <w:numId w:val="11"/>
      </w:numPr>
      <w:tabs>
        <w:tab w:val="clear" w:pos="1800"/>
        <w:tab w:val="left" w:pos="1440"/>
      </w:tabs>
      <w:spacing w:after="0" w:line="240" w:lineRule="auto"/>
      <w:ind w:left="1440"/>
      <w:contextualSpacing/>
    </w:pPr>
    <w:rPr>
      <w:rFonts w:ascii="Times New Roman" w:hAnsi="Times New Roman"/>
      <w:sz w:val="24"/>
      <w:szCs w:val="24"/>
    </w:rPr>
  </w:style>
  <w:style w:type="paragraph" w:customStyle="1" w:styleId="MacroText1">
    <w:name w:val="Macro Text1"/>
    <w:next w:val="MacroTex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hAnsi="Consolas" w:cs="Consolas"/>
      <w:sz w:val="20"/>
      <w:szCs w:val="20"/>
    </w:rPr>
  </w:style>
  <w:style w:type="character" w:customStyle="1" w:styleId="MacroTextChar">
    <w:name w:val="Macro Text Char"/>
    <w:basedOn w:val="DefaultParagraphFont"/>
    <w:uiPriority w:val="99"/>
    <w:rPr>
      <w:rFonts w:ascii="Consolas" w:hAnsi="Consolas" w:cs="Consolas"/>
      <w:sz w:val="20"/>
      <w:szCs w:val="20"/>
    </w:rPr>
  </w:style>
  <w:style w:type="paragraph" w:customStyle="1" w:styleId="NoSpacing1">
    <w:name w:val="No Spacing1"/>
    <w:next w:val="NoSpacing"/>
    <w:uiPriority w:val="1"/>
    <w:pPr>
      <w:widowControl w:val="0"/>
      <w:autoSpaceDE w:val="0"/>
      <w:autoSpaceDN w:val="0"/>
      <w:adjustRightInd w:val="0"/>
      <w:spacing w:after="0" w:line="240" w:lineRule="auto"/>
    </w:pPr>
    <w:rPr>
      <w:rFonts w:ascii="Times New Roman" w:hAnsi="Times New Roman"/>
      <w:sz w:val="24"/>
      <w:szCs w:val="24"/>
    </w:rPr>
  </w:style>
  <w:style w:type="paragraph" w:customStyle="1" w:styleId="NormalWeb1">
    <w:name w:val="Normal (Web)1"/>
    <w:basedOn w:val="Normal"/>
    <w:next w:val="NormalWeb"/>
    <w:uiPriority w:val="99"/>
    <w:pPr>
      <w:spacing w:after="0" w:line="240" w:lineRule="auto"/>
    </w:pPr>
    <w:rPr>
      <w:rFonts w:ascii="Times New Roman" w:hAnsi="Times New Roman" w:cs="Times New Roman"/>
      <w:sz w:val="24"/>
      <w:szCs w:val="24"/>
    </w:rPr>
  </w:style>
  <w:style w:type="paragraph" w:customStyle="1" w:styleId="NormalIndent1">
    <w:name w:val="Normal Indent1"/>
    <w:basedOn w:val="Normal"/>
    <w:next w:val="NormalIndent"/>
    <w:uiPriority w:val="99"/>
    <w:pPr>
      <w:spacing w:after="0" w:line="240" w:lineRule="auto"/>
      <w:ind w:left="720"/>
    </w:pPr>
    <w:rPr>
      <w:rFonts w:ascii="Times New Roman" w:hAnsi="Times New Roman"/>
      <w:sz w:val="24"/>
      <w:szCs w:val="24"/>
    </w:rPr>
  </w:style>
  <w:style w:type="paragraph" w:customStyle="1" w:styleId="NoteHeading1">
    <w:name w:val="Note Heading1"/>
    <w:basedOn w:val="Normal"/>
    <w:next w:val="Normal"/>
    <w:uiPriority w:val="99"/>
    <w:pPr>
      <w:spacing w:after="0" w:line="240" w:lineRule="auto"/>
    </w:pPr>
    <w:rPr>
      <w:rFonts w:ascii="Times New Roman" w:hAnsi="Times New Roman"/>
      <w:sz w:val="24"/>
      <w:szCs w:val="24"/>
    </w:rPr>
  </w:style>
  <w:style w:type="character" w:customStyle="1" w:styleId="NoteHeadingChar">
    <w:name w:val="Note Heading Char"/>
    <w:basedOn w:val="DefaultParagraphFont"/>
    <w:uiPriority w:val="99"/>
  </w:style>
  <w:style w:type="paragraph" w:customStyle="1" w:styleId="PlainText1">
    <w:name w:val="Plain Text1"/>
    <w:basedOn w:val="Normal"/>
    <w:next w:val="PlainText"/>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uiPriority w:val="99"/>
    <w:rPr>
      <w:rFonts w:ascii="Consolas" w:hAnsi="Consolas" w:cs="Consolas"/>
      <w:sz w:val="21"/>
      <w:szCs w:val="21"/>
    </w:rPr>
  </w:style>
  <w:style w:type="paragraph" w:customStyle="1" w:styleId="Quote1">
    <w:name w:val="Quote1"/>
    <w:basedOn w:val="Normal"/>
    <w:next w:val="Normal"/>
    <w:uiPriority w:val="29"/>
    <w:pPr>
      <w:spacing w:after="0" w:line="240" w:lineRule="auto"/>
    </w:pPr>
    <w:rPr>
      <w:rFonts w:ascii="Times New Roman" w:hAnsi="Times New Roman"/>
      <w:i/>
      <w:color w:val="000000"/>
      <w:sz w:val="24"/>
      <w:szCs w:val="24"/>
    </w:rPr>
  </w:style>
  <w:style w:type="character" w:customStyle="1" w:styleId="QuoteChar">
    <w:name w:val="Quote Char"/>
    <w:basedOn w:val="DefaultParagraphFont"/>
    <w:uiPriority w:val="29"/>
    <w:rPr>
      <w:i/>
      <w:color w:val="000000"/>
    </w:rPr>
  </w:style>
  <w:style w:type="paragraph" w:customStyle="1" w:styleId="Salutation1">
    <w:name w:val="Salutation1"/>
    <w:basedOn w:val="Normal"/>
    <w:next w:val="Normal"/>
    <w:uiPriority w:val="99"/>
    <w:pPr>
      <w:spacing w:after="0" w:line="240" w:lineRule="auto"/>
    </w:pPr>
    <w:rPr>
      <w:rFonts w:ascii="Times New Roman" w:hAnsi="Times New Roman"/>
      <w:sz w:val="24"/>
      <w:szCs w:val="24"/>
    </w:rPr>
  </w:style>
  <w:style w:type="character" w:customStyle="1" w:styleId="SalutationChar">
    <w:name w:val="Salutation Char"/>
    <w:basedOn w:val="DefaultParagraphFont"/>
    <w:uiPriority w:val="99"/>
  </w:style>
  <w:style w:type="paragraph" w:customStyle="1" w:styleId="Signature1">
    <w:name w:val="Signature1"/>
    <w:basedOn w:val="Normal"/>
    <w:next w:val="Signature"/>
    <w:uiPriority w:val="99"/>
    <w:pPr>
      <w:spacing w:after="0" w:line="240" w:lineRule="auto"/>
      <w:ind w:left="4320"/>
    </w:pPr>
  </w:style>
  <w:style w:type="character" w:customStyle="1" w:styleId="SignatureChar">
    <w:name w:val="Signature Char"/>
    <w:basedOn w:val="DefaultParagraphFont"/>
    <w:uiPriority w:val="99"/>
  </w:style>
  <w:style w:type="paragraph" w:customStyle="1" w:styleId="Subtitle1">
    <w:name w:val="Subtitle1"/>
    <w:basedOn w:val="Normal"/>
    <w:next w:val="Normal"/>
    <w:uiPriority w:val="11"/>
    <w:pPr>
      <w:spacing w:after="0" w:line="240" w:lineRule="auto"/>
    </w:pPr>
    <w:rPr>
      <w:rFonts w:ascii="Times New Roman" w:hAnsi="Times New Roman" w:cs="Times New Roman"/>
      <w:i/>
      <w:color w:val="4F81BD"/>
      <w:spacing w:val="15"/>
      <w:sz w:val="24"/>
      <w:szCs w:val="24"/>
    </w:rPr>
  </w:style>
  <w:style w:type="character" w:customStyle="1" w:styleId="SubtitleChar">
    <w:name w:val="Subtitle Char"/>
    <w:basedOn w:val="DefaultParagraphFont"/>
    <w:uiPriority w:val="11"/>
    <w:rPr>
      <w:rFonts w:ascii="Times New Roman" w:hAnsi="Times New Roman" w:cs="Times New Roman"/>
      <w:i/>
      <w:color w:val="4F81BD"/>
      <w:spacing w:val="15"/>
    </w:rPr>
  </w:style>
  <w:style w:type="paragraph" w:customStyle="1" w:styleId="TableofAuthorities1">
    <w:name w:val="Table of Authorities1"/>
    <w:basedOn w:val="Normal"/>
    <w:next w:val="Normal"/>
    <w:uiPriority w:val="99"/>
    <w:pPr>
      <w:spacing w:after="0" w:line="240" w:lineRule="auto"/>
      <w:ind w:left="240" w:hanging="240"/>
    </w:pPr>
    <w:rPr>
      <w:rFonts w:ascii="Times New Roman" w:hAnsi="Times New Roman"/>
      <w:sz w:val="24"/>
      <w:szCs w:val="24"/>
    </w:rPr>
  </w:style>
  <w:style w:type="paragraph" w:customStyle="1" w:styleId="TableofFigures1">
    <w:name w:val="Table of Figures1"/>
    <w:basedOn w:val="Normal"/>
    <w:next w:val="Normal"/>
    <w:uiPriority w:val="99"/>
    <w:pPr>
      <w:spacing w:after="0" w:line="240" w:lineRule="auto"/>
    </w:pPr>
    <w:rPr>
      <w:rFonts w:ascii="Times New Roman" w:hAnsi="Times New Roman"/>
      <w:sz w:val="24"/>
      <w:szCs w:val="24"/>
    </w:rPr>
  </w:style>
  <w:style w:type="paragraph" w:customStyle="1" w:styleId="Title1">
    <w:name w:val="Title1"/>
    <w:basedOn w:val="Normal"/>
    <w:next w:val="Normal"/>
    <w:uiPriority w:val="10"/>
    <w:pPr>
      <w:pBdr>
        <w:bottom w:val="single" w:sz="8" w:space="4" w:color="4F81BD"/>
      </w:pBdr>
      <w:spacing w:after="300" w:line="240" w:lineRule="auto"/>
      <w:contextualSpacing/>
    </w:pPr>
    <w:rPr>
      <w:rFonts w:ascii="Times New Roman" w:hAnsi="Times New Roman" w:cs="Times New Roman"/>
      <w:color w:val="17365D"/>
      <w:spacing w:val="5"/>
      <w:kern w:val="28"/>
      <w:sz w:val="52"/>
      <w:szCs w:val="52"/>
    </w:rPr>
  </w:style>
  <w:style w:type="character" w:customStyle="1" w:styleId="TitleChar">
    <w:name w:val="Title Char"/>
    <w:basedOn w:val="DefaultParagraphFont"/>
    <w:uiPriority w:val="10"/>
    <w:rPr>
      <w:rFonts w:ascii="Times New Roman" w:hAnsi="Times New Roman" w:cs="Times New Roman"/>
      <w:color w:val="17365D"/>
      <w:spacing w:val="5"/>
      <w:kern w:val="28"/>
      <w:sz w:val="52"/>
      <w:szCs w:val="52"/>
    </w:rPr>
  </w:style>
  <w:style w:type="character" w:customStyle="1" w:styleId="Hyperlink1">
    <w:name w:val="Hyperlink1"/>
    <w:basedOn w:val="DefaultParagraphFont"/>
    <w:uiPriority w:val="99"/>
    <w:rPr>
      <w:color w:val="0000FF"/>
      <w:u w:val="single"/>
    </w:rPr>
  </w:style>
  <w:style w:type="character" w:customStyle="1" w:styleId="Heading1Char1">
    <w:name w:val="Heading 1 Char1"/>
    <w:basedOn w:val="DefaultParagraphFont"/>
    <w:uiPriority w:val="9"/>
    <w:rPr>
      <w:rFonts w:ascii="Cambria" w:eastAsia="MS Gothic" w:hAnsi="Cambria" w:cs="Times New Roman"/>
      <w:b/>
      <w:color w:val="365F91"/>
      <w:sz w:val="28"/>
      <w:szCs w:val="28"/>
    </w:rPr>
  </w:style>
  <w:style w:type="character" w:customStyle="1" w:styleId="Heading2Char1">
    <w:name w:val="Heading 2 Char1"/>
    <w:basedOn w:val="DefaultParagraphFont"/>
    <w:uiPriority w:val="9"/>
    <w:rPr>
      <w:rFonts w:ascii="Cambria" w:eastAsia="MS Gothic" w:hAnsi="Cambria" w:cs="Times New Roman"/>
      <w:b/>
      <w:color w:val="4F81BD"/>
      <w:sz w:val="26"/>
      <w:szCs w:val="26"/>
    </w:rPr>
  </w:style>
  <w:style w:type="character" w:customStyle="1" w:styleId="Heading3Char1">
    <w:name w:val="Heading 3 Char1"/>
    <w:basedOn w:val="DefaultParagraphFont"/>
    <w:uiPriority w:val="9"/>
    <w:rPr>
      <w:rFonts w:ascii="Cambria" w:eastAsia="MS Gothic" w:hAnsi="Cambria" w:cs="Times New Roman"/>
      <w:b/>
      <w:color w:val="4F81BD"/>
    </w:rPr>
  </w:style>
  <w:style w:type="character" w:customStyle="1" w:styleId="Heading4Char1">
    <w:name w:val="Heading 4 Char1"/>
    <w:basedOn w:val="DefaultParagraphFont"/>
    <w:uiPriority w:val="9"/>
    <w:rPr>
      <w:rFonts w:ascii="Cambria" w:eastAsia="MS Gothic" w:hAnsi="Cambria" w:cs="Times New Roman"/>
      <w:b/>
      <w:i/>
      <w:color w:val="4F81BD"/>
    </w:rPr>
  </w:style>
  <w:style w:type="character" w:customStyle="1" w:styleId="Heading5Char1">
    <w:name w:val="Heading 5 Char1"/>
    <w:basedOn w:val="DefaultParagraphFont"/>
    <w:uiPriority w:val="9"/>
    <w:rPr>
      <w:rFonts w:ascii="Cambria" w:eastAsia="MS Gothic" w:hAnsi="Cambria" w:cs="Times New Roman"/>
      <w:color w:val="243F60"/>
    </w:rPr>
  </w:style>
  <w:style w:type="character" w:customStyle="1" w:styleId="Heading6Char1">
    <w:name w:val="Heading 6 Char1"/>
    <w:basedOn w:val="DefaultParagraphFont"/>
    <w:uiPriority w:val="9"/>
    <w:rPr>
      <w:rFonts w:ascii="Cambria" w:eastAsia="MS Gothic" w:hAnsi="Cambria" w:cs="Times New Roman"/>
      <w:i/>
      <w:color w:val="243F60"/>
    </w:rPr>
  </w:style>
  <w:style w:type="character" w:customStyle="1" w:styleId="Heading7Char1">
    <w:name w:val="Heading 7 Char1"/>
    <w:basedOn w:val="DefaultParagraphFont"/>
    <w:uiPriority w:val="9"/>
    <w:rPr>
      <w:rFonts w:ascii="Cambria" w:eastAsia="MS Gothic" w:hAnsi="Cambria" w:cs="Times New Roman"/>
      <w:i/>
      <w:color w:val="404040"/>
    </w:rPr>
  </w:style>
  <w:style w:type="character" w:customStyle="1" w:styleId="Heading8Char1">
    <w:name w:val="Heading 8 Char1"/>
    <w:basedOn w:val="DefaultParagraphFont"/>
    <w:uiPriority w:val="9"/>
    <w:rPr>
      <w:rFonts w:ascii="Cambria" w:eastAsia="MS Gothic" w:hAnsi="Cambria" w:cs="Times New Roman"/>
      <w:color w:val="404040"/>
      <w:sz w:val="20"/>
      <w:szCs w:val="20"/>
    </w:rPr>
  </w:style>
  <w:style w:type="character" w:customStyle="1" w:styleId="Heading9Char1">
    <w:name w:val="Heading 9 Char1"/>
    <w:basedOn w:val="DefaultParagraphFont"/>
    <w:uiPriority w:val="9"/>
    <w:rPr>
      <w:rFonts w:ascii="Cambria" w:eastAsia="MS Gothic" w:hAnsi="Cambria" w:cs="Times New Roman"/>
      <w:i/>
      <w:color w:val="404040"/>
      <w:sz w:val="20"/>
      <w:szCs w:val="20"/>
    </w:rPr>
  </w:style>
  <w:style w:type="paragraph" w:styleId="BlockText">
    <w:name w:val="Block Text"/>
    <w:basedOn w:val="Normal"/>
    <w:uiPriority w:val="99"/>
    <w:pPr>
      <w:pBdr>
        <w:top w:val="single" w:sz="2" w:space="10" w:color="4F81BD" w:shadow="1"/>
        <w:left w:val="single" w:sz="2" w:space="10" w:color="4F81BD" w:shadow="1"/>
        <w:bottom w:val="single" w:sz="2" w:space="10" w:color="4F81BD" w:shadow="1"/>
        <w:right w:val="single" w:sz="2" w:space="10" w:color="4F81BD" w:shadow="1"/>
      </w:pBdr>
      <w:ind w:left="1152" w:right="1152"/>
    </w:pPr>
    <w:rPr>
      <w:i/>
      <w:color w:val="4F81BD"/>
    </w:rPr>
  </w:style>
  <w:style w:type="paragraph" w:styleId="EnvelopeAddress">
    <w:name w:val="envelope address"/>
    <w:basedOn w:val="Normal"/>
    <w:uiPriority w:val="99"/>
    <w:pPr>
      <w:framePr w:w="7920" w:h="1980" w:hRule="exact" w:hSpace="180" w:wrap="auto" w:hAnchor="page" w:xAlign="center" w:yAlign="bottom"/>
      <w:spacing w:after="0" w:line="240" w:lineRule="auto"/>
      <w:ind w:left="2880"/>
    </w:pPr>
    <w:rPr>
      <w:rFonts w:ascii="Cambria" w:eastAsia="MS Gothic" w:hAnsi="Cambria" w:cs="Times New Roman"/>
      <w:sz w:val="24"/>
      <w:szCs w:val="24"/>
    </w:rPr>
  </w:style>
  <w:style w:type="paragraph" w:styleId="EnvelopeReturn">
    <w:name w:val="envelope return"/>
    <w:basedOn w:val="Normal"/>
    <w:uiPriority w:val="99"/>
    <w:pPr>
      <w:spacing w:after="0" w:line="240" w:lineRule="auto"/>
    </w:pPr>
    <w:rPr>
      <w:rFonts w:ascii="Cambria" w:eastAsia="MS Gothic" w:hAnsi="Cambria" w:cs="Times New Roman"/>
      <w:sz w:val="20"/>
      <w:szCs w:val="20"/>
    </w:rPr>
  </w:style>
  <w:style w:type="paragraph" w:styleId="Index1">
    <w:name w:val="index 1"/>
    <w:basedOn w:val="Normal"/>
    <w:next w:val="Normal"/>
    <w:autoRedefine/>
    <w:uiPriority w:val="99"/>
    <w:pPr>
      <w:spacing w:after="0" w:line="240" w:lineRule="auto"/>
      <w:ind w:left="220" w:hanging="220"/>
    </w:p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MS Gothic" w:hAnsi="Cambria" w:cs="Times New Roman"/>
      <w:sz w:val="24"/>
      <w:szCs w:val="24"/>
    </w:rPr>
  </w:style>
  <w:style w:type="character" w:customStyle="1" w:styleId="MessageHeaderChar1">
    <w:name w:val="Message Header Char1"/>
    <w:basedOn w:val="DefaultParagraphFont"/>
    <w:link w:val="MessageHeader"/>
    <w:uiPriority w:val="99"/>
    <w:rPr>
      <w:rFonts w:ascii="Cambria" w:eastAsia="MS Gothic" w:hAnsi="Cambria" w:cs="Times New Roman"/>
      <w:sz w:val="24"/>
      <w:szCs w:val="24"/>
      <w:shd w:val="pct20" w:color="auto" w:fill="auto"/>
    </w:rPr>
  </w:style>
  <w:style w:type="paragraph" w:styleId="BodyText">
    <w:name w:val="Body Text"/>
    <w:basedOn w:val="Normal"/>
    <w:link w:val="BodyTextChar1"/>
    <w:uiPriority w:val="99"/>
    <w:pPr>
      <w:spacing w:after="120"/>
    </w:pPr>
  </w:style>
  <w:style w:type="character" w:customStyle="1" w:styleId="BodyTextChar1">
    <w:name w:val="Body Text Char1"/>
    <w:basedOn w:val="DefaultParagraphFont"/>
    <w:link w:val="BodyText"/>
    <w:uiPriority w:val="99"/>
  </w:style>
  <w:style w:type="paragraph" w:styleId="Date">
    <w:name w:val="Date"/>
    <w:basedOn w:val="Normal"/>
    <w:next w:val="Normal"/>
    <w:link w:val="DateChar1"/>
    <w:uiPriority w:val="99"/>
  </w:style>
  <w:style w:type="character" w:customStyle="1" w:styleId="DateChar1">
    <w:name w:val="Date Char1"/>
    <w:basedOn w:val="DefaultParagraphFont"/>
    <w:link w:val="Date"/>
    <w:uiPriority w:val="99"/>
  </w:style>
  <w:style w:type="paragraph" w:styleId="BodyText2">
    <w:name w:val="Body Text 2"/>
    <w:basedOn w:val="Normal"/>
    <w:link w:val="BodyText2Char1"/>
    <w:uiPriority w:val="99"/>
    <w:pPr>
      <w:spacing w:after="120" w:line="480" w:lineRule="auto"/>
    </w:pPr>
  </w:style>
  <w:style w:type="character" w:customStyle="1" w:styleId="BodyText2Char1">
    <w:name w:val="Body Text 2 Char1"/>
    <w:basedOn w:val="DefaultParagraphFont"/>
    <w:link w:val="BodyText2"/>
    <w:uiPriority w:val="99"/>
  </w:style>
  <w:style w:type="paragraph" w:styleId="BodyText3">
    <w:name w:val="Body Text 3"/>
    <w:basedOn w:val="Normal"/>
    <w:link w:val="BodyText3Char1"/>
    <w:uiPriority w:val="99"/>
    <w:pPr>
      <w:spacing w:after="120"/>
    </w:pPr>
    <w:rPr>
      <w:sz w:val="16"/>
      <w:szCs w:val="16"/>
    </w:rPr>
  </w:style>
  <w:style w:type="character" w:customStyle="1" w:styleId="BodyText3Char1">
    <w:name w:val="Body Text 3 Char1"/>
    <w:basedOn w:val="DefaultParagraphFont"/>
    <w:link w:val="BodyText3"/>
    <w:uiPriority w:val="99"/>
    <w:rPr>
      <w:sz w:val="16"/>
      <w:szCs w:val="16"/>
    </w:rPr>
  </w:style>
  <w:style w:type="paragraph" w:styleId="BodyTextFirstIndent">
    <w:name w:val="Body Text First Indent"/>
    <w:basedOn w:val="BodyText"/>
    <w:link w:val="BodyTextFirstIndentChar1"/>
    <w:uiPriority w:val="99"/>
    <w:pPr>
      <w:spacing w:after="200"/>
      <w:ind w:firstLine="360"/>
    </w:pPr>
  </w:style>
  <w:style w:type="character" w:customStyle="1" w:styleId="BodyTextFirstIndentChar1">
    <w:name w:val="Body Text First Indent Char1"/>
    <w:basedOn w:val="BodyTextChar1"/>
    <w:link w:val="BodyTextFirstIndent"/>
    <w:uiPriority w:val="99"/>
  </w:style>
  <w:style w:type="paragraph" w:styleId="BodyTextIndent">
    <w:name w:val="Body Text Indent"/>
    <w:basedOn w:val="Normal"/>
    <w:link w:val="BodyTextIndentChar1"/>
    <w:uiPriority w:val="99"/>
    <w:pPr>
      <w:spacing w:after="120"/>
      <w:ind w:left="360"/>
    </w:pPr>
  </w:style>
  <w:style w:type="character" w:customStyle="1" w:styleId="BodyTextIndentChar1">
    <w:name w:val="Body Text Indent Char1"/>
    <w:basedOn w:val="DefaultParagraphFont"/>
    <w:link w:val="BodyTextIndent"/>
    <w:uiPriority w:val="99"/>
  </w:style>
  <w:style w:type="paragraph" w:styleId="BodyTextFirstIndent2">
    <w:name w:val="Body Text First Indent 2"/>
    <w:basedOn w:val="BodyTextIndent"/>
    <w:link w:val="BodyTextFirstIndent2Char1"/>
    <w:uiPriority w:val="99"/>
    <w:pPr>
      <w:spacing w:after="200"/>
      <w:ind w:firstLine="360"/>
    </w:pPr>
  </w:style>
  <w:style w:type="character" w:customStyle="1" w:styleId="BodyTextFirstIndent2Char1">
    <w:name w:val="Body Text First Indent 2 Char1"/>
    <w:basedOn w:val="BodyTextIndentChar1"/>
    <w:link w:val="BodyTextFirstIndent2"/>
    <w:uiPriority w:val="99"/>
  </w:style>
  <w:style w:type="paragraph" w:styleId="BodyTextIndent2">
    <w:name w:val="Body Text Indent 2"/>
    <w:basedOn w:val="Normal"/>
    <w:link w:val="BodyTextIndent2Char1"/>
    <w:uiPriority w:val="99"/>
    <w:pPr>
      <w:spacing w:after="120" w:line="480" w:lineRule="auto"/>
      <w:ind w:left="360"/>
    </w:pPr>
  </w:style>
  <w:style w:type="character" w:customStyle="1" w:styleId="BodyTextIndent2Char1">
    <w:name w:val="Body Text Indent 2 Char1"/>
    <w:basedOn w:val="DefaultParagraphFont"/>
    <w:link w:val="BodyTextIndent2"/>
    <w:uiPriority w:val="99"/>
  </w:style>
  <w:style w:type="paragraph" w:styleId="BodyTextIndent3">
    <w:name w:val="Body Text Indent 3"/>
    <w:basedOn w:val="Normal"/>
    <w:link w:val="BodyTextIndent3Char1"/>
    <w:uiPriority w:val="99"/>
    <w:pPr>
      <w:spacing w:after="120"/>
      <w:ind w:left="360"/>
    </w:pPr>
    <w:rPr>
      <w:sz w:val="16"/>
      <w:szCs w:val="16"/>
    </w:rPr>
  </w:style>
  <w:style w:type="character" w:customStyle="1" w:styleId="BodyTextIndent3Char1">
    <w:name w:val="Body Text Indent 3 Char1"/>
    <w:basedOn w:val="DefaultParagraphFont"/>
    <w:link w:val="BodyTextIndent3"/>
    <w:uiPriority w:val="99"/>
    <w:rPr>
      <w:sz w:val="16"/>
      <w:szCs w:val="16"/>
    </w:rPr>
  </w:style>
  <w:style w:type="paragraph" w:styleId="Closing">
    <w:name w:val="Closing"/>
    <w:basedOn w:val="Normal"/>
    <w:link w:val="ClosingChar1"/>
    <w:uiPriority w:val="99"/>
    <w:pPr>
      <w:spacing w:after="0" w:line="240" w:lineRule="auto"/>
      <w:ind w:left="4320"/>
    </w:pPr>
  </w:style>
  <w:style w:type="character" w:customStyle="1" w:styleId="ClosingChar1">
    <w:name w:val="Closing Char1"/>
    <w:basedOn w:val="DefaultParagraphFont"/>
    <w:link w:val="Closing"/>
    <w:uiPriority w:val="99"/>
  </w:style>
  <w:style w:type="paragraph" w:styleId="DocumentMap">
    <w:name w:val="Document Map"/>
    <w:basedOn w:val="Normal"/>
    <w:link w:val="DocumentMapChar1"/>
    <w:uiPriority w:val="99"/>
    <w:pPr>
      <w:spacing w:after="0" w:line="240" w:lineRule="auto"/>
    </w:pPr>
    <w:rPr>
      <w:rFonts w:ascii="Tahoma" w:hAnsi="Tahoma" w:cs="Tahoma"/>
      <w:sz w:val="16"/>
      <w:szCs w:val="16"/>
    </w:rPr>
  </w:style>
  <w:style w:type="character" w:customStyle="1" w:styleId="DocumentMapChar1">
    <w:name w:val="Document Map Char1"/>
    <w:basedOn w:val="DefaultParagraphFont"/>
    <w:link w:val="DocumentMap"/>
    <w:uiPriority w:val="99"/>
    <w:rPr>
      <w:rFonts w:ascii="Tahoma" w:hAnsi="Tahoma" w:cs="Tahoma"/>
      <w:sz w:val="16"/>
      <w:szCs w:val="16"/>
    </w:rPr>
  </w:style>
  <w:style w:type="paragraph" w:styleId="E-mailSignature">
    <w:name w:val="E-mail Signature"/>
    <w:basedOn w:val="Normal"/>
    <w:link w:val="E-mailSignatureChar1"/>
    <w:uiPriority w:val="99"/>
    <w:pPr>
      <w:spacing w:after="0" w:line="240" w:lineRule="auto"/>
    </w:pPr>
  </w:style>
  <w:style w:type="character" w:customStyle="1" w:styleId="E-mailSignatureChar1">
    <w:name w:val="E-mail Signature Char1"/>
    <w:basedOn w:val="DefaultParagraphFont"/>
    <w:link w:val="E-mailSignature"/>
    <w:uiPriority w:val="99"/>
  </w:style>
  <w:style w:type="paragraph" w:styleId="EndnoteText">
    <w:name w:val="endnote text"/>
    <w:basedOn w:val="Normal"/>
    <w:link w:val="EndnoteTextChar1"/>
    <w:uiPriority w:val="99"/>
    <w:pPr>
      <w:spacing w:after="0" w:line="240" w:lineRule="auto"/>
    </w:pPr>
    <w:rPr>
      <w:sz w:val="20"/>
      <w:szCs w:val="20"/>
    </w:rPr>
  </w:style>
  <w:style w:type="character" w:customStyle="1" w:styleId="EndnoteTextChar1">
    <w:name w:val="Endnote Text Char1"/>
    <w:basedOn w:val="DefaultParagraphFont"/>
    <w:link w:val="EndnoteText"/>
    <w:uiPriority w:val="99"/>
    <w:rPr>
      <w:sz w:val="20"/>
      <w:szCs w:val="20"/>
    </w:rPr>
  </w:style>
  <w:style w:type="paragraph" w:styleId="FootnoteText">
    <w:name w:val="footnote text"/>
    <w:basedOn w:val="Normal"/>
    <w:link w:val="FootnoteTextChar1"/>
    <w:uiPriority w:val="99"/>
    <w:pPr>
      <w:spacing w:after="0" w:line="240" w:lineRule="auto"/>
    </w:pPr>
    <w:rPr>
      <w:sz w:val="20"/>
      <w:szCs w:val="20"/>
    </w:rPr>
  </w:style>
  <w:style w:type="character" w:customStyle="1" w:styleId="FootnoteTextChar1">
    <w:name w:val="Footnote Text Char1"/>
    <w:basedOn w:val="DefaultParagraphFont"/>
    <w:link w:val="FootnoteText"/>
    <w:uiPriority w:val="99"/>
    <w:rPr>
      <w:sz w:val="20"/>
      <w:szCs w:val="20"/>
    </w:rPr>
  </w:style>
  <w:style w:type="paragraph" w:styleId="HTMLAddress">
    <w:name w:val="HTML Address"/>
    <w:basedOn w:val="Normal"/>
    <w:link w:val="HTMLAddressChar1"/>
    <w:uiPriority w:val="99"/>
    <w:pPr>
      <w:spacing w:after="0" w:line="240" w:lineRule="auto"/>
    </w:pPr>
    <w:rPr>
      <w:i/>
    </w:rPr>
  </w:style>
  <w:style w:type="character" w:customStyle="1" w:styleId="HTMLAddressChar1">
    <w:name w:val="HTML Address Char1"/>
    <w:basedOn w:val="DefaultParagraphFont"/>
    <w:link w:val="HTMLAddress"/>
    <w:uiPriority w:val="99"/>
    <w:rPr>
      <w:i/>
    </w:rPr>
  </w:style>
  <w:style w:type="paragraph" w:styleId="HTMLPreformatted">
    <w:name w:val="HTML Preformatted"/>
    <w:basedOn w:val="Normal"/>
    <w:link w:val="HTMLPreformattedChar1"/>
    <w:uiPriority w:val="99"/>
    <w:pPr>
      <w:spacing w:after="0" w:line="240" w:lineRule="auto"/>
    </w:pPr>
    <w:rPr>
      <w:rFonts w:ascii="Consolas" w:hAnsi="Consolas" w:cs="Consolas"/>
      <w:sz w:val="20"/>
      <w:szCs w:val="20"/>
    </w:rPr>
  </w:style>
  <w:style w:type="character" w:customStyle="1" w:styleId="HTMLPreformattedChar1">
    <w:name w:val="HTML Preformatted Char1"/>
    <w:basedOn w:val="DefaultParagraphFont"/>
    <w:link w:val="HTMLPreformatted"/>
    <w:uiPriority w:val="99"/>
    <w:rPr>
      <w:rFonts w:ascii="Consolas" w:hAnsi="Consolas" w:cs="Consolas"/>
      <w:sz w:val="20"/>
      <w:szCs w:val="20"/>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i/>
      <w:color w:val="4F81BD"/>
    </w:rPr>
  </w:style>
  <w:style w:type="character" w:customStyle="1" w:styleId="IntenseQuoteChar1">
    <w:name w:val="Intense Quote Char1"/>
    <w:basedOn w:val="DefaultParagraphFont"/>
    <w:link w:val="IntenseQuote"/>
    <w:uiPriority w:val="30"/>
    <w:rPr>
      <w:b/>
      <w:i/>
      <w:color w:val="4F81BD"/>
    </w:rPr>
  </w:style>
  <w:style w:type="paragraph" w:styleId="List">
    <w:name w:val="List"/>
    <w:basedOn w:val="Normal"/>
    <w:uiPriority w:val="99"/>
    <w:pPr>
      <w:ind w:left="360" w:hanging="360"/>
      <w:contextualSpacing/>
    </w:pPr>
  </w:style>
  <w:style w:type="paragraph" w:styleId="List2">
    <w:name w:val="List 2"/>
    <w:basedOn w:val="Normal"/>
    <w:uiPriority w:val="99"/>
    <w:pPr>
      <w:ind w:left="720" w:hanging="360"/>
      <w:contextualSpacing/>
    </w:pPr>
  </w:style>
  <w:style w:type="paragraph" w:styleId="List3">
    <w:name w:val="List 3"/>
    <w:basedOn w:val="Normal"/>
    <w:uiPriority w:val="99"/>
    <w:pPr>
      <w:ind w:left="1080" w:hanging="360"/>
      <w:contextualSpacing/>
    </w:pPr>
  </w:style>
  <w:style w:type="paragraph" w:styleId="List4">
    <w:name w:val="List 4"/>
    <w:basedOn w:val="Normal"/>
    <w:uiPriority w:val="99"/>
    <w:pPr>
      <w:ind w:left="1440" w:hanging="360"/>
      <w:contextualSpacing/>
    </w:pPr>
  </w:style>
  <w:style w:type="paragraph" w:styleId="List5">
    <w:name w:val="List 5"/>
    <w:basedOn w:val="Normal"/>
    <w:uiPriority w:val="99"/>
    <w:pPr>
      <w:ind w:left="1800" w:hanging="360"/>
      <w:contextualSpacing/>
    </w:pPr>
  </w:style>
  <w:style w:type="paragraph" w:styleId="ListContinue">
    <w:name w:val="List Continue"/>
    <w:basedOn w:val="Normal"/>
    <w:uiPriority w:val="99"/>
    <w:pPr>
      <w:spacing w:after="120"/>
      <w:ind w:left="360"/>
      <w:contextualSpacing/>
    </w:pPr>
  </w:style>
  <w:style w:type="paragraph" w:styleId="ListContinue2">
    <w:name w:val="List Continue 2"/>
    <w:basedOn w:val="Normal"/>
    <w:uiPriority w:val="99"/>
    <w:pPr>
      <w:spacing w:after="120"/>
      <w:ind w:left="720"/>
      <w:contextualSpacing/>
    </w:pPr>
  </w:style>
  <w:style w:type="paragraph" w:styleId="ListContinue3">
    <w:name w:val="List Continue 3"/>
    <w:basedOn w:val="Normal"/>
    <w:uiPriority w:val="99"/>
    <w:pPr>
      <w:spacing w:after="120"/>
      <w:ind w:left="1080"/>
      <w:contextualSpacing/>
    </w:pPr>
  </w:style>
  <w:style w:type="paragraph" w:styleId="ListContinue4">
    <w:name w:val="List Continue 4"/>
    <w:basedOn w:val="Normal"/>
    <w:uiPriority w:val="99"/>
    <w:pPr>
      <w:spacing w:after="120"/>
      <w:ind w:left="1440"/>
      <w:contextualSpacing/>
    </w:pPr>
  </w:style>
  <w:style w:type="paragraph" w:styleId="ListContinue5">
    <w:name w:val="List Continue 5"/>
    <w:basedOn w:val="Normal"/>
    <w:uiPriority w:val="99"/>
    <w:pPr>
      <w:spacing w:after="120"/>
      <w:ind w:left="1800"/>
      <w:contextualSpacing/>
    </w:pPr>
  </w:style>
  <w:style w:type="paragraph" w:styleId="MacroText">
    <w:name w:val="macro"/>
    <w:link w:val="MacroTextChar1"/>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pPr>
    <w:rPr>
      <w:rFonts w:ascii="Consolas" w:hAnsi="Consolas" w:cs="Consolas"/>
      <w:sz w:val="20"/>
      <w:szCs w:val="20"/>
    </w:rPr>
  </w:style>
  <w:style w:type="character" w:customStyle="1" w:styleId="MacroTextChar1">
    <w:name w:val="Macro Text Char1"/>
    <w:basedOn w:val="DefaultParagraphFont"/>
    <w:link w:val="MacroText"/>
    <w:uiPriority w:val="99"/>
    <w:rPr>
      <w:rFonts w:ascii="Consolas" w:hAnsi="Consolas" w:cs="Consolas"/>
      <w:sz w:val="20"/>
      <w:szCs w:val="20"/>
    </w:rPr>
  </w:style>
  <w:style w:type="paragraph" w:styleId="NoSpacing">
    <w:name w:val="No Spacing"/>
    <w:uiPriority w:val="1"/>
    <w:qFormat/>
    <w:pPr>
      <w:widowControl w:val="0"/>
      <w:autoSpaceDE w:val="0"/>
      <w:autoSpaceDN w:val="0"/>
      <w:adjustRightInd w:val="0"/>
      <w:spacing w:after="0" w:line="240" w:lineRule="auto"/>
    </w:pPr>
    <w:rPr>
      <w:rFonts w:ascii="Calibri" w:hAnsi="Calibri"/>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1"/>
    <w:uiPriority w:val="99"/>
    <w:pPr>
      <w:spacing w:after="0" w:line="240" w:lineRule="auto"/>
    </w:pPr>
  </w:style>
  <w:style w:type="character" w:customStyle="1" w:styleId="NoteHeadingChar1">
    <w:name w:val="Note Heading Char1"/>
    <w:basedOn w:val="DefaultParagraphFont"/>
    <w:link w:val="NoteHeading"/>
    <w:uiPriority w:val="99"/>
  </w:style>
  <w:style w:type="paragraph" w:styleId="PlainText">
    <w:name w:val="Plain Text"/>
    <w:basedOn w:val="Normal"/>
    <w:link w:val="PlainTextChar1"/>
    <w:uiPriority w:val="99"/>
    <w:pPr>
      <w:spacing w:after="0" w:line="240" w:lineRule="auto"/>
    </w:pPr>
    <w:rPr>
      <w:rFonts w:ascii="Consolas" w:hAnsi="Consolas" w:cs="Consolas"/>
      <w:sz w:val="21"/>
      <w:szCs w:val="21"/>
    </w:rPr>
  </w:style>
  <w:style w:type="character" w:customStyle="1" w:styleId="PlainTextChar1">
    <w:name w:val="Plain Text Char1"/>
    <w:basedOn w:val="DefaultParagraphFont"/>
    <w:link w:val="PlainText"/>
    <w:uiPriority w:val="99"/>
    <w:rPr>
      <w:rFonts w:ascii="Consolas" w:hAnsi="Consolas" w:cs="Consolas"/>
      <w:sz w:val="21"/>
      <w:szCs w:val="21"/>
    </w:rPr>
  </w:style>
  <w:style w:type="paragraph" w:styleId="Quote">
    <w:name w:val="Quote"/>
    <w:basedOn w:val="Normal"/>
    <w:next w:val="Normal"/>
    <w:link w:val="QuoteChar1"/>
    <w:uiPriority w:val="29"/>
    <w:qFormat/>
    <w:rPr>
      <w:i/>
      <w:color w:val="000000"/>
    </w:rPr>
  </w:style>
  <w:style w:type="character" w:customStyle="1" w:styleId="QuoteChar1">
    <w:name w:val="Quote Char1"/>
    <w:basedOn w:val="DefaultParagraphFont"/>
    <w:link w:val="Quote"/>
    <w:uiPriority w:val="29"/>
    <w:rPr>
      <w:i/>
      <w:color w:val="000000"/>
    </w:rPr>
  </w:style>
  <w:style w:type="paragraph" w:styleId="Salutation">
    <w:name w:val="Salutation"/>
    <w:basedOn w:val="Normal"/>
    <w:next w:val="Normal"/>
    <w:link w:val="SalutationChar1"/>
    <w:uiPriority w:val="99"/>
  </w:style>
  <w:style w:type="character" w:customStyle="1" w:styleId="SalutationChar1">
    <w:name w:val="Salutation Char1"/>
    <w:basedOn w:val="DefaultParagraphFont"/>
    <w:link w:val="Salutation"/>
    <w:uiPriority w:val="99"/>
  </w:style>
  <w:style w:type="paragraph" w:styleId="Signature">
    <w:name w:val="Signature"/>
    <w:basedOn w:val="Normal"/>
    <w:link w:val="SignatureChar1"/>
    <w:uiPriority w:val="99"/>
    <w:pPr>
      <w:spacing w:after="0" w:line="240" w:lineRule="auto"/>
      <w:ind w:left="4320"/>
    </w:pPr>
  </w:style>
  <w:style w:type="character" w:customStyle="1" w:styleId="SignatureChar1">
    <w:name w:val="Signature Char1"/>
    <w:basedOn w:val="DefaultParagraphFont"/>
    <w:link w:val="Signature"/>
    <w:uiPriority w:val="99"/>
  </w:style>
  <w:style w:type="paragraph" w:styleId="Subtitle">
    <w:name w:val="Subtitle"/>
    <w:basedOn w:val="Normal"/>
    <w:next w:val="Normal"/>
    <w:link w:val="SubtitleChar1"/>
    <w:uiPriority w:val="11"/>
    <w:qFormat/>
    <w:rPr>
      <w:rFonts w:ascii="Times New Roman" w:hAnsi="Times New Roman" w:cs="Times New Roman"/>
      <w:i/>
      <w:color w:val="4F81BD"/>
      <w:spacing w:val="15"/>
    </w:rPr>
  </w:style>
  <w:style w:type="character" w:customStyle="1" w:styleId="SubtitleChar1">
    <w:name w:val="Subtitle Char1"/>
    <w:basedOn w:val="DefaultParagraphFont"/>
    <w:link w:val="Subtitle"/>
    <w:uiPriority w:val="11"/>
    <w:rPr>
      <w:rFonts w:ascii="Cambria" w:eastAsia="MS Gothic" w:hAnsi="Cambria" w:cs="Times New Roman"/>
      <w:i/>
      <w:color w:val="4F81BD"/>
      <w:spacing w:val="15"/>
      <w:sz w:val="24"/>
      <w:szCs w:val="24"/>
    </w:rPr>
  </w:style>
  <w:style w:type="paragraph" w:styleId="Title">
    <w:name w:val="Title"/>
    <w:basedOn w:val="Normal"/>
    <w:next w:val="Normal"/>
    <w:link w:val="TitleChar1"/>
    <w:uiPriority w:val="10"/>
    <w:qFormat/>
    <w:pPr>
      <w:pBdr>
        <w:bottom w:val="single" w:sz="8" w:space="4" w:color="4F81BD"/>
      </w:pBdr>
      <w:spacing w:after="300" w:line="240" w:lineRule="auto"/>
      <w:contextualSpacing/>
    </w:pPr>
    <w:rPr>
      <w:rFonts w:ascii="Times New Roman" w:hAnsi="Times New Roman" w:cs="Times New Roman"/>
      <w:color w:val="17365D"/>
      <w:spacing w:val="5"/>
      <w:kern w:val="28"/>
      <w:sz w:val="52"/>
      <w:szCs w:val="52"/>
    </w:rPr>
  </w:style>
  <w:style w:type="character" w:customStyle="1" w:styleId="TitleChar1">
    <w:name w:val="Title Char1"/>
    <w:basedOn w:val="DefaultParagraphFont"/>
    <w:link w:val="Title"/>
    <w:uiPriority w:val="10"/>
    <w:rPr>
      <w:rFonts w:ascii="Cambria" w:eastAsia="MS Gothic" w:hAnsi="Cambria" w:cs="Times New Roman"/>
      <w:color w:val="17365D"/>
      <w:spacing w:val="5"/>
      <w:kern w:val="28"/>
      <w:sz w:val="52"/>
      <w:szCs w:val="52"/>
    </w:rPr>
  </w:style>
  <w:style w:type="character" w:styleId="Hyperlink">
    <w:name w:val="Hyperlink"/>
    <w:basedOn w:val="DefaultParagraphFont"/>
    <w:uiPriority w:val="99"/>
    <w:rPr>
      <w:color w:val="0000FF"/>
      <w:u w:val="single"/>
    </w:rPr>
  </w:style>
  <w:style w:type="paragraph" w:customStyle="1" w:styleId="BatesNumber">
    <w:name w:val="BatesNumber"/>
    <w:basedOn w:val="Normal"/>
    <w:next w:val="Normal"/>
    <w:pPr>
      <w:spacing w:after="0" w:line="240" w:lineRule="auto"/>
      <w:ind w:left="63" w:right="63"/>
    </w:pPr>
    <w:rPr>
      <w:rFonts w:eastAsia="Times New Roman" w:cs="Times New Roman"/>
    </w:rPr>
  </w:style>
  <w:style w:type="paragraph" w:customStyle="1" w:styleId="BatesBelow">
    <w:name w:val="BatesBelow"/>
    <w:basedOn w:val="Normal"/>
    <w:pPr>
      <w:spacing w:after="0" w:line="240" w:lineRule="auto"/>
      <w:ind w:left="63" w:right="63"/>
    </w:pPr>
    <w:rPr>
      <w:rFonts w:eastAsia="Times New Roman" w:cs="Times New Roman"/>
    </w:rPr>
  </w:style>
  <w:style w:type="paragraph" w:customStyle="1" w:styleId="BatesAbove">
    <w:name w:val="BatesAbove"/>
    <w:basedOn w:val="Normal"/>
    <w:next w:val="BatesNumber"/>
    <w:pPr>
      <w:spacing w:after="0" w:line="240" w:lineRule="auto"/>
      <w:ind w:left="63" w:right="63"/>
    </w:pPr>
    <w:rPr>
      <w:rFonts w:eastAsia="Times New Roman" w:cs="Times New Roman"/>
    </w:rPr>
  </w:style>
  <w:style w:type="character" w:customStyle="1" w:styleId="term">
    <w:name w:val="term"/>
    <w:basedOn w:val="DefaultParagraphFont"/>
  </w:style>
  <w:style w:type="character" w:customStyle="1" w:styleId="apple-converted-space">
    <w:name w:val="apple-converted-space"/>
    <w:basedOn w:val="DefaultParagraphFont"/>
  </w:style>
  <w:style w:type="paragraph" w:customStyle="1" w:styleId="statutory-body">
    <w:name w:val="statutory-body"/>
    <w:basedOn w:val="Normal"/>
    <w:pPr>
      <w:spacing w:after="150" w:line="240" w:lineRule="auto"/>
    </w:pPr>
    <w:rPr>
      <w:rFonts w:ascii="Times New Roman" w:hAnsi="Times New Roman" w:cs="Times New Roman"/>
      <w:sz w:val="24"/>
      <w:szCs w:val="24"/>
    </w:rPr>
  </w:style>
  <w:style w:type="paragraph" w:customStyle="1" w:styleId="statutory-body-1em">
    <w:name w:val="statutory-body-1em"/>
    <w:basedOn w:val="Normal"/>
    <w:pPr>
      <w:spacing w:after="150" w:line="240" w:lineRule="auto"/>
      <w:ind w:left="240" w:firstLine="240"/>
    </w:pPr>
    <w:rPr>
      <w:rFonts w:ascii="Times New Roman" w:hAnsi="Times New Roman" w:cs="Times New Roman"/>
      <w:sz w:val="24"/>
      <w:szCs w:val="24"/>
    </w:rPr>
  </w:style>
  <w:style w:type="character" w:customStyle="1" w:styleId="smallcaps">
    <w:name w:val="smallcaps"/>
    <w:basedOn w:val="DefaultParagraphFont"/>
    <w:rPr>
      <w:smallCaps/>
    </w:rPr>
  </w:style>
  <w:style w:type="paragraph" w:customStyle="1" w:styleId="statutory-body-2em">
    <w:name w:val="statutory-body-2em"/>
    <w:basedOn w:val="Normal"/>
    <w:pPr>
      <w:spacing w:after="150" w:line="240" w:lineRule="auto"/>
      <w:ind w:left="480" w:firstLine="240"/>
    </w:pPr>
    <w:rPr>
      <w:rFonts w:ascii="Times New Roman" w:hAnsi="Times New Roman" w:cs="Times New Roman"/>
      <w:sz w:val="24"/>
      <w:szCs w:val="24"/>
    </w:rPr>
  </w:style>
  <w:style w:type="paragraph" w:customStyle="1" w:styleId="TOCHeader">
    <w:name w:val="TOC Header"/>
    <w:basedOn w:val="Normal"/>
    <w:pPr>
      <w:spacing w:after="0" w:line="240" w:lineRule="auto"/>
      <w:ind w:left="115" w:right="115"/>
      <w:jc w:val="center"/>
    </w:pPr>
    <w:rPr>
      <w:rFonts w:cs="Times New Roman"/>
      <w:szCs w:val="20"/>
    </w:rPr>
  </w:style>
  <w:style w:type="character" w:styleId="PageNumber">
    <w:name w:val="page number"/>
    <w:basedOn w:val="DefaultParagraphFont"/>
    <w:uiPriority w:val="99"/>
  </w:style>
  <w:style w:type="paragraph" w:styleId="TableofAuthorities">
    <w:name w:val="table of authorities"/>
    <w:basedOn w:val="Normal"/>
    <w:next w:val="Normal"/>
    <w:uiPriority w:val="99"/>
    <w:pPr>
      <w:spacing w:after="0"/>
      <w:ind w:left="220" w:hanging="220"/>
    </w:pPr>
  </w:style>
  <w:style w:type="paragraph" w:styleId="TOC1">
    <w:name w:val="toc 1"/>
    <w:basedOn w:val="Normal"/>
    <w:next w:val="Normal"/>
    <w:autoRedefine/>
    <w:uiPriority w:val="39"/>
    <w:pPr>
      <w:keepNext/>
      <w:tabs>
        <w:tab w:val="right" w:leader="dot" w:pos="9360"/>
      </w:tabs>
      <w:spacing w:after="120" w:line="240" w:lineRule="auto"/>
      <w:ind w:left="720" w:right="936" w:hanging="720"/>
    </w:pPr>
    <w:rPr>
      <w:rFonts w:ascii="Times New Roman" w:hAnsi="Times New Roman" w:cs="Times New Roman"/>
      <w:sz w:val="26"/>
      <w:szCs w:val="20"/>
    </w:rPr>
  </w:style>
  <w:style w:type="paragraph" w:styleId="TOC2">
    <w:name w:val="toc 2"/>
    <w:basedOn w:val="Normal"/>
    <w:next w:val="Normal"/>
    <w:autoRedefine/>
    <w:uiPriority w:val="39"/>
    <w:pPr>
      <w:keepNext/>
      <w:keepLines/>
      <w:tabs>
        <w:tab w:val="left" w:pos="1080"/>
        <w:tab w:val="left" w:leader="dot" w:pos="8630"/>
      </w:tabs>
      <w:spacing w:after="120" w:line="240" w:lineRule="auto"/>
      <w:ind w:left="1080" w:right="936" w:hanging="1080"/>
    </w:pPr>
    <w:rPr>
      <w:rFonts w:ascii="Times New Roman" w:hAnsi="Times New Roman" w:cs="Times New Roman"/>
      <w:sz w:val="26"/>
      <w:szCs w:val="20"/>
    </w:rPr>
  </w:style>
  <w:style w:type="paragraph" w:styleId="TOC3">
    <w:name w:val="toc 3"/>
    <w:basedOn w:val="Normal"/>
    <w:next w:val="Normal"/>
    <w:autoRedefine/>
    <w:uiPriority w:val="39"/>
    <w:pPr>
      <w:keepNext/>
      <w:keepLines/>
      <w:tabs>
        <w:tab w:val="left" w:pos="1170"/>
        <w:tab w:val="left" w:leader="dot" w:pos="8630"/>
      </w:tabs>
      <w:spacing w:after="120" w:line="240" w:lineRule="auto"/>
      <w:ind w:left="1166" w:right="936" w:hanging="1166"/>
    </w:pPr>
    <w:rPr>
      <w:rFonts w:ascii="Times New Roman" w:hAnsi="Times New Roman" w:cs="Times New Roman"/>
      <w:sz w:val="26"/>
      <w:szCs w:val="20"/>
    </w:rPr>
  </w:style>
  <w:style w:type="paragraph" w:styleId="TOC4">
    <w:name w:val="toc 4"/>
    <w:basedOn w:val="Normal"/>
    <w:next w:val="Normal"/>
    <w:autoRedefine/>
    <w:uiPriority w:val="39"/>
    <w:pPr>
      <w:keepLines/>
      <w:tabs>
        <w:tab w:val="left" w:pos="1080"/>
        <w:tab w:val="left" w:leader="dot" w:pos="8630"/>
      </w:tabs>
      <w:spacing w:after="120" w:line="240" w:lineRule="auto"/>
      <w:ind w:left="633" w:right="936" w:hanging="403"/>
    </w:pPr>
    <w:rPr>
      <w:rFonts w:ascii="Times New Roman" w:hAnsi="Times New Roman" w:cs="Times New Roman"/>
      <w:sz w:val="26"/>
      <w:szCs w:val="20"/>
    </w:rPr>
  </w:style>
  <w:style w:type="paragraph" w:styleId="TOC5">
    <w:name w:val="toc 5"/>
    <w:basedOn w:val="Normal"/>
    <w:next w:val="Normal"/>
    <w:autoRedefine/>
    <w:uiPriority w:val="39"/>
    <w:pPr>
      <w:keepLines/>
      <w:tabs>
        <w:tab w:val="right" w:leader="dot" w:pos="9288"/>
      </w:tabs>
      <w:spacing w:after="120" w:line="240" w:lineRule="auto"/>
      <w:ind w:left="3600" w:right="720" w:hanging="720"/>
    </w:pPr>
    <w:rPr>
      <w:rFonts w:cs="Times New Roman"/>
      <w:szCs w:val="20"/>
    </w:rPr>
  </w:style>
  <w:style w:type="paragraph" w:styleId="TOC6">
    <w:name w:val="toc 6"/>
    <w:basedOn w:val="Normal"/>
    <w:next w:val="Normal"/>
    <w:autoRedefine/>
    <w:uiPriority w:val="39"/>
    <w:pPr>
      <w:keepLines/>
      <w:tabs>
        <w:tab w:val="right" w:leader="dot" w:pos="9288"/>
      </w:tabs>
      <w:spacing w:after="120" w:line="240" w:lineRule="auto"/>
      <w:ind w:left="4320" w:right="720" w:hanging="720"/>
    </w:pPr>
    <w:rPr>
      <w:rFonts w:cs="Times New Roman"/>
      <w:szCs w:val="20"/>
    </w:rPr>
  </w:style>
  <w:style w:type="paragraph" w:styleId="TOC7">
    <w:name w:val="toc 7"/>
    <w:basedOn w:val="Normal"/>
    <w:next w:val="Normal"/>
    <w:autoRedefine/>
    <w:uiPriority w:val="39"/>
    <w:pPr>
      <w:keepLines/>
      <w:tabs>
        <w:tab w:val="right" w:leader="dot" w:pos="9288"/>
      </w:tabs>
      <w:spacing w:after="120" w:line="240" w:lineRule="auto"/>
      <w:ind w:left="5040" w:right="720" w:hanging="720"/>
    </w:pPr>
    <w:rPr>
      <w:rFonts w:cs="Times New Roman"/>
      <w:szCs w:val="20"/>
    </w:rPr>
  </w:style>
  <w:style w:type="paragraph" w:styleId="TOC8">
    <w:name w:val="toc 8"/>
    <w:basedOn w:val="Normal"/>
    <w:next w:val="Normal"/>
    <w:autoRedefine/>
    <w:uiPriority w:val="39"/>
    <w:pPr>
      <w:keepLines/>
      <w:tabs>
        <w:tab w:val="right" w:leader="dot" w:pos="9288"/>
      </w:tabs>
      <w:spacing w:after="120" w:line="240" w:lineRule="auto"/>
      <w:ind w:left="5760" w:right="720" w:hanging="720"/>
    </w:pPr>
    <w:rPr>
      <w:rFonts w:cs="Times New Roman"/>
      <w:szCs w:val="20"/>
    </w:rPr>
  </w:style>
  <w:style w:type="paragraph" w:styleId="TOC9">
    <w:name w:val="toc 9"/>
    <w:basedOn w:val="Normal"/>
    <w:next w:val="Normal"/>
    <w:autoRedefine/>
    <w:uiPriority w:val="39"/>
    <w:pPr>
      <w:keepLines/>
      <w:tabs>
        <w:tab w:val="right" w:leader="dot" w:pos="9288"/>
      </w:tabs>
      <w:spacing w:after="120" w:line="240" w:lineRule="auto"/>
      <w:ind w:left="6480" w:right="720" w:hanging="720"/>
    </w:pPr>
    <w:rPr>
      <w:rFonts w:cs="Times New Roman"/>
      <w:szCs w:val="20"/>
    </w:rPr>
  </w:style>
  <w:style w:type="character" w:styleId="FootnoteReference">
    <w:name w:val="footnote reference"/>
    <w:basedOn w:val="DefaultParagraphFont"/>
    <w:uiPriority w:val="99"/>
    <w:rPr>
      <w:vertAlign w:val="superscript"/>
    </w:rPr>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DeltaViewTableHeading">
    <w:name w:val="DeltaView Table Heading"/>
    <w:basedOn w:val="Normal"/>
    <w:uiPriority w:val="99"/>
    <w:pPr>
      <w:widowControl/>
      <w:spacing w:after="120" w:line="240" w:lineRule="auto"/>
    </w:pPr>
    <w:rPr>
      <w:rFonts w:ascii="Arial" w:hAnsi="Arial"/>
      <w:b/>
      <w:sz w:val="24"/>
      <w:szCs w:val="24"/>
    </w:rPr>
  </w:style>
  <w:style w:type="paragraph" w:customStyle="1" w:styleId="DeltaViewTableBody">
    <w:name w:val="DeltaView Table Body"/>
    <w:basedOn w:val="Normal"/>
    <w:uiPriority w:val="99"/>
    <w:pPr>
      <w:widowControl/>
      <w:spacing w:after="0" w:line="240" w:lineRule="auto"/>
    </w:pPr>
    <w:rPr>
      <w:rFonts w:ascii="Arial" w:hAnsi="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sz w:val="24"/>
      <w:szCs w:val="24"/>
      <w:lang w:val="en-GB"/>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8000"/>
    </w:rPr>
  </w:style>
  <w:style w:type="character" w:customStyle="1" w:styleId="DeltaViewMoveDestination">
    <w:name w:val="DeltaView Move Destination"/>
    <w:uiPriority w:val="99"/>
    <w:rPr>
      <w:color w:val="008000"/>
      <w:u w:val="double"/>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Pages>
  <Words>2735</Words>
  <Characters>13512</Characters>
  <Application>Microsoft Office Word</Application>
  <DocSecurity>0</DocSecurity>
  <Lines>231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4AAAv2pPQheLA5V3rkLibm/bHBLpnsU1ou2B2Sw5nDSFDCRARJ3Xgmwcaw==</vt:lpwstr>
  </property>
  <property fmtid="{D5CDD505-2E9C-101B-9397-08002B2CF9AE}" pid="3" name="MAIL_MSG_ID1">
    <vt:lpwstr>ABAAVOAfoSrQoyxzDgdespa8quQ69OPuYJ/C4akTmB+3trMQLCuN60jZRQSP6SN4w5z9</vt:lpwstr>
  </property>
  <property fmtid="{D5CDD505-2E9C-101B-9397-08002B2CF9AE}" pid="4" name="MAIL_MSG_ID2">
    <vt:lpwstr>+SiSVx9NN/UJgLfzEhB209i3O+NqumJmVvIdhm4y9knm4wvi+sKKPTUAmXg_x000d__x000d_QiMVC0X+FdILRawxpfJwzVjoJSc=</vt:lpwstr>
  </property>
  <property fmtid="{D5CDD505-2E9C-101B-9397-08002B2CF9AE}" pid="5" name="RESPONSE_SENDER_NAME">
    <vt:lpwstr>gAAAdya76B99d4hLGUR1rQ+8TxTv0GGEPdix</vt:lpwstr>
  </property>
</Properties>
</file>