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90447A" w:rsidRDefault="00E67511" w:rsidP="0090447A">
            <w:pPr>
              <w:pStyle w:val="Caption"/>
              <w:spacing w:before="240" w:line="260" w:lineRule="exact"/>
              <w:rPr>
                <w:b/>
                <w:sz w:val="28"/>
                <w:szCs w:val="28"/>
              </w:rPr>
            </w:pPr>
            <w:r w:rsidRPr="00732169">
              <w:rPr>
                <w:b/>
                <w:sz w:val="28"/>
                <w:szCs w:val="28"/>
              </w:rPr>
              <w:t xml:space="preserve">PETITION TO </w:t>
            </w:r>
            <w:r w:rsidR="0090447A">
              <w:rPr>
                <w:b/>
                <w:sz w:val="28"/>
                <w:szCs w:val="28"/>
              </w:rPr>
              <w:t>AMEND RULE 7 OF THE ARIZONA RULES OF CIVIL APPELLATE PROCEDURE AND RULES 62 AND 69 OF THE ARIZONA RULES OF CIVIL PROCEDURE</w:t>
            </w:r>
            <w:r w:rsidR="0090447A">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90447A">
              <w:rPr>
                <w:sz w:val="28"/>
                <w:szCs w:val="28"/>
              </w:rPr>
              <w:t>0017</w:t>
            </w:r>
          </w:p>
          <w:p w:rsidR="0090447A" w:rsidRDefault="0090447A" w:rsidP="000F7A7F">
            <w:pPr>
              <w:pStyle w:val="Caption"/>
              <w:tabs>
                <w:tab w:val="left" w:pos="1238"/>
              </w:tabs>
              <w:spacing w:line="260" w:lineRule="exact"/>
              <w:ind w:right="115"/>
              <w:jc w:val="center"/>
              <w:rPr>
                <w:b/>
                <w:sz w:val="28"/>
                <w:szCs w:val="28"/>
              </w:rPr>
            </w:pPr>
            <w:bookmarkStart w:id="2" w:name="_GoBack"/>
            <w:bookmarkEnd w:id="2"/>
            <w:r>
              <w:rPr>
                <w:b/>
                <w:sz w:val="28"/>
                <w:szCs w:val="28"/>
              </w:rPr>
              <w:t>REPLY OF THE</w:t>
            </w:r>
          </w:p>
          <w:p w:rsidR="00357F4D" w:rsidRPr="0090447A" w:rsidRDefault="0090447A"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Pr="0090447A" w:rsidRDefault="004331B2" w:rsidP="0090447A">
      <w:pPr>
        <w:pStyle w:val="Body"/>
        <w:widowControl w:val="0"/>
        <w:ind w:firstLine="720"/>
        <w:jc w:val="both"/>
        <w:rPr>
          <w:sz w:val="28"/>
          <w:szCs w:val="28"/>
        </w:rPr>
      </w:pPr>
    </w:p>
    <w:p w:rsidR="00A31506" w:rsidRPr="00A31506" w:rsidRDefault="00A31506" w:rsidP="00A31506">
      <w:pPr>
        <w:pStyle w:val="BodyText"/>
        <w:spacing w:before="40" w:line="480" w:lineRule="auto"/>
        <w:jc w:val="both"/>
        <w:rPr>
          <w:sz w:val="28"/>
          <w:szCs w:val="28"/>
        </w:rPr>
      </w:pPr>
      <w:r>
        <w:rPr>
          <w:sz w:val="28"/>
          <w:szCs w:val="28"/>
        </w:rPr>
        <w:tab/>
      </w:r>
      <w:r w:rsidRPr="00A31506">
        <w:rPr>
          <w:sz w:val="28"/>
          <w:szCs w:val="28"/>
        </w:rPr>
        <w:t xml:space="preserve">Pursuant to Rule 28 of the Rules of the Arizona Supreme Court, the State Bar of Arizona (“State Bar”) submits this Reply to Comments received to its Petition to amend Rule 7 of the Arizona Rules of Civil Appellate Procedure (“ARCAP”) and Rules 62 and 69 of the Arizona Rules of Civil Procedure (“Ariz. R. Civ. P.”).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State Bar received only two Comments to the Petition, and both of those supported the substance of the Petition. Indeed, the only formal Comment posted on the Court’s Rules Forum noted that “this amendment has been sorely needed ever since the statute was enacted.” The Comment urged the Court to further expand the Petition’s scope by adding “sanctions” and “anticipated post-judgment interest” to </w:t>
      </w:r>
      <w:r w:rsidRPr="00A31506">
        <w:rPr>
          <w:sz w:val="28"/>
          <w:szCs w:val="28"/>
        </w:rPr>
        <w:lastRenderedPageBreak/>
        <w:t xml:space="preserve">ARCAP 7(a)(4)(A) as items that must be included in the bond amount. A second, informal Comment was received, which expressed concern that the Proposal contained an ambiguity that potentially could allow a stay based on a supersedeas bond to remain in effect indefinitely, whether or not an appeal was pursued and even after an appeal was concluded.  </w:t>
      </w:r>
    </w:p>
    <w:p w:rsidR="00A31506" w:rsidRPr="00A31506" w:rsidRDefault="00A31506" w:rsidP="00A31506">
      <w:pPr>
        <w:pStyle w:val="BodyText"/>
        <w:spacing w:before="40" w:line="480" w:lineRule="auto"/>
        <w:jc w:val="both"/>
        <w:rPr>
          <w:sz w:val="28"/>
          <w:szCs w:val="28"/>
        </w:rPr>
      </w:pPr>
      <w:r>
        <w:rPr>
          <w:sz w:val="28"/>
          <w:szCs w:val="28"/>
        </w:rPr>
        <w:tab/>
      </w:r>
      <w:r w:rsidRPr="00A31506">
        <w:rPr>
          <w:sz w:val="28"/>
          <w:szCs w:val="28"/>
        </w:rPr>
        <w:t>As explained more fully below, the State Bar supports modification of its proposal to clarify the identified ambiguity regarding the duration of a stay based on a supersedeas bond. The State Bar does not support further expansion of its proposal to add sanctions and anticipated post-judgment interest as items that must be included in the bond computation, however, for reasons explained below. The proposed clarifications to the Petition are reflected in the Amended Draft attached hereto as Appendix A in blackline and as Appendix B in a clean word version.</w:t>
      </w:r>
    </w:p>
    <w:p w:rsidR="00A31506" w:rsidRDefault="00A31506" w:rsidP="00A31506">
      <w:pPr>
        <w:pStyle w:val="PleadingPhL2"/>
        <w:spacing w:before="480" w:line="240" w:lineRule="auto"/>
        <w:rPr>
          <w:szCs w:val="28"/>
        </w:rPr>
      </w:pPr>
      <w:r w:rsidRPr="00A31506">
        <w:rPr>
          <w:szCs w:val="28"/>
        </w:rPr>
        <w:t>the state bar proposes further amendments to arcap 7 to clarify the duration of a stay on appeal.</w:t>
      </w:r>
    </w:p>
    <w:p w:rsidR="00A31506" w:rsidRPr="00A31506" w:rsidRDefault="00A31506" w:rsidP="00A31506">
      <w:pPr>
        <w:pStyle w:val="BodyText"/>
        <w:rPr>
          <w:lang w:eastAsia="zh-CN"/>
        </w:rPr>
      </w:pP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After the Petition was filed, the State Bar’s General Counsel received an informal comment from the Chief Judge of the Arizona Court of Appeals, the Honorable Samuel Thumma.  That comment expressed concern that the Petition’s proposed deletion of the phrase “while an appeal is pending” from ARCAP 7(a)(1) potentially would allow a stay to remain in effect indefinitely, whether or not the </w:t>
      </w:r>
      <w:r w:rsidRPr="00A31506">
        <w:rPr>
          <w:sz w:val="28"/>
          <w:szCs w:val="28"/>
        </w:rPr>
        <w:lastRenderedPageBreak/>
        <w:t>judgment is appealed, and even after an appeal has concluded.  (The Petition’s original proposal to delete this phrase is shown in Appendix A to the Petition).</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State Bar agrees that a change should be made to address this concern and to clarify that the duration of a stay based on a supersedeas bond should be coextensive with the duration of appeal proceedings.  The original Petition proposed to delete the phrase “while an appeal is pending” from ARCAP 7 because, under the current rule and as proposed, a supersedeas bond may be obtained either before or after a notice of appeal is filed. This deletion also was intended to conform Arizona’s rule to pending changes to Federal Rule 62, which similarly clarify that a bond may be obtained either before or after a notice of appeal is filed.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Unlike Arizona’s rule, however, proposed Fed. R. Civ. P. 62(c) specifies the duration of the bond, providing that: “[t]he stay takes effect when the court approves the bond or other security and remains in effect for the time specified in the bond or other security.”  While the new federal rule language does not explicitly tie the bond duration to the appeal duration, presumably any specified end date would be tied to the appeal’s duration.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State Bar proposes the following amendments to clarify its proposal and to address the expressed concern: </w:t>
      </w:r>
    </w:p>
    <w:p w:rsidR="00A31506" w:rsidRPr="00A31506" w:rsidRDefault="00A31506" w:rsidP="00A31506">
      <w:pPr>
        <w:pStyle w:val="BodyText"/>
        <w:spacing w:line="480" w:lineRule="auto"/>
        <w:jc w:val="both"/>
        <w:rPr>
          <w:sz w:val="28"/>
          <w:szCs w:val="28"/>
        </w:rPr>
      </w:pPr>
      <w:r>
        <w:rPr>
          <w:sz w:val="28"/>
          <w:szCs w:val="28"/>
        </w:rPr>
        <w:lastRenderedPageBreak/>
        <w:tab/>
      </w:r>
      <w:r w:rsidRPr="00A31506">
        <w:rPr>
          <w:sz w:val="28"/>
          <w:szCs w:val="28"/>
        </w:rPr>
        <w:t xml:space="preserve">(1) Adding language to ARCAP 7(a)(1)(A) providing that “a supersedeas bond is a bond filed in the superior court, as provided by this Rule and by applicable statutes, which stays enforcement of, or execution on, a judgment </w:t>
      </w:r>
      <w:r w:rsidRPr="00A31506">
        <w:rPr>
          <w:b/>
          <w:sz w:val="28"/>
          <w:szCs w:val="28"/>
        </w:rPr>
        <w:t>as provided in this Rule.”</w:t>
      </w:r>
      <w:r w:rsidRPr="00A31506">
        <w:rPr>
          <w:sz w:val="28"/>
          <w:szCs w:val="28"/>
        </w:rPr>
        <w:t xml:space="preserve"> The proposed new language is in bold-faced type above, and is shown in the amended proposal at Appendix A (blackline) and Appendix B (clean word version). This amendment eliminates the phrase “while an appeal is pending,” and in conjunction with the proposed additions to ARCAP 7(b), below, clarifies that the duration of a supersedeas bond corresponds to the appeal duration.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(2) Modifying ARCAP 7(b), as follows:</w:t>
      </w:r>
    </w:p>
    <w:p w:rsidR="00A31506" w:rsidRPr="00A31506" w:rsidRDefault="00A31506" w:rsidP="00A31506">
      <w:pPr>
        <w:pStyle w:val="BodyText"/>
        <w:spacing w:line="480" w:lineRule="auto"/>
        <w:ind w:left="720"/>
        <w:jc w:val="both"/>
        <w:rPr>
          <w:sz w:val="28"/>
          <w:szCs w:val="28"/>
        </w:rPr>
      </w:pPr>
      <w:r w:rsidRPr="00A31506">
        <w:rPr>
          <w:sz w:val="28"/>
          <w:szCs w:val="28"/>
        </w:rPr>
        <w:t xml:space="preserve">(a) Changing the subdivision heading to read: “Effect </w:t>
      </w:r>
      <w:r w:rsidRPr="00A31506">
        <w:rPr>
          <w:b/>
          <w:sz w:val="28"/>
          <w:szCs w:val="28"/>
        </w:rPr>
        <w:t>and Duration</w:t>
      </w:r>
      <w:r w:rsidRPr="00A31506">
        <w:rPr>
          <w:sz w:val="28"/>
          <w:szCs w:val="28"/>
        </w:rPr>
        <w:t xml:space="preserve"> of a Stay.” The proposed new language is in bold-faced type above, and is shown in the amended proposal at Appendix A (blackline) and Appendix B (clean word version).</w:t>
      </w:r>
    </w:p>
    <w:p w:rsidR="00A31506" w:rsidRPr="00A31506" w:rsidRDefault="00A31506" w:rsidP="00A31506">
      <w:pPr>
        <w:pStyle w:val="BodyText"/>
        <w:spacing w:line="480" w:lineRule="auto"/>
        <w:ind w:left="720"/>
        <w:jc w:val="both"/>
        <w:rPr>
          <w:sz w:val="28"/>
          <w:szCs w:val="28"/>
        </w:rPr>
      </w:pPr>
      <w:r w:rsidRPr="00A31506">
        <w:rPr>
          <w:sz w:val="28"/>
          <w:szCs w:val="28"/>
        </w:rPr>
        <w:t>(b) Adding a sentence at the end of subdivision (b)(1) as follows:</w:t>
      </w:r>
      <w:r w:rsidRPr="00A31506">
        <w:rPr>
          <w:b/>
          <w:sz w:val="28"/>
          <w:szCs w:val="28"/>
        </w:rPr>
        <w:t xml:space="preserve"> “The stay takes effect when the court approves the supersedeas bond and remains in effect until issuance of the appellate court’s mandate, dismissal of the appeal, or as otherwise specified in the supersedeas bond or as ordered by the court.” </w:t>
      </w:r>
      <w:r w:rsidRPr="00A31506">
        <w:rPr>
          <w:sz w:val="28"/>
          <w:szCs w:val="28"/>
        </w:rPr>
        <w:t xml:space="preserve">The proposed new language is in bold-faced type above, and is shown in the amended proposal at Appendix A (blackline) and Appendix B </w:t>
      </w:r>
      <w:r w:rsidRPr="00A31506">
        <w:rPr>
          <w:sz w:val="28"/>
          <w:szCs w:val="28"/>
        </w:rPr>
        <w:lastRenderedPageBreak/>
        <w:t xml:space="preserve">(clean word version). This addition clarifies that the stay should only last for as long as the appeal proceedings last, while still allowing flexibility for the court to make more specific orders as appropriate for a particular case. </w:t>
      </w:r>
    </w:p>
    <w:p w:rsidR="00A31506" w:rsidRDefault="00A31506" w:rsidP="00A31506">
      <w:pPr>
        <w:pStyle w:val="PleadingPhL2"/>
        <w:spacing w:line="240" w:lineRule="auto"/>
        <w:rPr>
          <w:szCs w:val="28"/>
        </w:rPr>
      </w:pPr>
      <w:r w:rsidRPr="00A31506">
        <w:rPr>
          <w:szCs w:val="28"/>
        </w:rPr>
        <w:t xml:space="preserve">the state bar recommends that the court should not add sanctions and post-judgment interest as items that must be included in the bond amount. </w:t>
      </w:r>
    </w:p>
    <w:p w:rsidR="00A31506" w:rsidRPr="00A31506" w:rsidRDefault="00A31506" w:rsidP="00A31506">
      <w:pPr>
        <w:pStyle w:val="BodyText"/>
        <w:rPr>
          <w:lang w:eastAsia="zh-CN"/>
        </w:rPr>
      </w:pP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sole formal Comment on the Court’s Rules Forum supports the Petition, but proposes two expansions: </w:t>
      </w:r>
    </w:p>
    <w:p w:rsidR="00A31506" w:rsidRPr="00A31506" w:rsidRDefault="00A31506" w:rsidP="00A31506">
      <w:pPr>
        <w:pStyle w:val="BodyText"/>
        <w:spacing w:line="480" w:lineRule="auto"/>
        <w:jc w:val="both"/>
        <w:rPr>
          <w:sz w:val="28"/>
          <w:szCs w:val="28"/>
        </w:rPr>
      </w:pPr>
      <w:r w:rsidRPr="00A31506">
        <w:rPr>
          <w:sz w:val="28"/>
          <w:szCs w:val="28"/>
        </w:rPr>
        <w:tab/>
        <w:t>(1)</w:t>
      </w:r>
      <w:r w:rsidRPr="00A31506">
        <w:rPr>
          <w:sz w:val="28"/>
          <w:szCs w:val="28"/>
        </w:rPr>
        <w:tab/>
        <w:t xml:space="preserve">Adding “anticipated post-judgment interest accruing during the pendency of the appeal” as an item that the bond must cover, </w:t>
      </w:r>
      <w:r w:rsidRPr="00A31506">
        <w:rPr>
          <w:i/>
          <w:sz w:val="28"/>
          <w:szCs w:val="28"/>
        </w:rPr>
        <w:t xml:space="preserve">see </w:t>
      </w:r>
      <w:r w:rsidRPr="00A31506">
        <w:rPr>
          <w:sz w:val="28"/>
          <w:szCs w:val="28"/>
        </w:rPr>
        <w:t xml:space="preserve">March 2, 2018 Comment of Eileen Dennis GilBride (“GilBride Comment”); and </w:t>
      </w:r>
    </w:p>
    <w:p w:rsidR="00A31506" w:rsidRPr="00A31506" w:rsidRDefault="00A31506" w:rsidP="00A31506">
      <w:pPr>
        <w:pStyle w:val="BodyText"/>
        <w:spacing w:line="480" w:lineRule="auto"/>
        <w:jc w:val="both"/>
        <w:rPr>
          <w:sz w:val="28"/>
          <w:szCs w:val="28"/>
        </w:rPr>
      </w:pPr>
      <w:r w:rsidRPr="00A31506">
        <w:rPr>
          <w:sz w:val="28"/>
          <w:szCs w:val="28"/>
        </w:rPr>
        <w:tab/>
        <w:t xml:space="preserve">(2) </w:t>
      </w:r>
      <w:r w:rsidRPr="00A31506">
        <w:rPr>
          <w:sz w:val="28"/>
          <w:szCs w:val="28"/>
        </w:rPr>
        <w:tab/>
        <w:t xml:space="preserve">Adding the word “sanctions” to ARCAP 7(a)(4)(A), to ensure that the successful party’s right to collect sanctions is protected during appeal, </w:t>
      </w:r>
      <w:r w:rsidRPr="00A31506">
        <w:rPr>
          <w:i/>
          <w:sz w:val="28"/>
          <w:szCs w:val="28"/>
        </w:rPr>
        <w:t xml:space="preserve">see </w:t>
      </w:r>
      <w:r w:rsidRPr="00A31506">
        <w:rPr>
          <w:sz w:val="28"/>
          <w:szCs w:val="28"/>
        </w:rPr>
        <w:t xml:space="preserve">GilBride Comment.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State Bar recommends that the Court should not add the category of “anticipated post-judgment interest” to ARCAP 7(a)(4) as an item that must be included in the bond. The Petition already proposes to include “pre-judgment interest included in the judgment when entered,” because that amount is part of the judgment and hence, is not subject to debate or speculation. In contrast, the amount of future </w:t>
      </w:r>
      <w:r w:rsidRPr="00A31506">
        <w:rPr>
          <w:sz w:val="28"/>
          <w:szCs w:val="28"/>
        </w:rPr>
        <w:lastRenderedPageBreak/>
        <w:t xml:space="preserve">post-judgment interest that will accrue while an appeal is pending is not known at the time the bond amount is set, nor can it be projected with reasonable certainty. Adding post-judgment interest as a required component of the bond amount would both confuse the amount at issue, and give rise to disputes over the computation of projected future interest, wasting the resources of the court and the parties over an item that in many cases will be </w:t>
      </w:r>
      <w:r w:rsidRPr="00A31506">
        <w:rPr>
          <w:i/>
          <w:sz w:val="28"/>
          <w:szCs w:val="28"/>
        </w:rPr>
        <w:t>de minimis</w:t>
      </w:r>
      <w:r w:rsidRPr="00A31506">
        <w:rPr>
          <w:sz w:val="28"/>
          <w:szCs w:val="28"/>
        </w:rPr>
        <w:t xml:space="preserve">.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The State Bar also rejects as unnecessary adding “sanctions” as a separate category to be included in the bond. The GilBride Comment focuses principally on awards of attorney’s fees and costs as sanctions. But to the extent attorney’s fees or costs are awarded as sanctions, the proposed language in the pending Petition already covers an award of sanctions and permits their inclusion in the bond amount by including in ARCAP 7(a)(4) thus includes the “total amount of damages, </w:t>
      </w:r>
      <w:r w:rsidRPr="00A31506">
        <w:rPr>
          <w:b/>
          <w:sz w:val="28"/>
          <w:szCs w:val="28"/>
        </w:rPr>
        <w:t>costs, attorney’s fees</w:t>
      </w:r>
      <w:r w:rsidRPr="00A31506">
        <w:rPr>
          <w:sz w:val="28"/>
          <w:szCs w:val="28"/>
        </w:rPr>
        <w:t xml:space="preserve">, and prejudgment interest included in the judgment when entered, excluding punitive damages,” </w:t>
      </w:r>
      <w:r w:rsidRPr="00A31506">
        <w:rPr>
          <w:i/>
          <w:sz w:val="28"/>
          <w:szCs w:val="28"/>
        </w:rPr>
        <w:t>see</w:t>
      </w:r>
      <w:r w:rsidRPr="00A31506">
        <w:rPr>
          <w:sz w:val="28"/>
          <w:szCs w:val="28"/>
        </w:rPr>
        <w:t xml:space="preserve"> Appendices A and B (emphasis supplied). </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To the extent that a sanctions award might go beyond an award of attorney’s fees and costs, however, broadening the scope of the Petition would potentially run afoul of the appeal bond statute. As discussed in the Petition, the statute (A.R.S. §12-2108) on which ARCAP 7 is based specifies that the bond should be the lower of the “total amount of damages awarded excluding punitive damages.” As the Petition </w:t>
      </w:r>
      <w:r w:rsidRPr="00A31506">
        <w:rPr>
          <w:sz w:val="28"/>
          <w:szCs w:val="28"/>
        </w:rPr>
        <w:lastRenderedPageBreak/>
        <w:t>noted, it appears that the legislature used the terms “value of the judgment” and “total amount of damages” interchangeably, and did not intend to exclude attorney’s fees or other common elements of a judgment from the bond computation.</w:t>
      </w:r>
      <w:r w:rsidRPr="00A31506">
        <w:rPr>
          <w:rStyle w:val="FootnoteReference"/>
          <w:sz w:val="28"/>
          <w:szCs w:val="28"/>
        </w:rPr>
        <w:footnoteReference w:id="1"/>
      </w:r>
      <w:r w:rsidRPr="00A31506">
        <w:rPr>
          <w:sz w:val="28"/>
          <w:szCs w:val="28"/>
        </w:rPr>
        <w:t xml:space="preserve"> The amendments proposed in the Petition conform to legislative intent and should be adopted as proposed. </w:t>
      </w:r>
    </w:p>
    <w:p w:rsidR="00A31506" w:rsidRPr="00A31506" w:rsidRDefault="00A31506" w:rsidP="00A31506">
      <w:pPr>
        <w:pStyle w:val="BodyText"/>
        <w:keepNext/>
        <w:spacing w:line="480" w:lineRule="auto"/>
        <w:jc w:val="center"/>
        <w:rPr>
          <w:b/>
          <w:sz w:val="28"/>
          <w:szCs w:val="28"/>
        </w:rPr>
      </w:pPr>
      <w:r w:rsidRPr="00A31506">
        <w:rPr>
          <w:b/>
          <w:sz w:val="28"/>
          <w:szCs w:val="28"/>
        </w:rPr>
        <w:t>CONCLUSION</w:t>
      </w:r>
    </w:p>
    <w:p w:rsidR="00A31506" w:rsidRPr="00A31506" w:rsidRDefault="00A31506" w:rsidP="00A31506">
      <w:pPr>
        <w:pStyle w:val="BodyText"/>
        <w:spacing w:line="480" w:lineRule="auto"/>
        <w:jc w:val="both"/>
        <w:rPr>
          <w:sz w:val="28"/>
          <w:szCs w:val="28"/>
        </w:rPr>
      </w:pPr>
      <w:r>
        <w:rPr>
          <w:sz w:val="28"/>
          <w:szCs w:val="28"/>
        </w:rPr>
        <w:tab/>
      </w:r>
      <w:r w:rsidRPr="00A31506">
        <w:rPr>
          <w:sz w:val="28"/>
          <w:szCs w:val="28"/>
        </w:rPr>
        <w:t xml:space="preserve">For the reasons discussed above, the State Bar respectfully requests that the Court adopt the changes in the Amended Draft attached hereto as Appendix A in blackline, and as Appendix B in a clean Word version, and that it not adopt the changes proposed in the GilBride Comment.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A31506" w:rsidRDefault="000C48A9" w:rsidP="00A31506">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A31506"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5585A">
          <w:rPr>
            <w:noProof/>
            <w:sz w:val="26"/>
            <w:szCs w:val="26"/>
          </w:rPr>
          <w:t>7</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A31506" w:rsidRDefault="00A31506" w:rsidP="00A31506">
      <w:pPr>
        <w:pStyle w:val="FootnoteText"/>
        <w:jc w:val="both"/>
      </w:pPr>
      <w:r>
        <w:rPr>
          <w:rStyle w:val="FootnoteReference"/>
        </w:rPr>
        <w:footnoteRef/>
      </w:r>
      <w:r w:rsidRPr="00F773D3">
        <w:rPr>
          <w:sz w:val="28"/>
          <w:szCs w:val="28"/>
        </w:rPr>
        <w:t xml:space="preserve"> This conclusion is reinforced by the fact that the Arizona Chamber of Commerce and Industry, which proposed the legislation that was enacted as Section 12-2108 and is reflected in the current version of ARCAP 7</w:t>
      </w:r>
      <w:r>
        <w:rPr>
          <w:sz w:val="28"/>
          <w:szCs w:val="28"/>
        </w:rPr>
        <w:t>,</w:t>
      </w:r>
      <w:r w:rsidRPr="00F773D3">
        <w:rPr>
          <w:sz w:val="28"/>
          <w:szCs w:val="28"/>
        </w:rPr>
        <w:t xml:space="preserve"> did not oppose the Petition’s proposed addition of these items to the bond amount.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66"/>
    <w:multiLevelType w:val="multilevel"/>
    <w:tmpl w:val="8112202E"/>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b/>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5585A"/>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0447A"/>
    <w:rsid w:val="00933EA1"/>
    <w:rsid w:val="00951416"/>
    <w:rsid w:val="00960D21"/>
    <w:rsid w:val="00981D29"/>
    <w:rsid w:val="00981E11"/>
    <w:rsid w:val="00A1564B"/>
    <w:rsid w:val="00A31506"/>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DF5B04"/>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90447A"/>
    <w:pPr>
      <w:keepNext/>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90447A"/>
    <w:pPr>
      <w:keepNext/>
      <w:numPr>
        <w:ilvl w:val="1"/>
        <w:numId w:val="15"/>
      </w:numPr>
      <w:spacing w:before="240" w:after="0" w:line="240" w:lineRule="exact"/>
      <w:jc w:val="both"/>
      <w:outlineLvl w:val="1"/>
    </w:pPr>
    <w:rPr>
      <w:b/>
      <w:caps/>
      <w:sz w:val="28"/>
      <w:lang w:eastAsia="zh-CN"/>
    </w:rPr>
  </w:style>
  <w:style w:type="character" w:customStyle="1" w:styleId="PleadingPhL2Char">
    <w:name w:val="PleadingPh_L2 Char"/>
    <w:link w:val="PleadingPhL2"/>
    <w:rsid w:val="0090447A"/>
    <w:rPr>
      <w:b/>
      <w:caps/>
      <w:sz w:val="28"/>
      <w:lang w:eastAsia="zh-CN"/>
    </w:rPr>
  </w:style>
  <w:style w:type="paragraph" w:customStyle="1" w:styleId="PleadingPhL3">
    <w:name w:val="PleadingPh_L3"/>
    <w:basedOn w:val="BodyText"/>
    <w:next w:val="BodyText"/>
    <w:rsid w:val="0090447A"/>
    <w:pPr>
      <w:keepNext/>
      <w:numPr>
        <w:ilvl w:val="2"/>
        <w:numId w:val="15"/>
      </w:numPr>
      <w:spacing w:before="240" w:after="0" w:line="240" w:lineRule="exact"/>
      <w:jc w:val="both"/>
      <w:outlineLvl w:val="2"/>
    </w:pPr>
    <w:rPr>
      <w:b/>
      <w:sz w:val="28"/>
      <w:lang w:eastAsia="zh-CN"/>
    </w:rPr>
  </w:style>
  <w:style w:type="paragraph" w:customStyle="1" w:styleId="PleadingPhL4">
    <w:name w:val="PleadingPh_L4"/>
    <w:basedOn w:val="BodyText"/>
    <w:next w:val="BodyText"/>
    <w:rsid w:val="0090447A"/>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90447A"/>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90447A"/>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90447A"/>
    <w:pPr>
      <w:keepNext/>
      <w:numPr>
        <w:ilvl w:val="6"/>
        <w:numId w:val="15"/>
      </w:numPr>
      <w:spacing w:before="240" w:line="240" w:lineRule="exact"/>
      <w:outlineLvl w:val="6"/>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C6B5-4318-4B1F-AEEA-30E5A138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7</Pages>
  <Words>1454</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2018-06-21T16:31:00Z</dcterms:created>
  <dcterms:modified xsi:type="dcterms:W3CDTF">2018-06-22T16:22:00Z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