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FCC" w:rsidRPr="00F57DFB" w:rsidRDefault="00F57DFB" w:rsidP="00F57DFB">
      <w:pPr>
        <w:jc w:val="center"/>
        <w:rPr>
          <w:rFonts w:ascii="Times New Roman" w:hAnsi="Times New Roman" w:cs="Times New Roman"/>
          <w:b/>
          <w:sz w:val="28"/>
          <w:szCs w:val="28"/>
        </w:rPr>
      </w:pPr>
      <w:r w:rsidRPr="00F57DFB">
        <w:rPr>
          <w:rFonts w:ascii="Times New Roman" w:hAnsi="Times New Roman" w:cs="Times New Roman"/>
          <w:b/>
          <w:sz w:val="28"/>
          <w:szCs w:val="28"/>
        </w:rPr>
        <w:t>APPENDIX B</w:t>
      </w:r>
    </w:p>
    <w:p w:rsidR="00F57DFB" w:rsidRPr="00F57DFB" w:rsidRDefault="00F57DFB" w:rsidP="00F57DFB">
      <w:pPr>
        <w:widowControl w:val="0"/>
        <w:spacing w:after="0" w:line="480" w:lineRule="exact"/>
        <w:ind w:firstLine="720"/>
        <w:jc w:val="both"/>
        <w:rPr>
          <w:rFonts w:ascii="Times New Roman" w:eastAsia="Times New Roman" w:hAnsi="Times New Roman" w:cs="Times New Roman"/>
          <w:b/>
          <w:spacing w:val="-3"/>
          <w:sz w:val="28"/>
          <w:szCs w:val="28"/>
          <w:u w:val="single"/>
        </w:rPr>
      </w:pPr>
      <w:r w:rsidRPr="00F57DFB">
        <w:rPr>
          <w:rFonts w:ascii="Times New Roman" w:eastAsia="Times New Roman" w:hAnsi="Times New Roman" w:cs="Times New Roman"/>
          <w:b/>
          <w:spacing w:val="-3"/>
          <w:sz w:val="28"/>
          <w:szCs w:val="28"/>
          <w:u w:val="single"/>
        </w:rPr>
        <w:t>Option 1: Additional language incorporated into ER 1.2(d</w:t>
      </w:r>
      <w:proofErr w:type="gramStart"/>
      <w:r w:rsidRPr="00F57DFB">
        <w:rPr>
          <w:rFonts w:ascii="Times New Roman" w:eastAsia="Times New Roman" w:hAnsi="Times New Roman" w:cs="Times New Roman"/>
          <w:b/>
          <w:spacing w:val="-3"/>
          <w:sz w:val="28"/>
          <w:szCs w:val="28"/>
          <w:u w:val="single"/>
        </w:rPr>
        <w:t>)(</w:t>
      </w:r>
      <w:proofErr w:type="gramEnd"/>
      <w:r w:rsidRPr="00F57DFB">
        <w:rPr>
          <w:rFonts w:ascii="Times New Roman" w:eastAsia="Times New Roman" w:hAnsi="Times New Roman" w:cs="Times New Roman"/>
          <w:b/>
          <w:spacing w:val="-3"/>
          <w:sz w:val="28"/>
          <w:szCs w:val="28"/>
          <w:u w:val="single"/>
        </w:rPr>
        <w:t>3):</w:t>
      </w:r>
    </w:p>
    <w:p w:rsidR="00F57DFB" w:rsidRPr="00F57DFB" w:rsidRDefault="00F57DFB" w:rsidP="00F57DFB">
      <w:pPr>
        <w:widowControl w:val="0"/>
        <w:spacing w:after="0" w:line="480" w:lineRule="exact"/>
        <w:ind w:firstLine="720"/>
        <w:jc w:val="both"/>
        <w:rPr>
          <w:rFonts w:ascii="Times New Roman" w:eastAsia="Times New Roman" w:hAnsi="Times New Roman" w:cs="Times New Roman"/>
          <w:spacing w:val="-3"/>
          <w:sz w:val="28"/>
          <w:szCs w:val="28"/>
          <w:u w:val="single"/>
        </w:rPr>
      </w:pP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u w:val="single"/>
        </w:rPr>
      </w:pPr>
      <w:r w:rsidRPr="00F57DFB">
        <w:rPr>
          <w:rFonts w:ascii="Times New Roman" w:eastAsia="Times New Roman" w:hAnsi="Times New Roman" w:cs="Times New Roman"/>
          <w:sz w:val="28"/>
          <w:szCs w:val="28"/>
        </w:rPr>
        <w:t xml:space="preserve">A lawyer shall not counsel a client to engage, or assist a client, in conduct that the lawyer knows is criminal or fraudulent, but a lawyer may </w:t>
      </w:r>
      <w:r w:rsidRPr="00F57DFB">
        <w:rPr>
          <w:rFonts w:ascii="Times New Roman" w:eastAsia="Times New Roman" w:hAnsi="Times New Roman" w:cs="Times New Roman"/>
          <w:sz w:val="28"/>
          <w:szCs w:val="28"/>
          <w:u w:val="single"/>
        </w:rPr>
        <w:t>(1)</w:t>
      </w:r>
      <w:r w:rsidRPr="00F57DFB">
        <w:rPr>
          <w:rFonts w:ascii="Times New Roman" w:eastAsia="Times New Roman" w:hAnsi="Times New Roman" w:cs="Times New Roman"/>
          <w:sz w:val="28"/>
          <w:szCs w:val="28"/>
        </w:rPr>
        <w:t xml:space="preserve"> discuss the legal consequences of any proposed course of conduct with a client</w:t>
      </w:r>
      <w:r w:rsidRPr="00F57DFB">
        <w:rPr>
          <w:rFonts w:ascii="Times New Roman" w:eastAsia="Times New Roman" w:hAnsi="Times New Roman" w:cs="Times New Roman"/>
          <w:sz w:val="28"/>
          <w:szCs w:val="28"/>
          <w:u w:val="single"/>
        </w:rPr>
        <w:t>; (2)</w:t>
      </w:r>
      <w:r w:rsidRPr="00F57DFB">
        <w:rPr>
          <w:rFonts w:ascii="Times New Roman" w:eastAsia="Times New Roman" w:hAnsi="Times New Roman" w:cs="Times New Roman"/>
          <w:sz w:val="28"/>
          <w:szCs w:val="28"/>
        </w:rPr>
        <w:t xml:space="preserve"> </w:t>
      </w:r>
      <w:r w:rsidRPr="00F57DFB">
        <w:rPr>
          <w:rFonts w:ascii="Times New Roman" w:eastAsia="Times New Roman" w:hAnsi="Times New Roman" w:cs="Times New Roman"/>
          <w:strike/>
          <w:sz w:val="28"/>
          <w:szCs w:val="28"/>
        </w:rPr>
        <w:t>and</w:t>
      </w:r>
      <w:r w:rsidRPr="00F57DFB">
        <w:rPr>
          <w:rFonts w:ascii="Times New Roman" w:eastAsia="Times New Roman" w:hAnsi="Times New Roman" w:cs="Times New Roman"/>
          <w:sz w:val="28"/>
          <w:szCs w:val="28"/>
        </w:rPr>
        <w:t xml:space="preserve"> </w:t>
      </w:r>
      <w:r w:rsidRPr="00F57DFB">
        <w:rPr>
          <w:rFonts w:ascii="Times New Roman" w:eastAsia="Times New Roman" w:hAnsi="Times New Roman" w:cs="Times New Roman"/>
          <w:strike/>
          <w:sz w:val="28"/>
          <w:szCs w:val="28"/>
        </w:rPr>
        <w:t>may</w:t>
      </w:r>
      <w:r w:rsidRPr="00F57DFB">
        <w:rPr>
          <w:rFonts w:ascii="Times New Roman" w:eastAsia="Times New Roman" w:hAnsi="Times New Roman" w:cs="Times New Roman"/>
          <w:sz w:val="28"/>
          <w:szCs w:val="28"/>
        </w:rPr>
        <w:t xml:space="preserve"> counsel or assist a client to make a good faith effort to determine the validity, scope, meaning or application of the law</w:t>
      </w:r>
      <w:r w:rsidRPr="00F57DFB">
        <w:rPr>
          <w:rFonts w:ascii="Times New Roman" w:eastAsia="Times New Roman" w:hAnsi="Times New Roman" w:cs="Times New Roman"/>
          <w:strike/>
          <w:sz w:val="28"/>
          <w:szCs w:val="28"/>
        </w:rPr>
        <w:t>.</w:t>
      </w:r>
      <w:r w:rsidRPr="00F57DFB">
        <w:rPr>
          <w:rFonts w:ascii="Times New Roman" w:eastAsia="Times New Roman" w:hAnsi="Times New Roman" w:cs="Times New Roman"/>
          <w:sz w:val="28"/>
          <w:szCs w:val="28"/>
          <w:u w:val="single"/>
        </w:rPr>
        <w:t xml:space="preserve">; or (3) counsel or </w:t>
      </w:r>
      <w:bookmarkStart w:id="0" w:name="_GoBack"/>
      <w:bookmarkEnd w:id="0"/>
      <w:r w:rsidRPr="00F57DFB">
        <w:rPr>
          <w:rFonts w:ascii="Times New Roman" w:eastAsia="Times New Roman" w:hAnsi="Times New Roman" w:cs="Times New Roman"/>
          <w:sz w:val="28"/>
          <w:szCs w:val="28"/>
          <w:u w:val="single"/>
        </w:rPr>
        <w:t xml:space="preserve">assist a client regarding conduct expressly permitted by Arizona law, provided that the lawyer counsels the client about the legal consequences, under other applicable law, of the client’s proposed course of conduct, if the lawyer is qualified to do so, or recommends that the client seek the advice of independent counsel knowledgeable in the other applicable law and appropriately limits the scope of the representation. </w:t>
      </w: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rPr>
      </w:pPr>
    </w:p>
    <w:p w:rsidR="00F57DFB" w:rsidRPr="00F57DFB" w:rsidRDefault="00F57DFB" w:rsidP="00F57DFB">
      <w:pPr>
        <w:widowControl w:val="0"/>
        <w:tabs>
          <w:tab w:val="left" w:pos="2493"/>
        </w:tabs>
        <w:spacing w:after="0" w:line="480" w:lineRule="exact"/>
        <w:ind w:firstLine="720"/>
        <w:jc w:val="both"/>
        <w:rPr>
          <w:rFonts w:ascii="Times New Roman" w:eastAsia="Times New Roman" w:hAnsi="Times New Roman" w:cs="Times New Roman"/>
          <w:b/>
          <w:spacing w:val="-3"/>
          <w:sz w:val="28"/>
          <w:szCs w:val="28"/>
          <w:u w:val="single"/>
        </w:rPr>
      </w:pPr>
      <w:r w:rsidRPr="00F57DFB">
        <w:rPr>
          <w:rFonts w:ascii="Times New Roman" w:eastAsia="Times New Roman" w:hAnsi="Times New Roman" w:cs="Times New Roman"/>
          <w:b/>
          <w:spacing w:val="-3"/>
          <w:sz w:val="28"/>
          <w:szCs w:val="28"/>
          <w:u w:val="single"/>
        </w:rPr>
        <w:t>Option 2: Additional language as an explanatory comment to ER 1.2:</w:t>
      </w:r>
    </w:p>
    <w:p w:rsidR="00F57DFB" w:rsidRPr="00F57DFB" w:rsidRDefault="00F57DFB" w:rsidP="00F57DFB">
      <w:pPr>
        <w:widowControl w:val="0"/>
        <w:spacing w:after="0" w:line="480" w:lineRule="exact"/>
        <w:ind w:firstLine="720"/>
        <w:jc w:val="both"/>
        <w:rPr>
          <w:rFonts w:ascii="Times New Roman" w:eastAsia="Times New Roman" w:hAnsi="Times New Roman" w:cs="Times New Roman"/>
          <w:spacing w:val="-3"/>
          <w:sz w:val="28"/>
          <w:szCs w:val="28"/>
        </w:rPr>
      </w:pP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rPr>
      </w:pPr>
      <w:r w:rsidRPr="00F57DFB">
        <w:rPr>
          <w:rFonts w:ascii="Times New Roman" w:eastAsia="Times New Roman" w:hAnsi="Times New Roman" w:cs="Times New Roman"/>
          <w:sz w:val="28"/>
          <w:szCs w:val="28"/>
        </w:rPr>
        <w:t xml:space="preserve">A lawyer shall not counsel a client to engage, or assist a client, in conduct that the lawyer knows is criminal or fraudulent, but a lawyer may </w:t>
      </w:r>
      <w:r w:rsidRPr="00F57DFB">
        <w:rPr>
          <w:rFonts w:ascii="Times New Roman" w:eastAsia="Times New Roman" w:hAnsi="Times New Roman" w:cs="Times New Roman"/>
          <w:sz w:val="28"/>
          <w:szCs w:val="28"/>
          <w:u w:val="single"/>
        </w:rPr>
        <w:t>(1)</w:t>
      </w:r>
      <w:r w:rsidRPr="00F57DFB">
        <w:rPr>
          <w:rFonts w:ascii="Times New Roman" w:eastAsia="Times New Roman" w:hAnsi="Times New Roman" w:cs="Times New Roman"/>
          <w:sz w:val="28"/>
          <w:szCs w:val="28"/>
        </w:rPr>
        <w:t xml:space="preserve"> discuss the legal consequences of any proposed course of conduct with a client</w:t>
      </w:r>
      <w:r w:rsidRPr="00F57DFB">
        <w:rPr>
          <w:rFonts w:ascii="Times New Roman" w:eastAsia="Times New Roman" w:hAnsi="Times New Roman" w:cs="Times New Roman"/>
          <w:sz w:val="28"/>
          <w:szCs w:val="28"/>
          <w:u w:val="single"/>
        </w:rPr>
        <w:t>; (2)</w:t>
      </w:r>
      <w:r w:rsidRPr="00F57DFB">
        <w:rPr>
          <w:rFonts w:ascii="Times New Roman" w:eastAsia="Times New Roman" w:hAnsi="Times New Roman" w:cs="Times New Roman"/>
          <w:sz w:val="28"/>
          <w:szCs w:val="28"/>
        </w:rPr>
        <w:t xml:space="preserve"> </w:t>
      </w:r>
      <w:r w:rsidRPr="00F57DFB">
        <w:rPr>
          <w:rFonts w:ascii="Times New Roman" w:eastAsia="Times New Roman" w:hAnsi="Times New Roman" w:cs="Times New Roman"/>
          <w:strike/>
          <w:sz w:val="28"/>
          <w:szCs w:val="28"/>
        </w:rPr>
        <w:t>and</w:t>
      </w:r>
      <w:r w:rsidRPr="00F57DFB">
        <w:rPr>
          <w:rFonts w:ascii="Times New Roman" w:eastAsia="Times New Roman" w:hAnsi="Times New Roman" w:cs="Times New Roman"/>
          <w:sz w:val="28"/>
          <w:szCs w:val="28"/>
        </w:rPr>
        <w:t xml:space="preserve"> </w:t>
      </w:r>
      <w:r w:rsidRPr="00F57DFB">
        <w:rPr>
          <w:rFonts w:ascii="Times New Roman" w:eastAsia="Times New Roman" w:hAnsi="Times New Roman" w:cs="Times New Roman"/>
          <w:strike/>
          <w:sz w:val="28"/>
          <w:szCs w:val="28"/>
        </w:rPr>
        <w:t>may</w:t>
      </w:r>
      <w:r w:rsidRPr="00F57DFB">
        <w:rPr>
          <w:rFonts w:ascii="Times New Roman" w:eastAsia="Times New Roman" w:hAnsi="Times New Roman" w:cs="Times New Roman"/>
          <w:sz w:val="28"/>
          <w:szCs w:val="28"/>
        </w:rPr>
        <w:t xml:space="preserve"> counsel or assist a client to make a good faith effort to determine the validity, scope, meaning or application of the law</w:t>
      </w:r>
      <w:r w:rsidRPr="00F57DFB">
        <w:rPr>
          <w:rFonts w:ascii="Times New Roman" w:eastAsia="Times New Roman" w:hAnsi="Times New Roman" w:cs="Times New Roman"/>
          <w:strike/>
          <w:sz w:val="28"/>
          <w:szCs w:val="28"/>
        </w:rPr>
        <w:t>.</w:t>
      </w:r>
      <w:r w:rsidRPr="00F57DFB">
        <w:rPr>
          <w:rFonts w:ascii="Times New Roman" w:eastAsia="Times New Roman" w:hAnsi="Times New Roman" w:cs="Times New Roman"/>
          <w:sz w:val="28"/>
          <w:szCs w:val="28"/>
          <w:u w:val="single"/>
        </w:rPr>
        <w:t>; or (3) counsel or assist a client regarding conduct expressly permitted by Arizona law, provided that the lawyer counsels the client about the legal consequences, under other applicable law, of the client’s proposed course of conduct</w:t>
      </w:r>
      <w:r w:rsidRPr="00F57DFB">
        <w:rPr>
          <w:rFonts w:ascii="Times New Roman" w:eastAsia="Times New Roman" w:hAnsi="Times New Roman" w:cs="Times New Roman"/>
          <w:sz w:val="28"/>
          <w:szCs w:val="28"/>
        </w:rPr>
        <w:t>.</w:t>
      </w: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rPr>
      </w:pPr>
    </w:p>
    <w:p w:rsidR="00F57DFB" w:rsidRPr="00F57DFB" w:rsidRDefault="00F57DFB" w:rsidP="00F57DFB">
      <w:pPr>
        <w:spacing w:after="0" w:line="240" w:lineRule="auto"/>
        <w:ind w:left="720" w:right="720"/>
        <w:jc w:val="center"/>
        <w:rPr>
          <w:rFonts w:ascii="Times New Roman" w:eastAsia="Times New Roman" w:hAnsi="Times New Roman" w:cs="Times New Roman"/>
          <w:sz w:val="28"/>
          <w:szCs w:val="28"/>
        </w:rPr>
      </w:pPr>
      <w:r w:rsidRPr="00F57DFB">
        <w:rPr>
          <w:rFonts w:ascii="Times New Roman" w:eastAsia="Times New Roman" w:hAnsi="Times New Roman" w:cs="Times New Roman"/>
          <w:sz w:val="28"/>
          <w:szCs w:val="28"/>
        </w:rPr>
        <w:t>Comment [2003 amendment]</w:t>
      </w:r>
    </w:p>
    <w:p w:rsidR="00F57DFB" w:rsidRPr="00F57DFB" w:rsidRDefault="00F57DFB" w:rsidP="00F57DFB">
      <w:pPr>
        <w:spacing w:after="0" w:line="240" w:lineRule="auto"/>
        <w:ind w:left="720" w:right="720"/>
        <w:jc w:val="center"/>
        <w:rPr>
          <w:rFonts w:ascii="Times New Roman" w:eastAsia="Times New Roman" w:hAnsi="Times New Roman" w:cs="Times New Roman"/>
          <w:sz w:val="28"/>
          <w:szCs w:val="28"/>
        </w:rPr>
      </w:pPr>
      <w:r w:rsidRPr="00F57DFB">
        <w:rPr>
          <w:rFonts w:ascii="Times New Roman" w:eastAsia="Times New Roman" w:hAnsi="Times New Roman" w:cs="Times New Roman"/>
          <w:sz w:val="28"/>
          <w:szCs w:val="28"/>
        </w:rPr>
        <w:t>. . .</w:t>
      </w: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rPr>
      </w:pP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lang w:val="en"/>
        </w:rPr>
      </w:pPr>
      <w:r w:rsidRPr="00F57DFB">
        <w:rPr>
          <w:rFonts w:ascii="Times New Roman" w:eastAsia="Times New Roman" w:hAnsi="Times New Roman" w:cs="Times New Roman"/>
          <w:sz w:val="28"/>
          <w:szCs w:val="28"/>
          <w:lang w:val="en"/>
        </w:rPr>
        <w:t xml:space="preserve">[13] Paragraph (d) applies whether or not the defrauded party is a party to the transaction.  Hence, a lawyer must not participate in a sham transaction; for example, a transaction to effectuate criminal or fraudulent escape of tax liability.  Paragraph (d) does not preclude undertaking a criminal defense incident to a general retainer for legal services to a lawful enterprise.  The last clause of paragraph (d) </w:t>
      </w:r>
      <w:r w:rsidRPr="00F57DFB">
        <w:rPr>
          <w:rFonts w:ascii="Times New Roman" w:eastAsia="Times New Roman" w:hAnsi="Times New Roman" w:cs="Times New Roman"/>
          <w:sz w:val="28"/>
          <w:szCs w:val="28"/>
          <w:lang w:val="en"/>
        </w:rPr>
        <w:lastRenderedPageBreak/>
        <w:t>recognizes that determining the validity or interpretation of a statute or regulation may require a course of action involving disobedience of the statute or regulation or of the interpretation placed upon it by governmental authorities.</w:t>
      </w: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lang w:val="en"/>
        </w:rPr>
      </w:pP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u w:val="single"/>
        </w:rPr>
      </w:pPr>
      <w:r w:rsidRPr="00F57DFB">
        <w:rPr>
          <w:rFonts w:ascii="Times New Roman" w:eastAsia="Times New Roman" w:hAnsi="Times New Roman" w:cs="Times New Roman"/>
          <w:sz w:val="28"/>
          <w:szCs w:val="28"/>
          <w:lang w:val="en"/>
        </w:rPr>
        <w:t xml:space="preserve">[14] </w:t>
      </w:r>
      <w:r w:rsidRPr="00F57DFB">
        <w:rPr>
          <w:rFonts w:ascii="Times New Roman" w:eastAsia="Times New Roman" w:hAnsi="Times New Roman" w:cs="Times New Roman"/>
          <w:sz w:val="28"/>
          <w:szCs w:val="28"/>
          <w:u w:val="single"/>
        </w:rPr>
        <w:t xml:space="preserve">Pursuant to </w:t>
      </w:r>
      <w:proofErr w:type="gramStart"/>
      <w:r w:rsidRPr="00F57DFB">
        <w:rPr>
          <w:rFonts w:ascii="Times New Roman" w:eastAsia="Times New Roman" w:hAnsi="Times New Roman" w:cs="Times New Roman"/>
          <w:sz w:val="28"/>
          <w:szCs w:val="28"/>
          <w:u w:val="single"/>
        </w:rPr>
        <w:t>Paragraph(</w:t>
      </w:r>
      <w:proofErr w:type="gramEnd"/>
      <w:r w:rsidRPr="00F57DFB">
        <w:rPr>
          <w:rFonts w:ascii="Times New Roman" w:eastAsia="Times New Roman" w:hAnsi="Times New Roman" w:cs="Times New Roman"/>
          <w:sz w:val="28"/>
          <w:szCs w:val="28"/>
          <w:u w:val="single"/>
        </w:rPr>
        <w:t xml:space="preserve">d)(3), the lawyer should only counsel the client about the legal consequences of other applicable law if the lawyer is qualified to do so. If the lawyer is not qualified or competent in this other applicable body of law, the lawyer may fulfill his or her obligation to the client by recommending that the client seek independent advice from another lawyer knowledgeable in that area of law and appropriately limit the scope of the representation. </w:t>
      </w: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lang w:val="en"/>
        </w:rPr>
      </w:pPr>
    </w:p>
    <w:p w:rsidR="00F57DFB" w:rsidRPr="00F57DFB" w:rsidRDefault="00F57DFB" w:rsidP="00F57DFB">
      <w:pPr>
        <w:spacing w:after="0" w:line="240" w:lineRule="auto"/>
        <w:ind w:left="720" w:right="720"/>
        <w:jc w:val="both"/>
        <w:rPr>
          <w:rFonts w:ascii="Times New Roman" w:eastAsia="Times New Roman" w:hAnsi="Times New Roman" w:cs="Times New Roman"/>
          <w:sz w:val="28"/>
          <w:szCs w:val="28"/>
          <w:lang w:val="en"/>
        </w:rPr>
      </w:pPr>
      <w:r w:rsidRPr="00F57DFB">
        <w:rPr>
          <w:rFonts w:ascii="Times New Roman" w:eastAsia="Times New Roman" w:hAnsi="Times New Roman" w:cs="Times New Roman"/>
          <w:strike/>
          <w:sz w:val="28"/>
          <w:szCs w:val="28"/>
          <w:lang w:val="en"/>
        </w:rPr>
        <w:t>[14]</w:t>
      </w:r>
      <w:r w:rsidRPr="00F57DFB">
        <w:rPr>
          <w:rFonts w:ascii="Times New Roman" w:eastAsia="Times New Roman" w:hAnsi="Times New Roman" w:cs="Times New Roman"/>
          <w:sz w:val="28"/>
          <w:szCs w:val="28"/>
          <w:lang w:val="en"/>
        </w:rPr>
        <w:t> [15] If a lawyer comes to know or reasonably should know that a client expects assistance not permitted by the Rules of Professional Conduct or other law or if the lawyer intends to act contrary to the client's instructions, the lawyer must consult with the client regarding the limitations on the lawyer's conduct.  See ER 1.4(a</w:t>
      </w:r>
      <w:proofErr w:type="gramStart"/>
      <w:r w:rsidRPr="00F57DFB">
        <w:rPr>
          <w:rFonts w:ascii="Times New Roman" w:eastAsia="Times New Roman" w:hAnsi="Times New Roman" w:cs="Times New Roman"/>
          <w:sz w:val="28"/>
          <w:szCs w:val="28"/>
          <w:lang w:val="en"/>
        </w:rPr>
        <w:t>)(</w:t>
      </w:r>
      <w:proofErr w:type="gramEnd"/>
      <w:r w:rsidRPr="00F57DFB">
        <w:rPr>
          <w:rFonts w:ascii="Times New Roman" w:eastAsia="Times New Roman" w:hAnsi="Times New Roman" w:cs="Times New Roman"/>
          <w:sz w:val="28"/>
          <w:szCs w:val="28"/>
          <w:lang w:val="en"/>
        </w:rPr>
        <w:t>5).</w:t>
      </w:r>
    </w:p>
    <w:p w:rsidR="00F57DFB" w:rsidRPr="00F57DFB" w:rsidRDefault="00F57DFB" w:rsidP="00F57DFB">
      <w:pPr>
        <w:widowControl w:val="0"/>
        <w:spacing w:after="0" w:line="480" w:lineRule="exact"/>
        <w:jc w:val="both"/>
        <w:rPr>
          <w:rFonts w:ascii="Times New Roman" w:eastAsia="Times New Roman" w:hAnsi="Times New Roman" w:cs="Times New Roman"/>
          <w:sz w:val="28"/>
          <w:szCs w:val="28"/>
        </w:rPr>
      </w:pPr>
    </w:p>
    <w:p w:rsidR="00F57DFB" w:rsidRPr="00F57DFB" w:rsidRDefault="00F57DFB">
      <w:pPr>
        <w:rPr>
          <w:rFonts w:ascii="Times New Roman" w:hAnsi="Times New Roman" w:cs="Times New Roman"/>
          <w:sz w:val="28"/>
          <w:szCs w:val="28"/>
        </w:rPr>
      </w:pPr>
    </w:p>
    <w:sectPr w:rsidR="00F57DFB" w:rsidRPr="00F57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FB"/>
    <w:rsid w:val="00903FCC"/>
    <w:rsid w:val="00F5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9373B-B691-4043-8054-77BEC0CC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Ching</dc:creator>
  <cp:keywords/>
  <dc:description/>
  <cp:lastModifiedBy>Ann Ching</cp:lastModifiedBy>
  <cp:revision>1</cp:revision>
  <dcterms:created xsi:type="dcterms:W3CDTF">2018-04-11T23:31:00Z</dcterms:created>
  <dcterms:modified xsi:type="dcterms:W3CDTF">2018-04-11T23:33:00Z</dcterms:modified>
</cp:coreProperties>
</file>