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236" w:type="dxa"/>
        <w:tblLayout w:type="fixed"/>
        <w:tblLook w:val="0000" w:firstRow="0" w:lastRow="0" w:firstColumn="0" w:lastColumn="0" w:noHBand="0" w:noVBand="0"/>
      </w:tblPr>
      <w:tblGrid>
        <w:gridCol w:w="4836"/>
        <w:gridCol w:w="4200"/>
        <w:gridCol w:w="4200"/>
      </w:tblGrid>
      <w:tr w:rsidR="00C660BE" w:rsidRPr="000F7A7F" w:rsidTr="00C660BE">
        <w:trPr>
          <w:cantSplit/>
          <w:trHeight w:val="1987"/>
        </w:trPr>
        <w:tc>
          <w:tcPr>
            <w:tcW w:w="4836" w:type="dxa"/>
          </w:tcPr>
          <w:p w:rsidR="008D7498" w:rsidRDefault="008D7498" w:rsidP="008D7498">
            <w:pPr>
              <w:pStyle w:val="FirmInformation"/>
              <w:spacing w:line="240" w:lineRule="auto"/>
              <w:rPr>
                <w:sz w:val="28"/>
                <w:szCs w:val="28"/>
              </w:rPr>
            </w:pPr>
            <w:bookmarkStart w:id="0" w:name="_zzmpFIXED_CounselTable"/>
            <w:r>
              <w:rPr>
                <w:sz w:val="28"/>
                <w:szCs w:val="28"/>
              </w:rPr>
              <w:t>Lisa M. Panahi, Bar No. 023421</w:t>
            </w:r>
            <w:r>
              <w:rPr>
                <w:sz w:val="28"/>
                <w:szCs w:val="28"/>
              </w:rPr>
              <w:br/>
            </w:r>
            <w:r w:rsidRPr="006F63FD">
              <w:rPr>
                <w:sz w:val="28"/>
                <w:szCs w:val="28"/>
              </w:rPr>
              <w:t>General Counsel</w:t>
            </w:r>
          </w:p>
          <w:p w:rsidR="008D7498" w:rsidRPr="006F63FD" w:rsidRDefault="008D7498" w:rsidP="008D7498">
            <w:pPr>
              <w:pStyle w:val="FirmInformation"/>
              <w:spacing w:line="240" w:lineRule="auto"/>
              <w:rPr>
                <w:sz w:val="28"/>
                <w:szCs w:val="28"/>
              </w:rPr>
            </w:pPr>
            <w:r w:rsidRPr="006F63FD">
              <w:rPr>
                <w:sz w:val="28"/>
                <w:szCs w:val="28"/>
              </w:rPr>
              <w:t>State Bar of Arizona</w:t>
            </w:r>
          </w:p>
          <w:p w:rsidR="008D7498" w:rsidRPr="006F63FD" w:rsidRDefault="008D7498" w:rsidP="008D7498">
            <w:pPr>
              <w:pStyle w:val="FirmInformation"/>
              <w:spacing w:line="240" w:lineRule="auto"/>
              <w:rPr>
                <w:sz w:val="28"/>
                <w:szCs w:val="28"/>
              </w:rPr>
            </w:pPr>
            <w:r w:rsidRPr="006F63FD">
              <w:rPr>
                <w:sz w:val="28"/>
                <w:szCs w:val="28"/>
              </w:rPr>
              <w:t>4201 N. 24th Street, Suite 100</w:t>
            </w:r>
          </w:p>
          <w:p w:rsidR="008D7498" w:rsidRPr="006F63FD" w:rsidRDefault="008D7498" w:rsidP="008D7498">
            <w:pPr>
              <w:pStyle w:val="FirmInformation"/>
              <w:spacing w:line="240" w:lineRule="auto"/>
              <w:rPr>
                <w:sz w:val="28"/>
                <w:szCs w:val="28"/>
              </w:rPr>
            </w:pPr>
            <w:r w:rsidRPr="006F63FD">
              <w:rPr>
                <w:sz w:val="28"/>
                <w:szCs w:val="28"/>
              </w:rPr>
              <w:t>Phoenix, AZ  85016-6288</w:t>
            </w:r>
          </w:p>
          <w:p w:rsidR="00C660BE" w:rsidRPr="00735659" w:rsidRDefault="008D7498" w:rsidP="008D7498">
            <w:pPr>
              <w:pStyle w:val="FirmInformation"/>
              <w:spacing w:line="240" w:lineRule="auto"/>
              <w:ind w:right="0"/>
              <w:rPr>
                <w:sz w:val="28"/>
                <w:szCs w:val="28"/>
              </w:rPr>
            </w:pPr>
            <w:r>
              <w:rPr>
                <w:sz w:val="28"/>
                <w:szCs w:val="28"/>
              </w:rPr>
              <w:t>(602) 340-7236</w:t>
            </w:r>
          </w:p>
        </w:tc>
        <w:tc>
          <w:tcPr>
            <w:tcW w:w="4200" w:type="dxa"/>
          </w:tcPr>
          <w:p w:rsidR="00C660BE" w:rsidRPr="000F7A7F" w:rsidRDefault="00C660BE" w:rsidP="00C660BE">
            <w:pPr>
              <w:ind w:right="113"/>
              <w:rPr>
                <w:sz w:val="26"/>
                <w:szCs w:val="26"/>
              </w:rPr>
            </w:pPr>
          </w:p>
        </w:tc>
        <w:tc>
          <w:tcPr>
            <w:tcW w:w="4200" w:type="dxa"/>
          </w:tcPr>
          <w:p w:rsidR="00C660BE" w:rsidRPr="000F7A7F" w:rsidRDefault="00C660BE"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Default="00014002" w:rsidP="00014002">
            <w:pPr>
              <w:pStyle w:val="Caption"/>
              <w:spacing w:before="240" w:line="260" w:lineRule="exact"/>
              <w:rPr>
                <w:b/>
                <w:sz w:val="28"/>
                <w:szCs w:val="28"/>
              </w:rPr>
            </w:pPr>
            <w:r>
              <w:rPr>
                <w:b/>
                <w:sz w:val="28"/>
                <w:szCs w:val="28"/>
              </w:rPr>
              <w:t xml:space="preserve">SUA SPONTE </w:t>
            </w:r>
            <w:r w:rsidR="00E67511" w:rsidRPr="00732169">
              <w:rPr>
                <w:b/>
                <w:sz w:val="28"/>
                <w:szCs w:val="28"/>
              </w:rPr>
              <w:t xml:space="preserve">PETITION TO </w:t>
            </w:r>
            <w:r>
              <w:rPr>
                <w:b/>
                <w:sz w:val="28"/>
                <w:szCs w:val="28"/>
              </w:rPr>
              <w:t xml:space="preserve">AMEND RULES 32, 46-49, 53, 55-58, AND 60-63, </w:t>
            </w:r>
            <w:r w:rsidR="005E1807">
              <w:rPr>
                <w:b/>
                <w:sz w:val="28"/>
                <w:szCs w:val="28"/>
              </w:rPr>
              <w:t xml:space="preserve">ARIZONA </w:t>
            </w:r>
            <w:r>
              <w:rPr>
                <w:b/>
                <w:sz w:val="28"/>
                <w:szCs w:val="28"/>
              </w:rPr>
              <w:t>RULES OF THE SUPREME COURT</w:t>
            </w:r>
          </w:p>
          <w:p w:rsidR="005E1807" w:rsidRPr="005E1807" w:rsidRDefault="005E1807" w:rsidP="005E1807"/>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18</w:t>
            </w:r>
            <w:r w:rsidR="00F850BE">
              <w:rPr>
                <w:sz w:val="28"/>
                <w:szCs w:val="28"/>
              </w:rPr>
              <w:t>-</w:t>
            </w:r>
            <w:r w:rsidR="00E84CB6">
              <w:rPr>
                <w:sz w:val="28"/>
                <w:szCs w:val="28"/>
              </w:rPr>
              <w:t>0014</w:t>
            </w:r>
          </w:p>
          <w:p w:rsidR="007069A1" w:rsidRDefault="007E3CCB" w:rsidP="000F7A7F">
            <w:pPr>
              <w:pStyle w:val="Caption"/>
              <w:tabs>
                <w:tab w:val="left" w:pos="1238"/>
              </w:tabs>
              <w:spacing w:line="260" w:lineRule="exact"/>
              <w:ind w:right="115"/>
              <w:jc w:val="center"/>
              <w:rPr>
                <w:b/>
                <w:sz w:val="28"/>
                <w:szCs w:val="28"/>
              </w:rPr>
            </w:pPr>
            <w:r w:rsidRPr="005E1807">
              <w:rPr>
                <w:b/>
                <w:sz w:val="28"/>
                <w:szCs w:val="28"/>
              </w:rPr>
              <w:t>COMMENT</w:t>
            </w:r>
            <w:r w:rsidR="005E1807" w:rsidRPr="005E1807">
              <w:rPr>
                <w:b/>
                <w:sz w:val="28"/>
                <w:szCs w:val="28"/>
              </w:rPr>
              <w:t xml:space="preserve"> OF THE </w:t>
            </w:r>
          </w:p>
          <w:p w:rsidR="00357F4D" w:rsidRPr="006F63FD" w:rsidRDefault="005E1807" w:rsidP="000F7A7F">
            <w:pPr>
              <w:pStyle w:val="Caption"/>
              <w:tabs>
                <w:tab w:val="left" w:pos="1238"/>
              </w:tabs>
              <w:spacing w:line="260" w:lineRule="exact"/>
              <w:ind w:right="115"/>
              <w:jc w:val="center"/>
              <w:rPr>
                <w:b/>
                <w:sz w:val="28"/>
                <w:szCs w:val="28"/>
              </w:rPr>
            </w:pPr>
            <w:bookmarkStart w:id="2" w:name="_GoBack"/>
            <w:bookmarkEnd w:id="2"/>
            <w:r w:rsidRPr="005E1807">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E3303F" w:rsidRDefault="005E1807" w:rsidP="005E1807">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p>
    <w:p w:rsidR="00306A08" w:rsidRDefault="005E1807" w:rsidP="00823AA9">
      <w:pPr>
        <w:pStyle w:val="Body"/>
        <w:widowControl w:val="0"/>
        <w:spacing w:line="480" w:lineRule="auto"/>
        <w:ind w:firstLine="720"/>
        <w:jc w:val="both"/>
        <w:rPr>
          <w:sz w:val="28"/>
          <w:szCs w:val="28"/>
        </w:rPr>
      </w:pPr>
      <w:r>
        <w:rPr>
          <w:sz w:val="28"/>
          <w:szCs w:val="28"/>
        </w:rPr>
        <w:t>The State Bar generally supports the Petition and only comments on the proposed creation of Rule 49(e) Attorney Discipline Oversight Committee.</w:t>
      </w:r>
      <w:r w:rsidR="00E3303F">
        <w:rPr>
          <w:sz w:val="28"/>
          <w:szCs w:val="28"/>
        </w:rPr>
        <w:t xml:space="preserve"> </w:t>
      </w:r>
      <w:r w:rsidR="00823AA9">
        <w:rPr>
          <w:sz w:val="28"/>
          <w:szCs w:val="28"/>
        </w:rPr>
        <w:t>T</w:t>
      </w:r>
      <w:r w:rsidR="00BF615E">
        <w:rPr>
          <w:sz w:val="28"/>
          <w:szCs w:val="28"/>
        </w:rPr>
        <w:t>he</w:t>
      </w:r>
      <w:r w:rsidR="00823AA9">
        <w:rPr>
          <w:sz w:val="28"/>
          <w:szCs w:val="28"/>
        </w:rPr>
        <w:t xml:space="preserve"> creation </w:t>
      </w:r>
      <w:r w:rsidR="001B3EF2">
        <w:rPr>
          <w:sz w:val="28"/>
          <w:szCs w:val="28"/>
        </w:rPr>
        <w:t>of an Attorney Discipline Oversight Committee</w:t>
      </w:r>
      <w:r w:rsidR="004C6290">
        <w:rPr>
          <w:sz w:val="28"/>
          <w:szCs w:val="28"/>
        </w:rPr>
        <w:t>,</w:t>
      </w:r>
      <w:r w:rsidR="001B3EF2">
        <w:rPr>
          <w:sz w:val="28"/>
          <w:szCs w:val="28"/>
        </w:rPr>
        <w:t xml:space="preserve"> </w:t>
      </w:r>
      <w:r w:rsidR="00053A93">
        <w:rPr>
          <w:sz w:val="28"/>
          <w:szCs w:val="28"/>
        </w:rPr>
        <w:t xml:space="preserve">comprised of State Bar Board members </w:t>
      </w:r>
      <w:r w:rsidR="001B3EF2">
        <w:rPr>
          <w:sz w:val="28"/>
          <w:szCs w:val="28"/>
        </w:rPr>
        <w:t xml:space="preserve">with very broad authority to review individual disciplinary cases </w:t>
      </w:r>
      <w:r w:rsidR="00306A08">
        <w:rPr>
          <w:sz w:val="28"/>
          <w:szCs w:val="28"/>
        </w:rPr>
        <w:t>and to evaluate bar counsel performance</w:t>
      </w:r>
      <w:r w:rsidR="004C6290">
        <w:rPr>
          <w:sz w:val="28"/>
          <w:szCs w:val="28"/>
        </w:rPr>
        <w:t>,</w:t>
      </w:r>
      <w:r w:rsidR="00306A08">
        <w:rPr>
          <w:sz w:val="28"/>
          <w:szCs w:val="28"/>
        </w:rPr>
        <w:t xml:space="preserve"> inevitably creates conflicts </w:t>
      </w:r>
      <w:r w:rsidR="006B382E">
        <w:rPr>
          <w:sz w:val="28"/>
          <w:szCs w:val="28"/>
        </w:rPr>
        <w:t xml:space="preserve">of interest </w:t>
      </w:r>
      <w:r w:rsidR="00306A08">
        <w:rPr>
          <w:sz w:val="28"/>
          <w:szCs w:val="28"/>
        </w:rPr>
        <w:t xml:space="preserve">or the appearance of conflicts in the regulatory process and would undermine and interfere with the prosecutorial independence of bar counsel.  </w:t>
      </w:r>
    </w:p>
    <w:p w:rsidR="00C73390" w:rsidRDefault="00306A08" w:rsidP="00434FE4">
      <w:pPr>
        <w:pStyle w:val="Body"/>
        <w:widowControl w:val="0"/>
        <w:spacing w:line="480" w:lineRule="auto"/>
        <w:ind w:firstLine="720"/>
        <w:jc w:val="both"/>
        <w:rPr>
          <w:sz w:val="28"/>
          <w:szCs w:val="28"/>
        </w:rPr>
      </w:pPr>
      <w:r>
        <w:rPr>
          <w:sz w:val="28"/>
          <w:szCs w:val="28"/>
        </w:rPr>
        <w:lastRenderedPageBreak/>
        <w:t>The proposal provides that, “</w:t>
      </w:r>
      <w:r w:rsidR="006B382E">
        <w:rPr>
          <w:sz w:val="28"/>
          <w:szCs w:val="28"/>
        </w:rPr>
        <w:t>…[i]</w:t>
      </w:r>
      <w:r>
        <w:rPr>
          <w:sz w:val="28"/>
          <w:szCs w:val="28"/>
        </w:rPr>
        <w:t>n order to help ensure that the discipline system is adequately protecting the public, the committee shall periodically review the effectiveness, efficiency, and quality of bar counsel’s performance</w:t>
      </w:r>
      <w:r w:rsidR="00AF1F83">
        <w:rPr>
          <w:sz w:val="28"/>
          <w:szCs w:val="28"/>
        </w:rPr>
        <w:t xml:space="preserve">.  The committee may make </w:t>
      </w:r>
      <w:r w:rsidR="001B3EF2">
        <w:rPr>
          <w:sz w:val="28"/>
          <w:szCs w:val="28"/>
        </w:rPr>
        <w:t xml:space="preserve">recommendations to the </w:t>
      </w:r>
      <w:r w:rsidR="00B664F0">
        <w:rPr>
          <w:sz w:val="28"/>
          <w:szCs w:val="28"/>
        </w:rPr>
        <w:t>executive director and the board re</w:t>
      </w:r>
      <w:r w:rsidR="001B3EF2">
        <w:rPr>
          <w:sz w:val="28"/>
          <w:szCs w:val="28"/>
        </w:rPr>
        <w:t>garding bar discipline activities</w:t>
      </w:r>
      <w:r w:rsidR="00B664F0">
        <w:rPr>
          <w:sz w:val="28"/>
          <w:szCs w:val="28"/>
        </w:rPr>
        <w:t>…”</w:t>
      </w:r>
      <w:r w:rsidR="006E0490">
        <w:rPr>
          <w:sz w:val="28"/>
          <w:szCs w:val="28"/>
        </w:rPr>
        <w:t xml:space="preserve"> </w:t>
      </w:r>
      <w:r w:rsidR="00823AA9">
        <w:rPr>
          <w:sz w:val="28"/>
          <w:szCs w:val="28"/>
        </w:rPr>
        <w:t xml:space="preserve">  </w:t>
      </w:r>
    </w:p>
    <w:p w:rsidR="00BC554A" w:rsidRPr="00BC554A" w:rsidRDefault="00BC554A" w:rsidP="00C73390">
      <w:pPr>
        <w:pStyle w:val="Body"/>
        <w:widowControl w:val="0"/>
        <w:spacing w:line="480" w:lineRule="auto"/>
        <w:ind w:firstLine="720"/>
        <w:jc w:val="both"/>
        <w:rPr>
          <w:b/>
          <w:sz w:val="28"/>
          <w:szCs w:val="28"/>
          <w:u w:val="single"/>
        </w:rPr>
      </w:pPr>
      <w:r w:rsidRPr="00BC554A">
        <w:rPr>
          <w:b/>
          <w:sz w:val="28"/>
          <w:szCs w:val="28"/>
          <w:u w:val="single"/>
        </w:rPr>
        <w:t>History of Board Involvement in Disciplinary Cases</w:t>
      </w:r>
    </w:p>
    <w:p w:rsidR="00434FE4" w:rsidRDefault="00434FE4" w:rsidP="00C73390">
      <w:pPr>
        <w:pStyle w:val="Body"/>
        <w:widowControl w:val="0"/>
        <w:spacing w:line="480" w:lineRule="auto"/>
        <w:ind w:firstLine="720"/>
        <w:jc w:val="both"/>
        <w:rPr>
          <w:sz w:val="28"/>
          <w:szCs w:val="28"/>
        </w:rPr>
      </w:pPr>
      <w:r>
        <w:rPr>
          <w:sz w:val="28"/>
          <w:szCs w:val="28"/>
        </w:rPr>
        <w:t>Dating back to the 1970’s</w:t>
      </w:r>
      <w:r w:rsidR="004C6290">
        <w:rPr>
          <w:sz w:val="28"/>
          <w:szCs w:val="28"/>
        </w:rPr>
        <w:t>,</w:t>
      </w:r>
      <w:r>
        <w:rPr>
          <w:sz w:val="28"/>
          <w:szCs w:val="28"/>
        </w:rPr>
        <w:t xml:space="preserve"> the State Bar’s Board of Governors had a substantive role in the investigative and adjudicative functions in the disciplinary system.  Over time, the Court removed the Board from those adjudicatory functions and</w:t>
      </w:r>
      <w:r w:rsidR="004C6290">
        <w:rPr>
          <w:sz w:val="28"/>
          <w:szCs w:val="28"/>
        </w:rPr>
        <w:t>,</w:t>
      </w:r>
      <w:r>
        <w:rPr>
          <w:sz w:val="28"/>
          <w:szCs w:val="28"/>
        </w:rPr>
        <w:t xml:space="preserve"> by the late 1990’s</w:t>
      </w:r>
      <w:r w:rsidR="004C6290">
        <w:rPr>
          <w:sz w:val="28"/>
          <w:szCs w:val="28"/>
        </w:rPr>
        <w:t>,</w:t>
      </w:r>
      <w:r>
        <w:rPr>
          <w:sz w:val="28"/>
          <w:szCs w:val="28"/>
        </w:rPr>
        <w:t xml:space="preserve"> the only remaining role of the Board was to serve in the probable cause function.  In 2009, the Court created the Attorney Discipline Task Force and directed </w:t>
      </w:r>
      <w:r w:rsidR="004C6290">
        <w:rPr>
          <w:sz w:val="28"/>
          <w:szCs w:val="28"/>
        </w:rPr>
        <w:t xml:space="preserve">it </w:t>
      </w:r>
      <w:r>
        <w:rPr>
          <w:sz w:val="28"/>
          <w:szCs w:val="28"/>
        </w:rPr>
        <w:t xml:space="preserve">to propose a new attorney discipline system </w:t>
      </w:r>
      <w:r w:rsidR="004C6290">
        <w:rPr>
          <w:sz w:val="28"/>
          <w:szCs w:val="28"/>
        </w:rPr>
        <w:t>to</w:t>
      </w:r>
      <w:r>
        <w:rPr>
          <w:sz w:val="28"/>
          <w:szCs w:val="28"/>
        </w:rPr>
        <w:t xml:space="preserve"> include, among other things, a committee, appointed by the Supreme Court, to determine probable cause.  </w:t>
      </w:r>
      <w:r w:rsidR="00DA1303">
        <w:rPr>
          <w:sz w:val="28"/>
          <w:szCs w:val="28"/>
        </w:rPr>
        <w:t>The primary reason for directing the Task Force to modify the existing probable cause function was to eradicate the appearance of impropriety or unfairness to the respondent lawyers.  It was no longer tenable to have a Board member impose informal sanction</w:t>
      </w:r>
      <w:r w:rsidR="004C6290">
        <w:rPr>
          <w:sz w:val="28"/>
          <w:szCs w:val="28"/>
        </w:rPr>
        <w:t>s</w:t>
      </w:r>
      <w:r w:rsidR="00DA1303">
        <w:rPr>
          <w:sz w:val="28"/>
          <w:szCs w:val="28"/>
        </w:rPr>
        <w:t xml:space="preserve"> and authorize bar counsel to file formal cases.  </w:t>
      </w:r>
      <w:r w:rsidR="00C222CC">
        <w:rPr>
          <w:sz w:val="28"/>
          <w:szCs w:val="28"/>
        </w:rPr>
        <w:t>The Task Force made the recommendation to move probable cause findings from a Board member to a nine member committee appointed by the Supreme Court.  Th</w:t>
      </w:r>
      <w:r>
        <w:rPr>
          <w:sz w:val="28"/>
          <w:szCs w:val="28"/>
        </w:rPr>
        <w:t xml:space="preserve">is provision was </w:t>
      </w:r>
      <w:r w:rsidR="00C222CC">
        <w:rPr>
          <w:sz w:val="28"/>
          <w:szCs w:val="28"/>
        </w:rPr>
        <w:t xml:space="preserve">adopted </w:t>
      </w:r>
      <w:r w:rsidR="005A4875">
        <w:rPr>
          <w:sz w:val="28"/>
          <w:szCs w:val="28"/>
        </w:rPr>
        <w:t xml:space="preserve">as part of </w:t>
      </w:r>
      <w:r>
        <w:rPr>
          <w:sz w:val="28"/>
          <w:szCs w:val="28"/>
        </w:rPr>
        <w:t>the new lawyer regulation system implemented in 2011</w:t>
      </w:r>
      <w:r w:rsidR="004C6290">
        <w:rPr>
          <w:sz w:val="28"/>
          <w:szCs w:val="28"/>
        </w:rPr>
        <w:t>,</w:t>
      </w:r>
      <w:r>
        <w:rPr>
          <w:sz w:val="28"/>
          <w:szCs w:val="28"/>
        </w:rPr>
        <w:t xml:space="preserve"> and </w:t>
      </w:r>
      <w:r>
        <w:rPr>
          <w:sz w:val="28"/>
          <w:szCs w:val="28"/>
        </w:rPr>
        <w:lastRenderedPageBreak/>
        <w:t xml:space="preserve">thereby removed the last vestige of the Board’s role in the disciplinary process.  </w:t>
      </w:r>
    </w:p>
    <w:p w:rsidR="005A7BE9" w:rsidRDefault="00434FE4" w:rsidP="00823AA9">
      <w:pPr>
        <w:pStyle w:val="Body"/>
        <w:widowControl w:val="0"/>
        <w:spacing w:line="480" w:lineRule="auto"/>
        <w:ind w:firstLine="720"/>
        <w:jc w:val="both"/>
        <w:rPr>
          <w:sz w:val="28"/>
          <w:szCs w:val="28"/>
        </w:rPr>
      </w:pPr>
      <w:r>
        <w:rPr>
          <w:sz w:val="28"/>
          <w:szCs w:val="28"/>
        </w:rPr>
        <w:t>C</w:t>
      </w:r>
      <w:r w:rsidR="003C2014">
        <w:rPr>
          <w:sz w:val="28"/>
          <w:szCs w:val="28"/>
        </w:rPr>
        <w:t>ontemporaneous with the changes happening in Arizona</w:t>
      </w:r>
      <w:r>
        <w:rPr>
          <w:sz w:val="28"/>
          <w:szCs w:val="28"/>
        </w:rPr>
        <w:t xml:space="preserve"> in the early 1990’s</w:t>
      </w:r>
      <w:r w:rsidR="003C2014">
        <w:rPr>
          <w:sz w:val="28"/>
          <w:szCs w:val="28"/>
        </w:rPr>
        <w:t xml:space="preserve">, </w:t>
      </w:r>
      <w:r w:rsidR="00297C57">
        <w:rPr>
          <w:sz w:val="28"/>
          <w:szCs w:val="28"/>
        </w:rPr>
        <w:t>the American Bar Association established the Commission on Evaluation of Disciplinary Enforcement (“McKay Commission”).  The task of the McKay Commission was to study the functioning of discipline systems and evaluate the condition of disciplinary enforcement.  The McKay Commission Report recommended an expanded system of lawyer regulation that remain</w:t>
      </w:r>
      <w:r w:rsidR="004C6290">
        <w:rPr>
          <w:sz w:val="28"/>
          <w:szCs w:val="28"/>
        </w:rPr>
        <w:t>ed</w:t>
      </w:r>
      <w:r w:rsidR="00297C57">
        <w:rPr>
          <w:sz w:val="28"/>
          <w:szCs w:val="28"/>
        </w:rPr>
        <w:t xml:space="preserve"> under the authority of the judicial branch of government</w:t>
      </w:r>
      <w:r w:rsidR="00840353">
        <w:rPr>
          <w:sz w:val="28"/>
          <w:szCs w:val="28"/>
        </w:rPr>
        <w:t xml:space="preserve"> and provide</w:t>
      </w:r>
      <w:r w:rsidR="004C6290">
        <w:rPr>
          <w:sz w:val="28"/>
          <w:szCs w:val="28"/>
        </w:rPr>
        <w:t>d</w:t>
      </w:r>
      <w:r w:rsidR="00840353">
        <w:rPr>
          <w:sz w:val="28"/>
          <w:szCs w:val="28"/>
        </w:rPr>
        <w:t xml:space="preserve"> for an expanded structure for the administration of </w:t>
      </w:r>
      <w:r w:rsidR="00297C57">
        <w:rPr>
          <w:sz w:val="28"/>
          <w:szCs w:val="28"/>
        </w:rPr>
        <w:t>lawyer discipline</w:t>
      </w:r>
      <w:r w:rsidR="00840353">
        <w:rPr>
          <w:sz w:val="28"/>
          <w:szCs w:val="28"/>
        </w:rPr>
        <w:t xml:space="preserve"> systems</w:t>
      </w:r>
      <w:r w:rsidR="00297C57">
        <w:rPr>
          <w:sz w:val="28"/>
          <w:szCs w:val="28"/>
        </w:rPr>
        <w:t xml:space="preserve">.  In 1992, the ABA House of Delegates adopted the majority of the recommendations made by the McKay Commission as part of the Model Rules for Lawyer Disciplinary Enforcement.   </w:t>
      </w:r>
      <w:r w:rsidR="00E447F1">
        <w:rPr>
          <w:sz w:val="28"/>
          <w:szCs w:val="28"/>
        </w:rPr>
        <w:t xml:space="preserve">The Model Rules for </w:t>
      </w:r>
      <w:r w:rsidR="004C6290">
        <w:rPr>
          <w:sz w:val="28"/>
          <w:szCs w:val="28"/>
        </w:rPr>
        <w:t>L</w:t>
      </w:r>
      <w:r w:rsidR="00E447F1">
        <w:rPr>
          <w:sz w:val="28"/>
          <w:szCs w:val="28"/>
        </w:rPr>
        <w:t xml:space="preserve">awyer Disciplinary Enforcement set forth a comprehensive structure for the administration of lawyer discipline systems.  </w:t>
      </w:r>
      <w:r w:rsidR="00953EE3">
        <w:rPr>
          <w:sz w:val="28"/>
          <w:szCs w:val="28"/>
        </w:rPr>
        <w:t xml:space="preserve">Arizona </w:t>
      </w:r>
      <w:r w:rsidR="00C73390">
        <w:rPr>
          <w:sz w:val="28"/>
          <w:szCs w:val="28"/>
        </w:rPr>
        <w:t xml:space="preserve">incorporated </w:t>
      </w:r>
      <w:r w:rsidR="00953EE3">
        <w:rPr>
          <w:sz w:val="28"/>
          <w:szCs w:val="28"/>
        </w:rPr>
        <w:t xml:space="preserve">a majority of the recommended features of the ABA Model structure.  </w:t>
      </w:r>
      <w:r w:rsidR="003C2014">
        <w:rPr>
          <w:sz w:val="28"/>
          <w:szCs w:val="28"/>
        </w:rPr>
        <w:t xml:space="preserve">However, the Court delegated the regulation of the practice of law to the State Bar.  </w:t>
      </w:r>
      <w:r w:rsidR="00953EE3">
        <w:rPr>
          <w:sz w:val="28"/>
          <w:szCs w:val="28"/>
        </w:rPr>
        <w:t xml:space="preserve">  </w:t>
      </w:r>
    </w:p>
    <w:p w:rsidR="0027713F" w:rsidRDefault="00E447F1" w:rsidP="00823AA9">
      <w:pPr>
        <w:pStyle w:val="Body"/>
        <w:widowControl w:val="0"/>
        <w:spacing w:line="480" w:lineRule="auto"/>
        <w:ind w:firstLine="720"/>
        <w:jc w:val="both"/>
        <w:rPr>
          <w:sz w:val="28"/>
          <w:szCs w:val="28"/>
        </w:rPr>
      </w:pPr>
      <w:r>
        <w:rPr>
          <w:sz w:val="28"/>
          <w:szCs w:val="28"/>
        </w:rPr>
        <w:t xml:space="preserve">In examining the </w:t>
      </w:r>
      <w:r w:rsidR="00C55F18">
        <w:rPr>
          <w:sz w:val="28"/>
          <w:szCs w:val="28"/>
        </w:rPr>
        <w:t xml:space="preserve">role of state bar associations the Model Rules provide that, </w:t>
      </w:r>
    </w:p>
    <w:p w:rsidR="00953EE3" w:rsidRDefault="00221518" w:rsidP="00C55F18">
      <w:pPr>
        <w:pStyle w:val="Body"/>
        <w:widowControl w:val="0"/>
        <w:spacing w:line="480" w:lineRule="auto"/>
        <w:ind w:firstLine="0"/>
        <w:jc w:val="both"/>
        <w:rPr>
          <w:sz w:val="28"/>
          <w:szCs w:val="28"/>
        </w:rPr>
      </w:pPr>
      <w:r>
        <w:rPr>
          <w:sz w:val="28"/>
          <w:szCs w:val="28"/>
        </w:rPr>
        <w:t>“</w:t>
      </w:r>
      <w:r w:rsidR="00C73390">
        <w:rPr>
          <w:sz w:val="28"/>
          <w:szCs w:val="28"/>
        </w:rPr>
        <w:t>[t]</w:t>
      </w:r>
      <w:r>
        <w:rPr>
          <w:sz w:val="28"/>
          <w:szCs w:val="28"/>
        </w:rPr>
        <w:t xml:space="preserve">he disciplinary system should be controlled and managed exclusively by the state’s highest court and not by state or local bar associations for these compelling reasons.  First, the disciplinary process should be directed solely by the disciplinary </w:t>
      </w:r>
      <w:r>
        <w:rPr>
          <w:sz w:val="28"/>
          <w:szCs w:val="28"/>
        </w:rPr>
        <w:lastRenderedPageBreak/>
        <w:t xml:space="preserve">policy of the court and its appointees and not influenced by the internal politics of bar associations.  Second, the disciplinary system should be free from even the appearance of conflicts of interest or impropriety.  When elected bar officials control all or parts of the disciplinary process, these appearances are created, regardless of the actual fairness and impartiality of the system.” </w:t>
      </w:r>
      <w:r w:rsidRPr="00AB76B5">
        <w:rPr>
          <w:i/>
          <w:sz w:val="28"/>
          <w:szCs w:val="28"/>
        </w:rPr>
        <w:t>See</w:t>
      </w:r>
      <w:r>
        <w:rPr>
          <w:sz w:val="28"/>
          <w:szCs w:val="28"/>
        </w:rPr>
        <w:t>, Rule 2 ABA Model Rules for Lawyer Disciplinary Enforcement, Commentary pg. 6.</w:t>
      </w:r>
      <w:r w:rsidR="00D34634">
        <w:rPr>
          <w:sz w:val="28"/>
          <w:szCs w:val="28"/>
        </w:rPr>
        <w:t xml:space="preserve">  </w:t>
      </w:r>
    </w:p>
    <w:p w:rsidR="00BF25CE" w:rsidRDefault="00434FE4" w:rsidP="00953EE3">
      <w:pPr>
        <w:pStyle w:val="Body"/>
        <w:widowControl w:val="0"/>
        <w:spacing w:line="480" w:lineRule="auto"/>
        <w:ind w:firstLine="720"/>
        <w:jc w:val="both"/>
        <w:rPr>
          <w:sz w:val="28"/>
          <w:szCs w:val="28"/>
        </w:rPr>
      </w:pPr>
      <w:r>
        <w:rPr>
          <w:sz w:val="28"/>
          <w:szCs w:val="28"/>
        </w:rPr>
        <w:t>For purposes of this comment the structure of Arizona’s regulatory system is not important.  It is important</w:t>
      </w:r>
      <w:r w:rsidR="008F1F25">
        <w:rPr>
          <w:sz w:val="28"/>
          <w:szCs w:val="28"/>
        </w:rPr>
        <w:t>, however,</w:t>
      </w:r>
      <w:r>
        <w:rPr>
          <w:sz w:val="28"/>
          <w:szCs w:val="28"/>
        </w:rPr>
        <w:t xml:space="preserve"> that the Court take </w:t>
      </w:r>
      <w:r w:rsidR="00953EE3">
        <w:rPr>
          <w:sz w:val="28"/>
          <w:szCs w:val="28"/>
        </w:rPr>
        <w:t xml:space="preserve">every measure </w:t>
      </w:r>
      <w:r>
        <w:rPr>
          <w:sz w:val="28"/>
          <w:szCs w:val="28"/>
        </w:rPr>
        <w:t>necessary to</w:t>
      </w:r>
      <w:r w:rsidR="004C6290">
        <w:rPr>
          <w:sz w:val="28"/>
          <w:szCs w:val="28"/>
        </w:rPr>
        <w:t xml:space="preserve"> </w:t>
      </w:r>
      <w:r w:rsidR="00953EE3">
        <w:rPr>
          <w:sz w:val="28"/>
          <w:szCs w:val="28"/>
        </w:rPr>
        <w:t>prevent conflicts</w:t>
      </w:r>
      <w:r w:rsidR="00AC6ADA">
        <w:rPr>
          <w:sz w:val="28"/>
          <w:szCs w:val="28"/>
        </w:rPr>
        <w:t xml:space="preserve"> or the appearance of conflicts</w:t>
      </w:r>
      <w:r w:rsidR="004C6290">
        <w:rPr>
          <w:sz w:val="28"/>
          <w:szCs w:val="28"/>
        </w:rPr>
        <w:t xml:space="preserve">, and </w:t>
      </w:r>
      <w:r w:rsidR="00DC5FB0">
        <w:rPr>
          <w:sz w:val="28"/>
          <w:szCs w:val="28"/>
        </w:rPr>
        <w:t xml:space="preserve">ensure that </w:t>
      </w:r>
      <w:r w:rsidR="00ED7A3C">
        <w:rPr>
          <w:sz w:val="28"/>
          <w:szCs w:val="28"/>
        </w:rPr>
        <w:t xml:space="preserve">(1) </w:t>
      </w:r>
      <w:r w:rsidR="00DC5FB0">
        <w:rPr>
          <w:sz w:val="28"/>
          <w:szCs w:val="28"/>
        </w:rPr>
        <w:t>the regulatory process is not influenced by an elected board</w:t>
      </w:r>
      <w:r w:rsidR="004C6290">
        <w:rPr>
          <w:sz w:val="28"/>
          <w:szCs w:val="28"/>
        </w:rPr>
        <w:t>, and</w:t>
      </w:r>
      <w:r w:rsidR="00DC5FB0">
        <w:rPr>
          <w:sz w:val="28"/>
          <w:szCs w:val="28"/>
        </w:rPr>
        <w:t xml:space="preserve"> </w:t>
      </w:r>
      <w:r w:rsidR="00ED7A3C">
        <w:rPr>
          <w:sz w:val="28"/>
          <w:szCs w:val="28"/>
        </w:rPr>
        <w:t>(2</w:t>
      </w:r>
      <w:r w:rsidR="004C6290">
        <w:rPr>
          <w:sz w:val="28"/>
          <w:szCs w:val="28"/>
        </w:rPr>
        <w:t>) there is</w:t>
      </w:r>
      <w:r w:rsidR="00DC5FB0">
        <w:rPr>
          <w:sz w:val="28"/>
          <w:szCs w:val="28"/>
        </w:rPr>
        <w:t xml:space="preserve"> no interference with the independence of bar counsel</w:t>
      </w:r>
      <w:r w:rsidR="00452BEA">
        <w:rPr>
          <w:sz w:val="28"/>
          <w:szCs w:val="28"/>
        </w:rPr>
        <w:t xml:space="preserve">. </w:t>
      </w:r>
      <w:r w:rsidR="00953EE3">
        <w:rPr>
          <w:sz w:val="28"/>
          <w:szCs w:val="28"/>
        </w:rPr>
        <w:t xml:space="preserve"> </w:t>
      </w:r>
      <w:r w:rsidR="00452BEA">
        <w:rPr>
          <w:sz w:val="28"/>
          <w:szCs w:val="28"/>
        </w:rPr>
        <w:t xml:space="preserve">Under the </w:t>
      </w:r>
      <w:r w:rsidR="00ED7A3C">
        <w:rPr>
          <w:sz w:val="28"/>
          <w:szCs w:val="28"/>
        </w:rPr>
        <w:t xml:space="preserve">current </w:t>
      </w:r>
      <w:r w:rsidR="00452BEA">
        <w:rPr>
          <w:sz w:val="28"/>
          <w:szCs w:val="28"/>
        </w:rPr>
        <w:t>proposal</w:t>
      </w:r>
      <w:r w:rsidR="00ED7A3C">
        <w:rPr>
          <w:sz w:val="28"/>
          <w:szCs w:val="28"/>
        </w:rPr>
        <w:t>,</w:t>
      </w:r>
      <w:r w:rsidR="00452BEA">
        <w:rPr>
          <w:sz w:val="28"/>
          <w:szCs w:val="28"/>
        </w:rPr>
        <w:t xml:space="preserve"> the broad authority of the </w:t>
      </w:r>
      <w:r w:rsidR="00F34239">
        <w:rPr>
          <w:sz w:val="28"/>
          <w:szCs w:val="28"/>
        </w:rPr>
        <w:t xml:space="preserve">oversight committee </w:t>
      </w:r>
      <w:r w:rsidR="00452BEA">
        <w:rPr>
          <w:sz w:val="28"/>
          <w:szCs w:val="28"/>
        </w:rPr>
        <w:t xml:space="preserve">to </w:t>
      </w:r>
      <w:r w:rsidR="00611473">
        <w:rPr>
          <w:sz w:val="28"/>
          <w:szCs w:val="28"/>
        </w:rPr>
        <w:t>review any case, open or closed</w:t>
      </w:r>
      <w:r w:rsidR="00ED7A3C">
        <w:rPr>
          <w:sz w:val="28"/>
          <w:szCs w:val="28"/>
        </w:rPr>
        <w:t>,</w:t>
      </w:r>
      <w:r w:rsidR="00611473">
        <w:rPr>
          <w:sz w:val="28"/>
          <w:szCs w:val="28"/>
        </w:rPr>
        <w:t xml:space="preserve"> at any stage of the process</w:t>
      </w:r>
      <w:r w:rsidR="00ED7A3C">
        <w:rPr>
          <w:sz w:val="28"/>
          <w:szCs w:val="28"/>
        </w:rPr>
        <w:t>,</w:t>
      </w:r>
      <w:r w:rsidR="00D6112B">
        <w:rPr>
          <w:sz w:val="28"/>
          <w:szCs w:val="28"/>
        </w:rPr>
        <w:t xml:space="preserve"> leaves open the potential that Board members </w:t>
      </w:r>
      <w:r w:rsidR="00883B8E">
        <w:rPr>
          <w:sz w:val="28"/>
          <w:szCs w:val="28"/>
        </w:rPr>
        <w:t xml:space="preserve">could </w:t>
      </w:r>
      <w:r w:rsidR="00AC6ADA">
        <w:rPr>
          <w:sz w:val="28"/>
          <w:szCs w:val="28"/>
        </w:rPr>
        <w:t xml:space="preserve">deliberately or inadvertently, </w:t>
      </w:r>
      <w:r w:rsidR="00D6112B">
        <w:rPr>
          <w:sz w:val="28"/>
          <w:szCs w:val="28"/>
        </w:rPr>
        <w:t>influence or otherwise interfere with the prosecutorial independence of bar counsel.  Committee members may have personal agendas with respect to what actions they would like to see taken by bar counsel or</w:t>
      </w:r>
      <w:r w:rsidR="00ED7A3C">
        <w:rPr>
          <w:sz w:val="28"/>
          <w:szCs w:val="28"/>
        </w:rPr>
        <w:t>,</w:t>
      </w:r>
      <w:r w:rsidR="00D6112B">
        <w:rPr>
          <w:sz w:val="28"/>
          <w:szCs w:val="28"/>
        </w:rPr>
        <w:t xml:space="preserve"> conversely, not taken by bar counsel.  Personal agendas will inevitably lead to allegations of conflicts that interfere with the normal and orderly processing of discipline cases.</w:t>
      </w:r>
    </w:p>
    <w:p w:rsidR="00435710" w:rsidRDefault="00ED7A3C" w:rsidP="00953EE3">
      <w:pPr>
        <w:pStyle w:val="Body"/>
        <w:widowControl w:val="0"/>
        <w:spacing w:line="480" w:lineRule="auto"/>
        <w:ind w:firstLine="720"/>
        <w:jc w:val="both"/>
        <w:rPr>
          <w:sz w:val="28"/>
          <w:szCs w:val="28"/>
        </w:rPr>
      </w:pPr>
      <w:r>
        <w:rPr>
          <w:sz w:val="28"/>
          <w:szCs w:val="28"/>
        </w:rPr>
        <w:t>To provide context for this concern, recall that even a</w:t>
      </w:r>
      <w:r w:rsidR="00BF25CE">
        <w:rPr>
          <w:sz w:val="28"/>
          <w:szCs w:val="28"/>
        </w:rPr>
        <w:t xml:space="preserve">t a time when no such broad authority existed </w:t>
      </w:r>
      <w:r w:rsidR="00B65A50">
        <w:rPr>
          <w:sz w:val="28"/>
          <w:szCs w:val="28"/>
        </w:rPr>
        <w:t>withi</w:t>
      </w:r>
      <w:r w:rsidR="00BF25CE">
        <w:rPr>
          <w:sz w:val="28"/>
          <w:szCs w:val="28"/>
        </w:rPr>
        <w:t xml:space="preserve">n the Board, </w:t>
      </w:r>
      <w:r w:rsidR="00AC6ADA">
        <w:rPr>
          <w:sz w:val="28"/>
          <w:szCs w:val="28"/>
        </w:rPr>
        <w:t xml:space="preserve">former Maricopa County Attorney </w:t>
      </w:r>
      <w:r w:rsidR="00BF25CE">
        <w:rPr>
          <w:sz w:val="28"/>
          <w:szCs w:val="28"/>
        </w:rPr>
        <w:t xml:space="preserve">Andrew </w:t>
      </w:r>
      <w:r w:rsidR="00BF25CE">
        <w:rPr>
          <w:sz w:val="28"/>
          <w:szCs w:val="28"/>
        </w:rPr>
        <w:lastRenderedPageBreak/>
        <w:t>Thomas asserted that various Board members had personal political agendas and that those members were driving the disciplinary actions being sought</w:t>
      </w:r>
      <w:r w:rsidR="00AC6ADA">
        <w:rPr>
          <w:sz w:val="28"/>
          <w:szCs w:val="28"/>
        </w:rPr>
        <w:t xml:space="preserve"> against him</w:t>
      </w:r>
      <w:r w:rsidR="00BF25CE">
        <w:rPr>
          <w:sz w:val="28"/>
          <w:szCs w:val="28"/>
        </w:rPr>
        <w:t xml:space="preserve">. </w:t>
      </w:r>
      <w:r w:rsidR="00B04468">
        <w:rPr>
          <w:sz w:val="28"/>
          <w:szCs w:val="28"/>
        </w:rPr>
        <w:t>Despite the fact that the Board had absolutely no authority to direct bar counsel action</w:t>
      </w:r>
      <w:r>
        <w:rPr>
          <w:sz w:val="28"/>
          <w:szCs w:val="28"/>
        </w:rPr>
        <w:t>,</w:t>
      </w:r>
      <w:r w:rsidR="00B04468">
        <w:rPr>
          <w:sz w:val="28"/>
          <w:szCs w:val="28"/>
        </w:rPr>
        <w:t xml:space="preserve"> and that they did not review pending actions or have any authority to influence the proceedings, Thomas </w:t>
      </w:r>
      <w:r w:rsidR="00BF25CE">
        <w:rPr>
          <w:sz w:val="28"/>
          <w:szCs w:val="28"/>
        </w:rPr>
        <w:t>alleged that</w:t>
      </w:r>
      <w:r>
        <w:rPr>
          <w:sz w:val="28"/>
          <w:szCs w:val="28"/>
        </w:rPr>
        <w:t>,</w:t>
      </w:r>
      <w:r w:rsidR="00BF25CE">
        <w:rPr>
          <w:sz w:val="28"/>
          <w:szCs w:val="28"/>
        </w:rPr>
        <w:t xml:space="preserve"> </w:t>
      </w:r>
      <w:r w:rsidR="00B04468">
        <w:rPr>
          <w:sz w:val="28"/>
          <w:szCs w:val="28"/>
        </w:rPr>
        <w:t>because of the political motivations of the Board members</w:t>
      </w:r>
      <w:r>
        <w:rPr>
          <w:sz w:val="28"/>
          <w:szCs w:val="28"/>
        </w:rPr>
        <w:t>,</w:t>
      </w:r>
      <w:r w:rsidR="00B04468">
        <w:rPr>
          <w:sz w:val="28"/>
          <w:szCs w:val="28"/>
        </w:rPr>
        <w:t xml:space="preserve"> </w:t>
      </w:r>
      <w:r w:rsidR="00BF25CE">
        <w:rPr>
          <w:sz w:val="28"/>
          <w:szCs w:val="28"/>
        </w:rPr>
        <w:t xml:space="preserve">the State Bar </w:t>
      </w:r>
      <w:r w:rsidR="00B04468">
        <w:rPr>
          <w:sz w:val="28"/>
          <w:szCs w:val="28"/>
        </w:rPr>
        <w:t>h</w:t>
      </w:r>
      <w:r w:rsidR="00BF25CE">
        <w:rPr>
          <w:sz w:val="28"/>
          <w:szCs w:val="28"/>
        </w:rPr>
        <w:t xml:space="preserve">ad a conflict of interest such that any disciplinary case against him should be investigated and prosecuted by independent bar counsel.  The Court, in an abundance of caution, directed that the case </w:t>
      </w:r>
      <w:r w:rsidR="00B04468">
        <w:rPr>
          <w:sz w:val="28"/>
          <w:szCs w:val="28"/>
        </w:rPr>
        <w:t xml:space="preserve">against Andrew Thomas </w:t>
      </w:r>
      <w:r w:rsidR="00BF25CE">
        <w:rPr>
          <w:sz w:val="28"/>
          <w:szCs w:val="28"/>
        </w:rPr>
        <w:t xml:space="preserve">be investigated and prosecuted by independent counsel from Colorado.  </w:t>
      </w:r>
    </w:p>
    <w:p w:rsidR="006B1928" w:rsidRDefault="002C2478" w:rsidP="006B1928">
      <w:pPr>
        <w:pStyle w:val="Body"/>
        <w:widowControl w:val="0"/>
        <w:spacing w:line="480" w:lineRule="auto"/>
        <w:ind w:firstLine="720"/>
        <w:jc w:val="both"/>
        <w:rPr>
          <w:sz w:val="28"/>
          <w:szCs w:val="28"/>
        </w:rPr>
      </w:pPr>
      <w:r>
        <w:rPr>
          <w:sz w:val="28"/>
          <w:szCs w:val="28"/>
        </w:rPr>
        <w:t xml:space="preserve">The potential for this type of allegation </w:t>
      </w:r>
      <w:r w:rsidR="00ED7A3C">
        <w:rPr>
          <w:sz w:val="28"/>
          <w:szCs w:val="28"/>
        </w:rPr>
        <w:t xml:space="preserve">increases </w:t>
      </w:r>
      <w:r>
        <w:rPr>
          <w:sz w:val="28"/>
          <w:szCs w:val="28"/>
        </w:rPr>
        <w:t xml:space="preserve">exponentially when the Court rules articulate that the Board oversight committee has authority to review any and all </w:t>
      </w:r>
      <w:r w:rsidR="00ED7A3C">
        <w:rPr>
          <w:sz w:val="28"/>
          <w:szCs w:val="28"/>
        </w:rPr>
        <w:t xml:space="preserve">discipline </w:t>
      </w:r>
      <w:r>
        <w:rPr>
          <w:sz w:val="28"/>
          <w:szCs w:val="28"/>
        </w:rPr>
        <w:t xml:space="preserve">cases </w:t>
      </w:r>
      <w:r w:rsidR="007249DA">
        <w:rPr>
          <w:sz w:val="28"/>
          <w:szCs w:val="28"/>
        </w:rPr>
        <w:t xml:space="preserve">at any stage of the process </w:t>
      </w:r>
      <w:r>
        <w:rPr>
          <w:sz w:val="28"/>
          <w:szCs w:val="28"/>
        </w:rPr>
        <w:t xml:space="preserve">to determine whether it is their personal belief that bar counsel is taking appropriate action.  </w:t>
      </w:r>
      <w:r w:rsidR="00435710">
        <w:rPr>
          <w:sz w:val="28"/>
          <w:szCs w:val="28"/>
        </w:rPr>
        <w:t xml:space="preserve">Any feedback from the committee regarding individual cases could have the effect of influencing future prosecutions </w:t>
      </w:r>
      <w:r w:rsidR="009065FB">
        <w:rPr>
          <w:sz w:val="28"/>
          <w:szCs w:val="28"/>
        </w:rPr>
        <w:t>and the independent decision</w:t>
      </w:r>
      <w:r w:rsidR="00ED7A3C">
        <w:rPr>
          <w:sz w:val="28"/>
          <w:szCs w:val="28"/>
        </w:rPr>
        <w:t>-</w:t>
      </w:r>
      <w:r w:rsidR="009065FB">
        <w:rPr>
          <w:sz w:val="28"/>
          <w:szCs w:val="28"/>
        </w:rPr>
        <w:t xml:space="preserve">making of bar counsel. </w:t>
      </w:r>
      <w:r w:rsidR="00D6112B">
        <w:rPr>
          <w:sz w:val="28"/>
          <w:szCs w:val="28"/>
        </w:rPr>
        <w:t xml:space="preserve"> The fact that committee members will evaluate the “effectiveness” and the “quality” of bar counsel’s performance could easily undermine the professional indepe</w:t>
      </w:r>
      <w:r w:rsidR="006B1928">
        <w:rPr>
          <w:sz w:val="28"/>
          <w:szCs w:val="28"/>
        </w:rPr>
        <w:t xml:space="preserve">ndence of bar counsel decisions and </w:t>
      </w:r>
      <w:r w:rsidR="00452BEA">
        <w:rPr>
          <w:sz w:val="28"/>
          <w:szCs w:val="28"/>
        </w:rPr>
        <w:t>create the perception that conflicts exist</w:t>
      </w:r>
      <w:r w:rsidR="00F92D09">
        <w:rPr>
          <w:sz w:val="28"/>
          <w:szCs w:val="28"/>
        </w:rPr>
        <w:t xml:space="preserve">.   </w:t>
      </w:r>
      <w:r w:rsidR="00B16C64">
        <w:rPr>
          <w:sz w:val="28"/>
          <w:szCs w:val="28"/>
        </w:rPr>
        <w:t>T</w:t>
      </w:r>
      <w:r w:rsidR="00F92D09">
        <w:rPr>
          <w:sz w:val="28"/>
          <w:szCs w:val="28"/>
        </w:rPr>
        <w:t>he broad authority to evaluate</w:t>
      </w:r>
      <w:r w:rsidR="006B1928">
        <w:rPr>
          <w:sz w:val="28"/>
          <w:szCs w:val="28"/>
        </w:rPr>
        <w:t xml:space="preserve"> the quality of</w:t>
      </w:r>
      <w:r w:rsidR="00F92D09">
        <w:rPr>
          <w:sz w:val="28"/>
          <w:szCs w:val="28"/>
        </w:rPr>
        <w:t xml:space="preserve"> bar counsel performance will result in the loss of </w:t>
      </w:r>
      <w:r w:rsidR="00B16C64">
        <w:rPr>
          <w:sz w:val="28"/>
          <w:szCs w:val="28"/>
        </w:rPr>
        <w:lastRenderedPageBreak/>
        <w:t xml:space="preserve">prosecutorial independence.  </w:t>
      </w:r>
      <w:r w:rsidR="00611473">
        <w:rPr>
          <w:sz w:val="28"/>
          <w:szCs w:val="28"/>
        </w:rPr>
        <w:t xml:space="preserve">If the committee member does not agree with the position of bar counsel in </w:t>
      </w:r>
      <w:r w:rsidR="006B1928">
        <w:rPr>
          <w:sz w:val="28"/>
          <w:szCs w:val="28"/>
        </w:rPr>
        <w:t>a</w:t>
      </w:r>
      <w:r w:rsidR="00611473">
        <w:rPr>
          <w:sz w:val="28"/>
          <w:szCs w:val="28"/>
        </w:rPr>
        <w:t xml:space="preserve"> case and bar counsel performance is viewed negatively due to that disagreement, the loss of independence </w:t>
      </w:r>
      <w:r w:rsidR="006B1928">
        <w:rPr>
          <w:sz w:val="28"/>
          <w:szCs w:val="28"/>
        </w:rPr>
        <w:t>could result in an ongoing case or in future cases</w:t>
      </w:r>
      <w:r w:rsidR="00611473">
        <w:rPr>
          <w:sz w:val="28"/>
          <w:szCs w:val="28"/>
        </w:rPr>
        <w:t xml:space="preserve">.  </w:t>
      </w:r>
      <w:r w:rsidR="006B1928">
        <w:rPr>
          <w:sz w:val="28"/>
          <w:szCs w:val="28"/>
        </w:rPr>
        <w:t>Bar counsel could be influenced to take a specific action in the future or refrain from taking action</w:t>
      </w:r>
      <w:r w:rsidR="007249DA">
        <w:rPr>
          <w:sz w:val="28"/>
          <w:szCs w:val="28"/>
        </w:rPr>
        <w:t xml:space="preserve"> for reasons having nothing to do with the relative merits of the matter</w:t>
      </w:r>
      <w:r w:rsidR="006B1928">
        <w:rPr>
          <w:sz w:val="28"/>
          <w:szCs w:val="28"/>
        </w:rPr>
        <w:t xml:space="preserve">.  </w:t>
      </w:r>
      <w:r w:rsidR="00611473">
        <w:rPr>
          <w:sz w:val="28"/>
          <w:szCs w:val="28"/>
        </w:rPr>
        <w:t xml:space="preserve">A </w:t>
      </w:r>
      <w:r w:rsidR="00B16C64">
        <w:rPr>
          <w:sz w:val="28"/>
          <w:szCs w:val="28"/>
        </w:rPr>
        <w:t>committee with th</w:t>
      </w:r>
      <w:r w:rsidR="00611473">
        <w:rPr>
          <w:sz w:val="28"/>
          <w:szCs w:val="28"/>
        </w:rPr>
        <w:t>is</w:t>
      </w:r>
      <w:r w:rsidR="00B16C64">
        <w:rPr>
          <w:sz w:val="28"/>
          <w:szCs w:val="28"/>
        </w:rPr>
        <w:t xml:space="preserve"> authority could impair the independent</w:t>
      </w:r>
      <w:r w:rsidR="007500D4">
        <w:rPr>
          <w:sz w:val="28"/>
          <w:szCs w:val="28"/>
        </w:rPr>
        <w:t xml:space="preserve"> decision</w:t>
      </w:r>
      <w:r w:rsidR="00ED7A3C">
        <w:rPr>
          <w:sz w:val="28"/>
          <w:szCs w:val="28"/>
        </w:rPr>
        <w:t>-</w:t>
      </w:r>
      <w:r w:rsidR="007500D4">
        <w:rPr>
          <w:sz w:val="28"/>
          <w:szCs w:val="28"/>
        </w:rPr>
        <w:t xml:space="preserve">making of bar counsel and undermine the </w:t>
      </w:r>
      <w:r w:rsidR="00B16C64">
        <w:rPr>
          <w:sz w:val="28"/>
          <w:szCs w:val="28"/>
        </w:rPr>
        <w:t xml:space="preserve">effective and fair enforcement of the Rules.  </w:t>
      </w:r>
      <w:r w:rsidR="006B1928">
        <w:rPr>
          <w:sz w:val="28"/>
          <w:szCs w:val="28"/>
        </w:rPr>
        <w:t xml:space="preserve">A committee with such broad authority will assuredly lead to allegations that the Bar has conflicts in prosecuting various cases because the prosecutorial function is being directed or influenced by the Board committee.  </w:t>
      </w:r>
    </w:p>
    <w:p w:rsidR="005A736D" w:rsidRDefault="005A736D" w:rsidP="006B1928">
      <w:pPr>
        <w:pStyle w:val="Body"/>
        <w:widowControl w:val="0"/>
        <w:spacing w:line="480" w:lineRule="auto"/>
        <w:ind w:firstLine="720"/>
        <w:jc w:val="both"/>
        <w:rPr>
          <w:sz w:val="28"/>
          <w:szCs w:val="28"/>
        </w:rPr>
      </w:pPr>
      <w:r>
        <w:rPr>
          <w:sz w:val="28"/>
          <w:szCs w:val="28"/>
        </w:rPr>
        <w:t xml:space="preserve">In addition, the State Bar’s mission is to serve and protect the public with respect to the provision of legal services.  </w:t>
      </w:r>
      <w:r w:rsidR="006E6F59">
        <w:rPr>
          <w:sz w:val="28"/>
          <w:szCs w:val="28"/>
        </w:rPr>
        <w:t xml:space="preserve">The regulation and discipline of those practicing law is one means by which the State Bar serves </w:t>
      </w:r>
      <w:r w:rsidR="009A5382">
        <w:rPr>
          <w:sz w:val="28"/>
          <w:szCs w:val="28"/>
        </w:rPr>
        <w:t>its</w:t>
      </w:r>
      <w:r w:rsidR="006E6F59">
        <w:rPr>
          <w:sz w:val="28"/>
          <w:szCs w:val="28"/>
        </w:rPr>
        <w:t xml:space="preserve"> mission to protect the public.  If there is even the appearance of impropriety in the way regulation is conducted the threat that the public will lose confidence in regulation and the State Bar’s ability to regulate is real.  </w:t>
      </w:r>
      <w:r>
        <w:rPr>
          <w:sz w:val="28"/>
          <w:szCs w:val="28"/>
        </w:rPr>
        <w:t>Regulation must operate independently from the Board in order to ensure that the public has full confidence in the fairness and integrity of the regulatory process</w:t>
      </w:r>
      <w:r w:rsidR="009A5382">
        <w:rPr>
          <w:sz w:val="28"/>
          <w:szCs w:val="28"/>
        </w:rPr>
        <w:t>. A</w:t>
      </w:r>
      <w:r w:rsidR="006E6F59">
        <w:rPr>
          <w:sz w:val="28"/>
          <w:szCs w:val="28"/>
        </w:rPr>
        <w:t>llow</w:t>
      </w:r>
      <w:r w:rsidR="009A5382">
        <w:rPr>
          <w:sz w:val="28"/>
          <w:szCs w:val="28"/>
        </w:rPr>
        <w:t>ing</w:t>
      </w:r>
      <w:r w:rsidR="006E6F59">
        <w:rPr>
          <w:sz w:val="28"/>
          <w:szCs w:val="28"/>
        </w:rPr>
        <w:t xml:space="preserve"> Board influence on the regulatory process could </w:t>
      </w:r>
      <w:r w:rsidR="009A5382">
        <w:rPr>
          <w:sz w:val="28"/>
          <w:szCs w:val="28"/>
        </w:rPr>
        <w:t xml:space="preserve">significantly </w:t>
      </w:r>
      <w:r w:rsidR="006E6F59">
        <w:rPr>
          <w:sz w:val="28"/>
          <w:szCs w:val="28"/>
        </w:rPr>
        <w:t>undermine public confidence</w:t>
      </w:r>
      <w:r w:rsidR="00616D7D">
        <w:rPr>
          <w:sz w:val="28"/>
          <w:szCs w:val="28"/>
        </w:rPr>
        <w:t xml:space="preserve">.  </w:t>
      </w:r>
      <w:r>
        <w:rPr>
          <w:sz w:val="28"/>
          <w:szCs w:val="28"/>
        </w:rPr>
        <w:t xml:space="preserve"> </w:t>
      </w:r>
    </w:p>
    <w:p w:rsidR="007008D7" w:rsidRDefault="007008D7" w:rsidP="007008D7">
      <w:pPr>
        <w:pStyle w:val="Body"/>
        <w:widowControl w:val="0"/>
        <w:spacing w:line="480" w:lineRule="auto"/>
        <w:ind w:firstLine="720"/>
        <w:jc w:val="both"/>
        <w:rPr>
          <w:b/>
          <w:sz w:val="28"/>
          <w:szCs w:val="28"/>
          <w:u w:val="single"/>
        </w:rPr>
      </w:pPr>
      <w:r w:rsidRPr="006A245C">
        <w:rPr>
          <w:b/>
          <w:sz w:val="28"/>
          <w:szCs w:val="28"/>
          <w:u w:val="single"/>
        </w:rPr>
        <w:lastRenderedPageBreak/>
        <w:t>North Carolina Dental Board</w:t>
      </w:r>
      <w:r w:rsidR="006F3297">
        <w:rPr>
          <w:rStyle w:val="FootnoteReference"/>
          <w:b/>
          <w:sz w:val="28"/>
          <w:szCs w:val="28"/>
          <w:u w:val="single"/>
        </w:rPr>
        <w:footnoteReference w:id="1"/>
      </w:r>
    </w:p>
    <w:p w:rsidR="00AE75D5" w:rsidRDefault="00BC554A" w:rsidP="00B35D64">
      <w:pPr>
        <w:spacing w:line="480" w:lineRule="auto"/>
        <w:ind w:firstLine="720"/>
        <w:jc w:val="both"/>
        <w:rPr>
          <w:color w:val="333333"/>
          <w:sz w:val="28"/>
          <w:szCs w:val="28"/>
        </w:rPr>
      </w:pPr>
      <w:r>
        <w:rPr>
          <w:color w:val="333333"/>
          <w:sz w:val="28"/>
          <w:szCs w:val="28"/>
        </w:rPr>
        <w:t>In a U</w:t>
      </w:r>
      <w:r w:rsidR="00032C98">
        <w:rPr>
          <w:color w:val="333333"/>
          <w:sz w:val="28"/>
          <w:szCs w:val="28"/>
        </w:rPr>
        <w:t xml:space="preserve">nites </w:t>
      </w:r>
      <w:r>
        <w:rPr>
          <w:color w:val="333333"/>
          <w:sz w:val="28"/>
          <w:szCs w:val="28"/>
        </w:rPr>
        <w:t>S</w:t>
      </w:r>
      <w:r w:rsidR="00032C98">
        <w:rPr>
          <w:color w:val="333333"/>
          <w:sz w:val="28"/>
          <w:szCs w:val="28"/>
        </w:rPr>
        <w:t>tates</w:t>
      </w:r>
      <w:r>
        <w:rPr>
          <w:color w:val="333333"/>
          <w:sz w:val="28"/>
          <w:szCs w:val="28"/>
        </w:rPr>
        <w:t xml:space="preserve"> Supreme Court </w:t>
      </w:r>
      <w:r w:rsidR="00ED7A3C">
        <w:rPr>
          <w:color w:val="333333"/>
          <w:sz w:val="28"/>
          <w:szCs w:val="28"/>
        </w:rPr>
        <w:t xml:space="preserve">opinion </w:t>
      </w:r>
      <w:r>
        <w:rPr>
          <w:color w:val="333333"/>
          <w:sz w:val="28"/>
          <w:szCs w:val="28"/>
        </w:rPr>
        <w:t xml:space="preserve">issued in 2015, the North Carolina Dental Board was denied state-action immunity in a Federal Trade Commission antitrust action challenging the board’s attempts to prevent non-dentists from providing teeth-whitening services.   </w:t>
      </w:r>
      <w:r w:rsidR="007008D7" w:rsidRPr="005677BD">
        <w:rPr>
          <w:color w:val="333333"/>
          <w:sz w:val="28"/>
          <w:szCs w:val="28"/>
        </w:rPr>
        <w:t>When a controlling number of the decision</w:t>
      </w:r>
      <w:r w:rsidR="00ED7A3C">
        <w:rPr>
          <w:color w:val="333333"/>
          <w:sz w:val="28"/>
          <w:szCs w:val="28"/>
        </w:rPr>
        <w:t>-</w:t>
      </w:r>
      <w:r w:rsidR="007008D7" w:rsidRPr="005677BD">
        <w:rPr>
          <w:color w:val="333333"/>
          <w:sz w:val="28"/>
          <w:szCs w:val="28"/>
        </w:rPr>
        <w:t xml:space="preserve">makers on a state licensing board are active participants in the occupation the board regulates, the board can invoke state-action immunity only if it is </w:t>
      </w:r>
      <w:r w:rsidR="007008D7">
        <w:rPr>
          <w:color w:val="333333"/>
          <w:sz w:val="28"/>
          <w:szCs w:val="28"/>
        </w:rPr>
        <w:t xml:space="preserve">carrying out state articulated policies and is </w:t>
      </w:r>
      <w:r w:rsidR="007008D7" w:rsidRPr="005677BD">
        <w:rPr>
          <w:color w:val="333333"/>
          <w:sz w:val="28"/>
          <w:szCs w:val="28"/>
        </w:rPr>
        <w:t>subject to active supervision by the state.</w:t>
      </w:r>
      <w:r w:rsidRPr="00BC554A">
        <w:rPr>
          <w:color w:val="333333"/>
          <w:sz w:val="28"/>
          <w:szCs w:val="28"/>
        </w:rPr>
        <w:t xml:space="preserve"> </w:t>
      </w:r>
      <w:r w:rsidR="00C1212E">
        <w:rPr>
          <w:color w:val="333333"/>
          <w:sz w:val="28"/>
          <w:szCs w:val="28"/>
        </w:rPr>
        <w:t xml:space="preserve">Lawyer regulatory boards are subject to antitrust </w:t>
      </w:r>
      <w:r w:rsidR="008C5C8A">
        <w:rPr>
          <w:color w:val="333333"/>
          <w:sz w:val="28"/>
          <w:szCs w:val="28"/>
        </w:rPr>
        <w:t>scrutiny</w:t>
      </w:r>
      <w:r w:rsidR="00C1212E">
        <w:rPr>
          <w:color w:val="333333"/>
          <w:sz w:val="28"/>
          <w:szCs w:val="28"/>
        </w:rPr>
        <w:t xml:space="preserve">.  Of concern in regulating the legal profession is the governance of lawyer discipline and the unauthorized practice of law.  </w:t>
      </w:r>
    </w:p>
    <w:p w:rsidR="003270DA" w:rsidRPr="005677BD" w:rsidRDefault="002F69A5" w:rsidP="00B35D64">
      <w:pPr>
        <w:spacing w:line="480" w:lineRule="auto"/>
        <w:ind w:firstLine="720"/>
        <w:jc w:val="both"/>
        <w:rPr>
          <w:sz w:val="28"/>
          <w:szCs w:val="28"/>
        </w:rPr>
      </w:pPr>
      <w:r>
        <w:rPr>
          <w:color w:val="333333"/>
          <w:sz w:val="28"/>
          <w:szCs w:val="28"/>
        </w:rPr>
        <w:t xml:space="preserve">In many states the </w:t>
      </w:r>
      <w:r w:rsidR="00AE75D5">
        <w:rPr>
          <w:color w:val="333333"/>
          <w:sz w:val="28"/>
          <w:szCs w:val="28"/>
        </w:rPr>
        <w:t>highest c</w:t>
      </w:r>
      <w:r>
        <w:rPr>
          <w:color w:val="333333"/>
          <w:sz w:val="28"/>
          <w:szCs w:val="28"/>
        </w:rPr>
        <w:t xml:space="preserve">ourt has given the responsibility of governing these regulatory activities to state bar associations.  </w:t>
      </w:r>
      <w:r w:rsidR="009E4F8F">
        <w:rPr>
          <w:color w:val="333333"/>
          <w:sz w:val="28"/>
          <w:szCs w:val="28"/>
        </w:rPr>
        <w:t>In the administration of the regulatory function, t</w:t>
      </w:r>
      <w:r w:rsidR="00BC554A">
        <w:rPr>
          <w:color w:val="333333"/>
          <w:sz w:val="28"/>
          <w:szCs w:val="28"/>
        </w:rPr>
        <w:t xml:space="preserve">he </w:t>
      </w:r>
      <w:r>
        <w:rPr>
          <w:color w:val="333333"/>
          <w:sz w:val="28"/>
          <w:szCs w:val="28"/>
        </w:rPr>
        <w:t xml:space="preserve">Arizona Supreme </w:t>
      </w:r>
      <w:r w:rsidR="00BC554A">
        <w:rPr>
          <w:color w:val="333333"/>
          <w:sz w:val="28"/>
          <w:szCs w:val="28"/>
        </w:rPr>
        <w:t xml:space="preserve">Court has </w:t>
      </w:r>
      <w:r>
        <w:rPr>
          <w:color w:val="333333"/>
          <w:sz w:val="28"/>
          <w:szCs w:val="28"/>
        </w:rPr>
        <w:t xml:space="preserve">delegated regulatory activities to </w:t>
      </w:r>
      <w:r w:rsidR="00BC554A">
        <w:rPr>
          <w:color w:val="333333"/>
          <w:sz w:val="28"/>
          <w:szCs w:val="28"/>
        </w:rPr>
        <w:t>the State Bar</w:t>
      </w:r>
      <w:r>
        <w:rPr>
          <w:color w:val="333333"/>
          <w:sz w:val="28"/>
          <w:szCs w:val="28"/>
        </w:rPr>
        <w:t xml:space="preserve"> of Arizona.  </w:t>
      </w:r>
      <w:r w:rsidR="002A4FB1">
        <w:rPr>
          <w:color w:val="333333"/>
          <w:sz w:val="28"/>
          <w:szCs w:val="28"/>
        </w:rPr>
        <w:t xml:space="preserve">The State Bar assists the Court </w:t>
      </w:r>
      <w:r>
        <w:rPr>
          <w:color w:val="333333"/>
          <w:sz w:val="28"/>
          <w:szCs w:val="28"/>
        </w:rPr>
        <w:t>with the regulation and discipline of persons engaged in the practice of law</w:t>
      </w:r>
      <w:r w:rsidR="002A4FB1">
        <w:rPr>
          <w:color w:val="333333"/>
          <w:sz w:val="28"/>
          <w:szCs w:val="28"/>
        </w:rPr>
        <w:t xml:space="preserve">. </w:t>
      </w:r>
      <w:r w:rsidR="00BC554A">
        <w:rPr>
          <w:color w:val="333333"/>
          <w:sz w:val="28"/>
          <w:szCs w:val="28"/>
        </w:rPr>
        <w:t xml:space="preserve"> </w:t>
      </w:r>
      <w:r w:rsidR="00BC554A" w:rsidRPr="00B545C5">
        <w:rPr>
          <w:i/>
          <w:color w:val="333333"/>
          <w:sz w:val="28"/>
          <w:szCs w:val="28"/>
        </w:rPr>
        <w:t>See</w:t>
      </w:r>
      <w:r w:rsidR="00BC554A">
        <w:rPr>
          <w:color w:val="333333"/>
          <w:sz w:val="28"/>
          <w:szCs w:val="28"/>
        </w:rPr>
        <w:t xml:space="preserve">, Rule 32(a)(2)(D).  </w:t>
      </w:r>
      <w:r w:rsidR="00511867">
        <w:rPr>
          <w:color w:val="333333"/>
          <w:sz w:val="28"/>
          <w:szCs w:val="28"/>
        </w:rPr>
        <w:t xml:space="preserve">The State Bar’s governing body is the Board </w:t>
      </w:r>
      <w:r w:rsidR="00E049D5">
        <w:rPr>
          <w:color w:val="333333"/>
          <w:sz w:val="28"/>
          <w:szCs w:val="28"/>
        </w:rPr>
        <w:t xml:space="preserve">which </w:t>
      </w:r>
      <w:r w:rsidR="00511867">
        <w:rPr>
          <w:color w:val="333333"/>
          <w:sz w:val="28"/>
          <w:szCs w:val="28"/>
        </w:rPr>
        <w:t xml:space="preserve">is </w:t>
      </w:r>
      <w:r w:rsidR="00BC554A">
        <w:rPr>
          <w:color w:val="333333"/>
          <w:sz w:val="28"/>
          <w:szCs w:val="28"/>
        </w:rPr>
        <w:t xml:space="preserve">made up primarily of </w:t>
      </w:r>
      <w:r w:rsidR="00244307">
        <w:rPr>
          <w:color w:val="333333"/>
          <w:sz w:val="28"/>
          <w:szCs w:val="28"/>
        </w:rPr>
        <w:t xml:space="preserve">active market </w:t>
      </w:r>
      <w:r w:rsidR="00244307">
        <w:rPr>
          <w:color w:val="333333"/>
          <w:sz w:val="28"/>
          <w:szCs w:val="28"/>
        </w:rPr>
        <w:lastRenderedPageBreak/>
        <w:t xml:space="preserve">participants, i.e., </w:t>
      </w:r>
      <w:r w:rsidR="00BC554A">
        <w:rPr>
          <w:color w:val="333333"/>
          <w:sz w:val="28"/>
          <w:szCs w:val="28"/>
        </w:rPr>
        <w:t xml:space="preserve">practicing lawyers. </w:t>
      </w:r>
      <w:r w:rsidR="0035330A">
        <w:rPr>
          <w:color w:val="333333"/>
          <w:sz w:val="28"/>
          <w:szCs w:val="28"/>
        </w:rPr>
        <w:t xml:space="preserve">The proposed broad authority of </w:t>
      </w:r>
      <w:r w:rsidR="00444DFC">
        <w:rPr>
          <w:color w:val="333333"/>
          <w:sz w:val="28"/>
          <w:szCs w:val="28"/>
        </w:rPr>
        <w:t>the</w:t>
      </w:r>
      <w:r w:rsidR="0035330A">
        <w:rPr>
          <w:color w:val="333333"/>
          <w:sz w:val="28"/>
          <w:szCs w:val="28"/>
        </w:rPr>
        <w:t xml:space="preserve"> Board </w:t>
      </w:r>
      <w:r w:rsidR="00444DFC">
        <w:rPr>
          <w:color w:val="333333"/>
          <w:sz w:val="28"/>
          <w:szCs w:val="28"/>
        </w:rPr>
        <w:t xml:space="preserve">oversight </w:t>
      </w:r>
      <w:r w:rsidR="0035330A">
        <w:rPr>
          <w:color w:val="333333"/>
          <w:sz w:val="28"/>
          <w:szCs w:val="28"/>
        </w:rPr>
        <w:t xml:space="preserve">committee that would allow for the involvement and influence of the </w:t>
      </w:r>
      <w:r w:rsidR="00C1212E">
        <w:rPr>
          <w:color w:val="333333"/>
          <w:sz w:val="28"/>
          <w:szCs w:val="28"/>
        </w:rPr>
        <w:t xml:space="preserve">regulation of the practice of law </w:t>
      </w:r>
      <w:r w:rsidR="0035330A">
        <w:rPr>
          <w:color w:val="333333"/>
          <w:sz w:val="28"/>
          <w:szCs w:val="28"/>
        </w:rPr>
        <w:t xml:space="preserve">could be problematic </w:t>
      </w:r>
      <w:r w:rsidR="009E4F8F">
        <w:rPr>
          <w:color w:val="333333"/>
          <w:sz w:val="28"/>
          <w:szCs w:val="28"/>
        </w:rPr>
        <w:t xml:space="preserve">under </w:t>
      </w:r>
      <w:r w:rsidR="0035330A">
        <w:rPr>
          <w:color w:val="333333"/>
          <w:sz w:val="28"/>
          <w:szCs w:val="28"/>
        </w:rPr>
        <w:t xml:space="preserve">the Dental Board case.  </w:t>
      </w:r>
      <w:r w:rsidR="003270DA">
        <w:rPr>
          <w:color w:val="333333"/>
          <w:sz w:val="28"/>
          <w:szCs w:val="28"/>
        </w:rPr>
        <w:t>Given the delegation of state authority to an elected Board that has a vested interest in the market, there is a concern that the Board’s action may be viewed as making regulatory recommendations or directives that are in the interest of lawyers and not in the public interest.</w:t>
      </w:r>
      <w:r w:rsidR="00201C56">
        <w:rPr>
          <w:rStyle w:val="FootnoteReference"/>
          <w:color w:val="333333"/>
          <w:sz w:val="28"/>
          <w:szCs w:val="28"/>
        </w:rPr>
        <w:footnoteReference w:id="2"/>
      </w:r>
      <w:r w:rsidR="003270DA">
        <w:rPr>
          <w:color w:val="333333"/>
          <w:sz w:val="28"/>
          <w:szCs w:val="28"/>
        </w:rPr>
        <w:t xml:space="preserve"> </w:t>
      </w:r>
    </w:p>
    <w:p w:rsidR="007008D7" w:rsidRPr="005677BD" w:rsidRDefault="003270DA" w:rsidP="00B35D64">
      <w:pPr>
        <w:spacing w:line="480" w:lineRule="auto"/>
        <w:ind w:firstLine="720"/>
        <w:jc w:val="both"/>
        <w:rPr>
          <w:sz w:val="28"/>
          <w:szCs w:val="28"/>
        </w:rPr>
      </w:pPr>
      <w:r>
        <w:rPr>
          <w:color w:val="333333"/>
          <w:sz w:val="28"/>
          <w:szCs w:val="28"/>
        </w:rPr>
        <w:t xml:space="preserve">An analysis of whether state action immunity would be afforded to the Board’s actions requires a specific set of </w:t>
      </w:r>
      <w:r w:rsidR="00BA40B9">
        <w:rPr>
          <w:color w:val="333333"/>
          <w:sz w:val="28"/>
          <w:szCs w:val="28"/>
        </w:rPr>
        <w:t xml:space="preserve">facts in </w:t>
      </w:r>
      <w:r>
        <w:rPr>
          <w:color w:val="333333"/>
          <w:sz w:val="28"/>
          <w:szCs w:val="28"/>
        </w:rPr>
        <w:t>context.</w:t>
      </w:r>
      <w:r w:rsidR="00027DEF">
        <w:rPr>
          <w:rStyle w:val="FootnoteReference"/>
          <w:color w:val="333333"/>
          <w:sz w:val="28"/>
          <w:szCs w:val="28"/>
        </w:rPr>
        <w:footnoteReference w:id="3"/>
      </w:r>
      <w:r>
        <w:rPr>
          <w:color w:val="333333"/>
          <w:sz w:val="28"/>
          <w:szCs w:val="28"/>
        </w:rPr>
        <w:t xml:space="preserve">  </w:t>
      </w:r>
      <w:r w:rsidR="00AD0244">
        <w:rPr>
          <w:color w:val="333333"/>
          <w:sz w:val="28"/>
          <w:szCs w:val="28"/>
        </w:rPr>
        <w:t xml:space="preserve">Since there is not a specific factual scenario at play one is left to speculate on the potential for the proposed grant of authority to </w:t>
      </w:r>
      <w:r>
        <w:rPr>
          <w:color w:val="333333"/>
          <w:sz w:val="28"/>
          <w:szCs w:val="28"/>
        </w:rPr>
        <w:t xml:space="preserve">give rise to situations that could implicate the Dental Board case.  </w:t>
      </w:r>
    </w:p>
    <w:p w:rsidR="005677BD" w:rsidRPr="00014002" w:rsidRDefault="005677BD" w:rsidP="005677BD">
      <w:pPr>
        <w:pStyle w:val="Body"/>
        <w:widowControl w:val="0"/>
        <w:spacing w:line="480" w:lineRule="auto"/>
        <w:ind w:firstLine="720"/>
        <w:jc w:val="both"/>
        <w:rPr>
          <w:b/>
          <w:sz w:val="28"/>
          <w:szCs w:val="28"/>
          <w:u w:val="single"/>
        </w:rPr>
      </w:pPr>
      <w:r w:rsidRPr="00014002">
        <w:rPr>
          <w:b/>
          <w:sz w:val="28"/>
          <w:szCs w:val="28"/>
          <w:u w:val="single"/>
        </w:rPr>
        <w:lastRenderedPageBreak/>
        <w:t xml:space="preserve">The </w:t>
      </w:r>
      <w:r>
        <w:rPr>
          <w:b/>
          <w:sz w:val="28"/>
          <w:szCs w:val="28"/>
          <w:u w:val="single"/>
        </w:rPr>
        <w:t xml:space="preserve">Board’s </w:t>
      </w:r>
      <w:r w:rsidR="00BC554A">
        <w:rPr>
          <w:b/>
          <w:sz w:val="28"/>
          <w:szCs w:val="28"/>
          <w:u w:val="single"/>
        </w:rPr>
        <w:t xml:space="preserve">Current </w:t>
      </w:r>
      <w:r>
        <w:rPr>
          <w:b/>
          <w:sz w:val="28"/>
          <w:szCs w:val="28"/>
          <w:u w:val="single"/>
        </w:rPr>
        <w:t>Role in Oversight of Lawyer Regulation</w:t>
      </w:r>
    </w:p>
    <w:p w:rsidR="00823AA9" w:rsidRPr="00823AA9" w:rsidRDefault="00823AA9" w:rsidP="00823AA9">
      <w:pPr>
        <w:pStyle w:val="Body"/>
        <w:widowControl w:val="0"/>
        <w:spacing w:line="480" w:lineRule="auto"/>
        <w:ind w:firstLine="720"/>
        <w:jc w:val="both"/>
        <w:rPr>
          <w:sz w:val="28"/>
          <w:szCs w:val="28"/>
        </w:rPr>
      </w:pPr>
      <w:r>
        <w:rPr>
          <w:sz w:val="28"/>
          <w:szCs w:val="28"/>
        </w:rPr>
        <w:t xml:space="preserve">In addition to the myriad of issues </w:t>
      </w:r>
      <w:r w:rsidR="009D541A">
        <w:rPr>
          <w:sz w:val="28"/>
          <w:szCs w:val="28"/>
        </w:rPr>
        <w:t xml:space="preserve">implicated by </w:t>
      </w:r>
      <w:r>
        <w:rPr>
          <w:sz w:val="28"/>
          <w:szCs w:val="28"/>
        </w:rPr>
        <w:t xml:space="preserve">such broad and unfettered involvement by an elected Board </w:t>
      </w:r>
      <w:r w:rsidR="009D541A">
        <w:rPr>
          <w:sz w:val="28"/>
          <w:szCs w:val="28"/>
        </w:rPr>
        <w:t xml:space="preserve">comprised of market participants </w:t>
      </w:r>
      <w:r>
        <w:rPr>
          <w:sz w:val="28"/>
          <w:szCs w:val="28"/>
        </w:rPr>
        <w:t>into the regulatory process</w:t>
      </w:r>
      <w:r w:rsidR="005677BD">
        <w:rPr>
          <w:sz w:val="28"/>
          <w:szCs w:val="28"/>
        </w:rPr>
        <w:t>,</w:t>
      </w:r>
      <w:r>
        <w:rPr>
          <w:sz w:val="28"/>
          <w:szCs w:val="28"/>
        </w:rPr>
        <w:t xml:space="preserve"> the Bo</w:t>
      </w:r>
      <w:r w:rsidR="005677BD">
        <w:rPr>
          <w:sz w:val="28"/>
          <w:szCs w:val="28"/>
        </w:rPr>
        <w:t>ard has already considered its</w:t>
      </w:r>
      <w:r>
        <w:rPr>
          <w:sz w:val="28"/>
          <w:szCs w:val="28"/>
        </w:rPr>
        <w:t xml:space="preserve"> fiduciary obligations and the appropriate level of oversight and adopted a </w:t>
      </w:r>
      <w:r w:rsidRPr="00823AA9">
        <w:rPr>
          <w:sz w:val="28"/>
          <w:szCs w:val="28"/>
        </w:rPr>
        <w:t xml:space="preserve">specific oversight plan for lawyer regulation that includes ongoing education of the board members on the regulatory process, </w:t>
      </w:r>
      <w:r w:rsidR="001D6AE1">
        <w:rPr>
          <w:sz w:val="28"/>
          <w:szCs w:val="28"/>
        </w:rPr>
        <w:t xml:space="preserve">regularly-provided </w:t>
      </w:r>
      <w:r w:rsidRPr="00823AA9">
        <w:rPr>
          <w:sz w:val="28"/>
          <w:szCs w:val="28"/>
        </w:rPr>
        <w:t xml:space="preserve">statistical information concerning regulation, budgeting and resource information as well as providing notice regarding issues that affect the regulatory process.  </w:t>
      </w:r>
    </w:p>
    <w:p w:rsidR="00F11F4E" w:rsidRDefault="00B40C64" w:rsidP="006766BF">
      <w:pPr>
        <w:pStyle w:val="Body"/>
        <w:widowControl w:val="0"/>
        <w:spacing w:line="480" w:lineRule="auto"/>
        <w:ind w:firstLine="720"/>
        <w:jc w:val="both"/>
        <w:rPr>
          <w:sz w:val="28"/>
          <w:szCs w:val="28"/>
        </w:rPr>
      </w:pPr>
      <w:r>
        <w:rPr>
          <w:sz w:val="28"/>
          <w:szCs w:val="28"/>
        </w:rPr>
        <w:t xml:space="preserve">In 1998 the State Bar Board created a Committee </w:t>
      </w:r>
      <w:r w:rsidR="00F11F4E">
        <w:rPr>
          <w:sz w:val="28"/>
          <w:szCs w:val="28"/>
        </w:rPr>
        <w:t>known as the “Discipline Oversight Committee</w:t>
      </w:r>
      <w:r>
        <w:rPr>
          <w:sz w:val="28"/>
          <w:szCs w:val="28"/>
        </w:rPr>
        <w:t>.</w:t>
      </w:r>
      <w:r w:rsidR="00F11F4E">
        <w:rPr>
          <w:sz w:val="28"/>
          <w:szCs w:val="28"/>
        </w:rPr>
        <w:t>”  The Committee was created in for the purpose of overseeing</w:t>
      </w:r>
      <w:r w:rsidR="00FD226B">
        <w:rPr>
          <w:sz w:val="28"/>
          <w:szCs w:val="28"/>
        </w:rPr>
        <w:t xml:space="preserve"> </w:t>
      </w:r>
      <w:r w:rsidR="00F11F4E">
        <w:rPr>
          <w:sz w:val="28"/>
          <w:szCs w:val="28"/>
        </w:rPr>
        <w:t xml:space="preserve">the processing of a backlog of cases.  </w:t>
      </w:r>
      <w:r w:rsidR="00DE4A00">
        <w:rPr>
          <w:sz w:val="28"/>
          <w:szCs w:val="28"/>
        </w:rPr>
        <w:t>The backlog occurred due to underfunding and a substantial need for additional resources.   The Committee met monthly to review case statistics to ensure that backlogged cases were being processed and discussed resource issues.  The Committee never had access to specific cases or case information.  After a number of years the backlog was resolved.  And, after many years</w:t>
      </w:r>
      <w:r w:rsidR="009D541A">
        <w:rPr>
          <w:sz w:val="28"/>
          <w:szCs w:val="28"/>
        </w:rPr>
        <w:t>,</w:t>
      </w:r>
      <w:r w:rsidR="00DE4A00">
        <w:rPr>
          <w:sz w:val="28"/>
          <w:szCs w:val="28"/>
        </w:rPr>
        <w:t xml:space="preserve"> greater efficiencies were re</w:t>
      </w:r>
      <w:r w:rsidR="009D541A">
        <w:rPr>
          <w:sz w:val="28"/>
          <w:szCs w:val="28"/>
        </w:rPr>
        <w:t>alized</w:t>
      </w:r>
      <w:r w:rsidR="00DE4A00">
        <w:rPr>
          <w:sz w:val="28"/>
          <w:szCs w:val="28"/>
        </w:rPr>
        <w:t xml:space="preserve"> through sufficient resourcing and modification to procedural rules related to the processing of disciplinary cases.  Throughout, the Committee continued to meet and review statistics for the processing of disciplinary cases.  </w:t>
      </w:r>
    </w:p>
    <w:p w:rsidR="00DE4A00" w:rsidRDefault="00DE4A00" w:rsidP="006766BF">
      <w:pPr>
        <w:pStyle w:val="Body"/>
        <w:widowControl w:val="0"/>
        <w:spacing w:line="480" w:lineRule="auto"/>
        <w:ind w:firstLine="720"/>
        <w:jc w:val="both"/>
        <w:rPr>
          <w:sz w:val="28"/>
          <w:szCs w:val="28"/>
        </w:rPr>
      </w:pPr>
      <w:r>
        <w:rPr>
          <w:sz w:val="28"/>
          <w:szCs w:val="28"/>
        </w:rPr>
        <w:lastRenderedPageBreak/>
        <w:t>In 2014, Chief Bar Counsel recommended dissolving the Di</w:t>
      </w:r>
      <w:r w:rsidR="00BD12E4">
        <w:rPr>
          <w:sz w:val="28"/>
          <w:szCs w:val="28"/>
        </w:rPr>
        <w:t xml:space="preserve">scipline Oversight Committee </w:t>
      </w:r>
      <w:r w:rsidR="009D541A">
        <w:rPr>
          <w:sz w:val="28"/>
          <w:szCs w:val="28"/>
        </w:rPr>
        <w:t>because</w:t>
      </w:r>
      <w:r>
        <w:rPr>
          <w:sz w:val="28"/>
          <w:szCs w:val="28"/>
        </w:rPr>
        <w:t xml:space="preserve"> the statistical information b</w:t>
      </w:r>
      <w:r w:rsidR="00BD12E4">
        <w:rPr>
          <w:sz w:val="28"/>
          <w:szCs w:val="28"/>
        </w:rPr>
        <w:t>eing reported to the Committee c</w:t>
      </w:r>
      <w:r>
        <w:rPr>
          <w:sz w:val="28"/>
          <w:szCs w:val="28"/>
        </w:rPr>
        <w:t xml:space="preserve">ould be reported to the entire Board of Governors.  </w:t>
      </w:r>
      <w:r w:rsidR="00A40DF7">
        <w:rPr>
          <w:sz w:val="28"/>
          <w:szCs w:val="28"/>
        </w:rPr>
        <w:t>In light of the recommendation, t</w:t>
      </w:r>
      <w:r>
        <w:rPr>
          <w:sz w:val="28"/>
          <w:szCs w:val="28"/>
        </w:rPr>
        <w:t>he State Bar President created a working group to consider the Board</w:t>
      </w:r>
      <w:r w:rsidR="00807E99">
        <w:rPr>
          <w:sz w:val="28"/>
          <w:szCs w:val="28"/>
        </w:rPr>
        <w:t>’</w:t>
      </w:r>
      <w:r>
        <w:rPr>
          <w:sz w:val="28"/>
          <w:szCs w:val="28"/>
        </w:rPr>
        <w:t xml:space="preserve">s role in the oversight of lawyer regulation.  </w:t>
      </w:r>
      <w:r w:rsidR="00807E99">
        <w:rPr>
          <w:sz w:val="28"/>
          <w:szCs w:val="28"/>
        </w:rPr>
        <w:t xml:space="preserve">The working group included </w:t>
      </w:r>
      <w:r w:rsidR="00BC3044">
        <w:rPr>
          <w:sz w:val="28"/>
          <w:szCs w:val="28"/>
        </w:rPr>
        <w:t xml:space="preserve">Justice Ann </w:t>
      </w:r>
      <w:r w:rsidR="003C7F82">
        <w:rPr>
          <w:sz w:val="28"/>
          <w:szCs w:val="28"/>
        </w:rPr>
        <w:t xml:space="preserve">Scott </w:t>
      </w:r>
      <w:r w:rsidR="00BC3044">
        <w:rPr>
          <w:sz w:val="28"/>
          <w:szCs w:val="28"/>
        </w:rPr>
        <w:t xml:space="preserve">Timmer, </w:t>
      </w:r>
      <w:r w:rsidR="00807E99">
        <w:rPr>
          <w:sz w:val="28"/>
          <w:szCs w:val="28"/>
        </w:rPr>
        <w:t>Geoffrey Trachtenberg, Paul Senseman</w:t>
      </w:r>
      <w:r w:rsidR="003E4851">
        <w:rPr>
          <w:sz w:val="28"/>
          <w:szCs w:val="28"/>
        </w:rPr>
        <w:t>,</w:t>
      </w:r>
      <w:r w:rsidR="00807E99">
        <w:rPr>
          <w:sz w:val="28"/>
          <w:szCs w:val="28"/>
        </w:rPr>
        <w:t xml:space="preserve"> Amy Rehm and Maret Vessella.  </w:t>
      </w:r>
    </w:p>
    <w:p w:rsidR="00FA50C8" w:rsidRDefault="00761CC9" w:rsidP="006766BF">
      <w:pPr>
        <w:pStyle w:val="Body"/>
        <w:widowControl w:val="0"/>
        <w:spacing w:line="480" w:lineRule="auto"/>
        <w:ind w:firstLine="720"/>
        <w:jc w:val="both"/>
        <w:rPr>
          <w:sz w:val="28"/>
          <w:szCs w:val="28"/>
        </w:rPr>
      </w:pPr>
      <w:r>
        <w:rPr>
          <w:sz w:val="28"/>
          <w:szCs w:val="28"/>
        </w:rPr>
        <w:t xml:space="preserve">The working group considered the historical changes in rules and policies that removed the State Bar Board of Governors entirely from the adjudicatory functions of lawyer regulation.  </w:t>
      </w:r>
      <w:r w:rsidR="00FC5733">
        <w:rPr>
          <w:sz w:val="28"/>
          <w:szCs w:val="28"/>
        </w:rPr>
        <w:t>The working group also considered the oversight practices of comparable jurisdictions where lawyer regulation is administered by an agency with oversight from an elected Board of Governors.  Of the responding jurisdictions</w:t>
      </w:r>
      <w:r w:rsidR="009D541A">
        <w:rPr>
          <w:sz w:val="28"/>
          <w:szCs w:val="28"/>
        </w:rPr>
        <w:t>,</w:t>
      </w:r>
      <w:r w:rsidR="00FC5733">
        <w:rPr>
          <w:sz w:val="28"/>
          <w:szCs w:val="28"/>
        </w:rPr>
        <w:t xml:space="preserve"> the majority of those jurisdiction</w:t>
      </w:r>
      <w:r w:rsidR="007F2627">
        <w:rPr>
          <w:sz w:val="28"/>
          <w:szCs w:val="28"/>
        </w:rPr>
        <w:t>s</w:t>
      </w:r>
      <w:r w:rsidR="00FC5733">
        <w:rPr>
          <w:sz w:val="28"/>
          <w:szCs w:val="28"/>
        </w:rPr>
        <w:t xml:space="preserve"> provide the</w:t>
      </w:r>
      <w:r w:rsidR="00FA50C8">
        <w:rPr>
          <w:sz w:val="28"/>
          <w:szCs w:val="28"/>
        </w:rPr>
        <w:t>ir respective</w:t>
      </w:r>
      <w:r w:rsidR="00FC5733">
        <w:rPr>
          <w:sz w:val="28"/>
          <w:szCs w:val="28"/>
        </w:rPr>
        <w:t xml:space="preserve"> Board</w:t>
      </w:r>
      <w:r w:rsidR="00FA50C8">
        <w:rPr>
          <w:sz w:val="28"/>
          <w:szCs w:val="28"/>
        </w:rPr>
        <w:t>s</w:t>
      </w:r>
      <w:r w:rsidR="00FC5733">
        <w:rPr>
          <w:sz w:val="28"/>
          <w:szCs w:val="28"/>
        </w:rPr>
        <w:t xml:space="preserve"> with statistical information concerning the processing of disciplinary cases.  </w:t>
      </w:r>
      <w:r w:rsidR="00FA50C8">
        <w:rPr>
          <w:sz w:val="28"/>
          <w:szCs w:val="28"/>
        </w:rPr>
        <w:t xml:space="preserve">Most were provided on an annual basis but some on a monthly or quarterly basis.  </w:t>
      </w:r>
    </w:p>
    <w:p w:rsidR="00761CC9" w:rsidRDefault="00FC5733" w:rsidP="006766BF">
      <w:pPr>
        <w:pStyle w:val="Body"/>
        <w:widowControl w:val="0"/>
        <w:spacing w:line="480" w:lineRule="auto"/>
        <w:ind w:firstLine="720"/>
        <w:jc w:val="both"/>
        <w:rPr>
          <w:sz w:val="28"/>
          <w:szCs w:val="28"/>
        </w:rPr>
      </w:pPr>
      <w:r>
        <w:rPr>
          <w:sz w:val="28"/>
          <w:szCs w:val="28"/>
        </w:rPr>
        <w:t xml:space="preserve">The working group also considered the practices of comparable </w:t>
      </w:r>
      <w:r w:rsidR="00FA50C8">
        <w:rPr>
          <w:sz w:val="28"/>
          <w:szCs w:val="28"/>
        </w:rPr>
        <w:t xml:space="preserve">agencies like a county attorney’s office.  </w:t>
      </w:r>
      <w:r>
        <w:rPr>
          <w:sz w:val="28"/>
          <w:szCs w:val="28"/>
        </w:rPr>
        <w:t xml:space="preserve"> </w:t>
      </w:r>
      <w:r w:rsidR="00FA50C8">
        <w:rPr>
          <w:sz w:val="28"/>
          <w:szCs w:val="28"/>
        </w:rPr>
        <w:t xml:space="preserve">The working group consulted with the Pima County Attorney’s Office.  The office reported that the Board of Supervisors approved the budget and set regulations for the hiring and firing processes.  The board had no other oversight and no other entity exercised any other type of oversight of the functions of the County Attorney’s Office.  </w:t>
      </w:r>
    </w:p>
    <w:p w:rsidR="007F3531" w:rsidRPr="00E3303F" w:rsidRDefault="00FA50C8" w:rsidP="00E3303F">
      <w:pPr>
        <w:pStyle w:val="Body"/>
        <w:widowControl w:val="0"/>
        <w:spacing w:line="480" w:lineRule="auto"/>
        <w:ind w:firstLine="720"/>
        <w:jc w:val="both"/>
        <w:rPr>
          <w:rStyle w:val="BodyTextChar"/>
          <w:sz w:val="28"/>
          <w:szCs w:val="28"/>
        </w:rPr>
      </w:pPr>
      <w:r>
        <w:rPr>
          <w:sz w:val="28"/>
          <w:szCs w:val="28"/>
        </w:rPr>
        <w:lastRenderedPageBreak/>
        <w:t xml:space="preserve">The working group created a report for the Board regarding </w:t>
      </w:r>
      <w:r w:rsidR="00B3530D">
        <w:rPr>
          <w:sz w:val="28"/>
          <w:szCs w:val="28"/>
        </w:rPr>
        <w:t>their</w:t>
      </w:r>
      <w:r>
        <w:rPr>
          <w:sz w:val="28"/>
          <w:szCs w:val="28"/>
        </w:rPr>
        <w:t xml:space="preserve"> review.  That report is attached hereto as “Exhibit A.”  In July 2015, the working group </w:t>
      </w:r>
      <w:r w:rsidR="00F573E9">
        <w:rPr>
          <w:sz w:val="28"/>
          <w:szCs w:val="28"/>
        </w:rPr>
        <w:t xml:space="preserve">presented the Board with their findings and </w:t>
      </w:r>
      <w:r>
        <w:rPr>
          <w:sz w:val="28"/>
          <w:szCs w:val="28"/>
        </w:rPr>
        <w:t>recommendations</w:t>
      </w:r>
      <w:r w:rsidR="006C6271">
        <w:rPr>
          <w:sz w:val="28"/>
          <w:szCs w:val="28"/>
        </w:rPr>
        <w:t xml:space="preserve"> concerning the issue of Board oversight of lawyer regulation</w:t>
      </w:r>
      <w:r w:rsidR="00F573E9">
        <w:rPr>
          <w:sz w:val="28"/>
          <w:szCs w:val="28"/>
        </w:rPr>
        <w:t xml:space="preserve">.  At the September 2015 Board meeting the </w:t>
      </w:r>
      <w:r>
        <w:rPr>
          <w:sz w:val="28"/>
          <w:szCs w:val="28"/>
        </w:rPr>
        <w:t xml:space="preserve">Board voted unanimously to adopt the working group’s recommendations </w:t>
      </w:r>
      <w:r w:rsidR="006C6271">
        <w:rPr>
          <w:sz w:val="28"/>
          <w:szCs w:val="28"/>
        </w:rPr>
        <w:t xml:space="preserve">which included </w:t>
      </w:r>
      <w:r w:rsidR="00B3530D">
        <w:rPr>
          <w:sz w:val="28"/>
          <w:szCs w:val="28"/>
        </w:rPr>
        <w:t xml:space="preserve">the </w:t>
      </w:r>
      <w:r w:rsidR="006C6271">
        <w:rPr>
          <w:sz w:val="28"/>
          <w:szCs w:val="28"/>
        </w:rPr>
        <w:t xml:space="preserve">education of new </w:t>
      </w:r>
      <w:r w:rsidR="00B3530D">
        <w:rPr>
          <w:sz w:val="28"/>
          <w:szCs w:val="28"/>
        </w:rPr>
        <w:t xml:space="preserve">members and ongoing education for </w:t>
      </w:r>
      <w:r w:rsidR="006C6271">
        <w:rPr>
          <w:sz w:val="28"/>
          <w:szCs w:val="28"/>
        </w:rPr>
        <w:t>sitting Board members on the lawyer regulation process</w:t>
      </w:r>
      <w:r w:rsidR="00DA490B">
        <w:rPr>
          <w:sz w:val="28"/>
          <w:szCs w:val="28"/>
        </w:rPr>
        <w:t xml:space="preserve">, regularly-provided statistical </w:t>
      </w:r>
      <w:r w:rsidR="006C6271">
        <w:rPr>
          <w:sz w:val="28"/>
          <w:szCs w:val="28"/>
        </w:rPr>
        <w:t xml:space="preserve">information, </w:t>
      </w:r>
      <w:r w:rsidR="00B3530D">
        <w:rPr>
          <w:sz w:val="28"/>
          <w:szCs w:val="28"/>
        </w:rPr>
        <w:t>i</w:t>
      </w:r>
      <w:r w:rsidR="006C6271">
        <w:rPr>
          <w:sz w:val="28"/>
          <w:szCs w:val="28"/>
        </w:rPr>
        <w:t>nformation concerning budgeting and resources</w:t>
      </w:r>
      <w:r w:rsidR="009D541A">
        <w:rPr>
          <w:sz w:val="28"/>
          <w:szCs w:val="28"/>
        </w:rPr>
        <w:t>,</w:t>
      </w:r>
      <w:r w:rsidR="006C6271">
        <w:rPr>
          <w:sz w:val="28"/>
          <w:szCs w:val="28"/>
        </w:rPr>
        <w:t xml:space="preserve"> as well as notification of rule petitions affecting the disciplinary process.  </w:t>
      </w:r>
      <w:r>
        <w:rPr>
          <w:sz w:val="28"/>
          <w:szCs w:val="28"/>
        </w:rPr>
        <w:t xml:space="preserve">  </w:t>
      </w:r>
      <w:r w:rsidR="00454C24">
        <w:rPr>
          <w:sz w:val="28"/>
          <w:szCs w:val="28"/>
        </w:rPr>
        <w:t>The Board was active in determining the appropriate means to meet their fiduciary obligations to oversee regulation and adopt</w:t>
      </w:r>
      <w:r w:rsidR="001C39E5">
        <w:rPr>
          <w:sz w:val="28"/>
          <w:szCs w:val="28"/>
        </w:rPr>
        <w:t>ed</w:t>
      </w:r>
      <w:r w:rsidR="00454C24">
        <w:rPr>
          <w:sz w:val="28"/>
          <w:szCs w:val="28"/>
        </w:rPr>
        <w:t xml:space="preserve"> specific measures.  It is therefore, unnecessary to include a provision that provides for an oversight committee.  </w:t>
      </w:r>
    </w:p>
    <w:p w:rsidR="0023537B" w:rsidRPr="00E3303F" w:rsidRDefault="0023537B" w:rsidP="007F3531">
      <w:pPr>
        <w:pStyle w:val="Body"/>
        <w:widowControl w:val="0"/>
        <w:spacing w:line="480" w:lineRule="auto"/>
        <w:ind w:firstLine="720"/>
        <w:rPr>
          <w:rStyle w:val="BodyTextChar"/>
          <w:b/>
          <w:sz w:val="28"/>
          <w:szCs w:val="28"/>
          <w:u w:val="single"/>
        </w:rPr>
      </w:pPr>
      <w:r w:rsidRPr="00E3303F">
        <w:rPr>
          <w:rStyle w:val="BodyTextChar"/>
          <w:b/>
          <w:sz w:val="28"/>
          <w:szCs w:val="28"/>
          <w:u w:val="single"/>
        </w:rPr>
        <w:t xml:space="preserve">Oversight </w:t>
      </w:r>
      <w:r w:rsidR="00447DD0" w:rsidRPr="00E3303F">
        <w:rPr>
          <w:rStyle w:val="BodyTextChar"/>
          <w:b/>
          <w:sz w:val="28"/>
          <w:szCs w:val="28"/>
          <w:u w:val="single"/>
        </w:rPr>
        <w:t>of</w:t>
      </w:r>
      <w:r w:rsidRPr="00E3303F">
        <w:rPr>
          <w:rStyle w:val="BodyTextChar"/>
          <w:b/>
          <w:sz w:val="28"/>
          <w:szCs w:val="28"/>
          <w:u w:val="single"/>
        </w:rPr>
        <w:t xml:space="preserve"> Lawyer Regulation</w:t>
      </w:r>
    </w:p>
    <w:p w:rsidR="004547CD" w:rsidRPr="00E3303F" w:rsidRDefault="0023537B" w:rsidP="00E3303F">
      <w:pPr>
        <w:pStyle w:val="Body"/>
        <w:widowControl w:val="0"/>
        <w:spacing w:line="480" w:lineRule="auto"/>
        <w:ind w:firstLine="720"/>
        <w:jc w:val="both"/>
        <w:rPr>
          <w:rStyle w:val="BodyTextChar"/>
          <w:sz w:val="28"/>
          <w:szCs w:val="28"/>
        </w:rPr>
      </w:pPr>
      <w:r w:rsidRPr="00E3303F">
        <w:rPr>
          <w:rStyle w:val="BodyTextChar"/>
          <w:sz w:val="28"/>
          <w:szCs w:val="28"/>
        </w:rPr>
        <w:t xml:space="preserve">In addition to the oversight provided by the Board, there are other areas in the regulatory process that provide oversight for the work being performed by </w:t>
      </w:r>
      <w:r w:rsidR="009018A2" w:rsidRPr="00E3303F">
        <w:rPr>
          <w:rStyle w:val="BodyTextChar"/>
          <w:sz w:val="28"/>
          <w:szCs w:val="28"/>
        </w:rPr>
        <w:t>the Office of Lawyer Regulation</w:t>
      </w:r>
      <w:r w:rsidRPr="00E3303F">
        <w:rPr>
          <w:rStyle w:val="BodyTextChar"/>
          <w:sz w:val="28"/>
          <w:szCs w:val="28"/>
        </w:rPr>
        <w:t xml:space="preserve">.  </w:t>
      </w:r>
      <w:r w:rsidR="009018A2" w:rsidRPr="00E3303F">
        <w:rPr>
          <w:rStyle w:val="BodyTextChar"/>
          <w:sz w:val="28"/>
          <w:szCs w:val="28"/>
        </w:rPr>
        <w:t xml:space="preserve">Any recommendation other than a dismissal is reviewed by the Attorney Discipline Probable Cause Committee (“Committee”).  The Committee was established as a permanent committee of the Supreme Court.  The Court appoints nine members, six lawyers and three public members to review the State Bar’s recommended disposition of all cases other than dismissal.  The Committee </w:t>
      </w:r>
      <w:r w:rsidR="009018A2" w:rsidRPr="00E3303F">
        <w:rPr>
          <w:rStyle w:val="BodyTextChar"/>
          <w:sz w:val="28"/>
          <w:szCs w:val="28"/>
        </w:rPr>
        <w:lastRenderedPageBreak/>
        <w:t xml:space="preserve">reviews the substantive work performed on the case and evaluates the recommended disposition.  </w:t>
      </w:r>
      <w:r w:rsidR="003C6D0C" w:rsidRPr="00E3303F">
        <w:rPr>
          <w:rStyle w:val="BodyTextChar"/>
          <w:sz w:val="28"/>
          <w:szCs w:val="28"/>
        </w:rPr>
        <w:t>Many of the cases presented to the Committee receive a probable cause order for a filing of the formal disciplinary complaint.  Those cases are presented to the Presiding Disciplinary Judge</w:t>
      </w:r>
      <w:r w:rsidR="00432EB7" w:rsidRPr="00E3303F">
        <w:rPr>
          <w:rStyle w:val="BodyTextChar"/>
          <w:sz w:val="28"/>
          <w:szCs w:val="28"/>
        </w:rPr>
        <w:t xml:space="preserve">.  </w:t>
      </w:r>
    </w:p>
    <w:p w:rsidR="004547CD" w:rsidRPr="00E3303F" w:rsidRDefault="00432EB7" w:rsidP="00E3303F">
      <w:pPr>
        <w:pStyle w:val="Body"/>
        <w:widowControl w:val="0"/>
        <w:spacing w:line="480" w:lineRule="auto"/>
        <w:ind w:firstLine="720"/>
        <w:jc w:val="both"/>
        <w:rPr>
          <w:rStyle w:val="BodyTextChar"/>
          <w:sz w:val="28"/>
          <w:szCs w:val="28"/>
        </w:rPr>
      </w:pPr>
      <w:r w:rsidRPr="00E3303F">
        <w:rPr>
          <w:rStyle w:val="BodyTextChar"/>
          <w:sz w:val="28"/>
          <w:szCs w:val="28"/>
        </w:rPr>
        <w:t>The Presiding Disciplinary Judge is appointed by the Supreme Court and oversees all formal disciplinary cases that include co</w:t>
      </w:r>
      <w:r w:rsidR="00E11544" w:rsidRPr="00E3303F">
        <w:rPr>
          <w:rStyle w:val="BodyTextChar"/>
          <w:sz w:val="28"/>
          <w:szCs w:val="28"/>
        </w:rPr>
        <w:t>ntested</w:t>
      </w:r>
      <w:r w:rsidRPr="00E3303F">
        <w:rPr>
          <w:rStyle w:val="BodyTextChar"/>
          <w:sz w:val="28"/>
          <w:szCs w:val="28"/>
        </w:rPr>
        <w:t xml:space="preserve">, consent, default, </w:t>
      </w:r>
      <w:r w:rsidR="00E11544" w:rsidRPr="00E3303F">
        <w:rPr>
          <w:rStyle w:val="BodyTextChar"/>
          <w:sz w:val="28"/>
          <w:szCs w:val="28"/>
        </w:rPr>
        <w:t xml:space="preserve">interim, </w:t>
      </w:r>
      <w:r w:rsidRPr="00E3303F">
        <w:rPr>
          <w:rStyle w:val="BodyTextChar"/>
          <w:sz w:val="28"/>
          <w:szCs w:val="28"/>
        </w:rPr>
        <w:t xml:space="preserve">reinstatement, reciprocal discipline and disability cases. </w:t>
      </w:r>
      <w:r w:rsidR="00E11544" w:rsidRPr="00E3303F">
        <w:rPr>
          <w:rStyle w:val="BodyTextChar"/>
          <w:sz w:val="28"/>
          <w:szCs w:val="28"/>
        </w:rPr>
        <w:t xml:space="preserve"> Many of these cases are heard by a hearing panel that includes the Presiding Disciplinary Judge, a lawyer member and a public member who are appointed by the Court as part of a pool of volunteer attorney and public members to serve on hearing panels. </w:t>
      </w:r>
      <w:r w:rsidR="001341AC" w:rsidRPr="00E3303F">
        <w:rPr>
          <w:rStyle w:val="BodyTextChar"/>
          <w:sz w:val="28"/>
          <w:szCs w:val="28"/>
        </w:rPr>
        <w:t xml:space="preserve"> </w:t>
      </w:r>
    </w:p>
    <w:p w:rsidR="00C81429" w:rsidRPr="00E3303F" w:rsidRDefault="00C81429" w:rsidP="00E3303F">
      <w:pPr>
        <w:pStyle w:val="Body"/>
        <w:widowControl w:val="0"/>
        <w:spacing w:line="480" w:lineRule="auto"/>
        <w:ind w:firstLine="720"/>
        <w:jc w:val="both"/>
        <w:rPr>
          <w:rStyle w:val="BodyTextChar"/>
          <w:sz w:val="28"/>
          <w:szCs w:val="28"/>
        </w:rPr>
      </w:pPr>
      <w:r w:rsidRPr="00E3303F">
        <w:rPr>
          <w:rStyle w:val="BodyTextChar"/>
          <w:sz w:val="28"/>
          <w:szCs w:val="28"/>
        </w:rPr>
        <w:t>The Presiding Disciplinary Judge has served in that capacity since the new system was implemented in 2011.  Judge Lawrence Winthrop has served as the Chair of the Committee since 201</w:t>
      </w:r>
      <w:r w:rsidR="00735D5F" w:rsidRPr="00E3303F">
        <w:rPr>
          <w:rStyle w:val="BodyTextChar"/>
          <w:sz w:val="28"/>
          <w:szCs w:val="28"/>
        </w:rPr>
        <w:t>2</w:t>
      </w:r>
      <w:r w:rsidRPr="00E3303F">
        <w:rPr>
          <w:rStyle w:val="BodyTextChar"/>
          <w:sz w:val="28"/>
          <w:szCs w:val="28"/>
        </w:rPr>
        <w:t xml:space="preserve">.  Both have appeared before the State Bar Board of Governors to provide feedback and report on their observations of the regulatory work being performed.  </w:t>
      </w:r>
    </w:p>
    <w:p w:rsidR="00C81429" w:rsidRPr="00E3303F" w:rsidRDefault="001341AC" w:rsidP="00E3303F">
      <w:pPr>
        <w:pStyle w:val="Body"/>
        <w:widowControl w:val="0"/>
        <w:spacing w:line="480" w:lineRule="auto"/>
        <w:ind w:firstLine="720"/>
        <w:jc w:val="both"/>
        <w:rPr>
          <w:rStyle w:val="BodyTextChar"/>
          <w:sz w:val="28"/>
          <w:szCs w:val="28"/>
        </w:rPr>
      </w:pPr>
      <w:r w:rsidRPr="00E3303F">
        <w:rPr>
          <w:rStyle w:val="BodyTextChar"/>
          <w:sz w:val="28"/>
          <w:szCs w:val="28"/>
        </w:rPr>
        <w:t xml:space="preserve">There are also cases that are appealed to the Court.  </w:t>
      </w:r>
      <w:r w:rsidR="004547CD" w:rsidRPr="00E3303F">
        <w:rPr>
          <w:rStyle w:val="BodyTextChar"/>
          <w:sz w:val="28"/>
          <w:szCs w:val="28"/>
        </w:rPr>
        <w:t xml:space="preserve">Either party has the right to a direct appeal to the Supreme Court.  For that reason a number of cases are reviewed by the Court each year.  </w:t>
      </w:r>
      <w:r w:rsidRPr="00E3303F">
        <w:rPr>
          <w:rStyle w:val="BodyTextChar"/>
          <w:sz w:val="28"/>
          <w:szCs w:val="28"/>
        </w:rPr>
        <w:t xml:space="preserve">  </w:t>
      </w:r>
    </w:p>
    <w:p w:rsidR="001533F2" w:rsidRPr="00E3303F" w:rsidRDefault="001341AC" w:rsidP="00E3303F">
      <w:pPr>
        <w:pStyle w:val="Body"/>
        <w:widowControl w:val="0"/>
        <w:spacing w:line="480" w:lineRule="auto"/>
        <w:ind w:firstLine="720"/>
        <w:jc w:val="both"/>
        <w:rPr>
          <w:sz w:val="28"/>
          <w:szCs w:val="28"/>
        </w:rPr>
      </w:pPr>
      <w:r w:rsidRPr="00E3303F">
        <w:rPr>
          <w:rStyle w:val="BodyTextChar"/>
          <w:sz w:val="28"/>
          <w:szCs w:val="28"/>
        </w:rPr>
        <w:t xml:space="preserve"> </w:t>
      </w:r>
      <w:r w:rsidR="00E11544" w:rsidRPr="00E3303F">
        <w:rPr>
          <w:rStyle w:val="BodyTextChar"/>
          <w:sz w:val="28"/>
          <w:szCs w:val="28"/>
        </w:rPr>
        <w:t xml:space="preserve"> </w:t>
      </w:r>
      <w:r w:rsidR="00C31729" w:rsidRPr="00E3303F">
        <w:rPr>
          <w:sz w:val="28"/>
          <w:szCs w:val="28"/>
        </w:rPr>
        <w:t xml:space="preserve">The Attorney Regulation Advisory Committee (“ARC”) was created in accordance with Administrative Order No. 2011-44, to assist the Supreme Court and </w:t>
      </w:r>
      <w:r w:rsidR="00C31729" w:rsidRPr="00E3303F">
        <w:rPr>
          <w:sz w:val="28"/>
          <w:szCs w:val="28"/>
        </w:rPr>
        <w:lastRenderedPageBreak/>
        <w:t xml:space="preserve">the Chief Justice on issues relating to attorney regulation.   </w:t>
      </w:r>
      <w:r w:rsidR="001533F2" w:rsidRPr="00E3303F">
        <w:rPr>
          <w:sz w:val="28"/>
          <w:szCs w:val="28"/>
        </w:rPr>
        <w:t xml:space="preserve">The composition of ARC generally reflects stakeholders from specific areas of admissions and regulation including the Committee on Character and Fitness, Examinations, Presiding Disciplinary Judge, Attorney Discipline Probable Cause, Lawyer Regulation, State Bar Board of Governors, the Arizona Judicial Council and the public.  </w:t>
      </w:r>
    </w:p>
    <w:p w:rsidR="001533F2" w:rsidRPr="00E3303F" w:rsidRDefault="00441EB4" w:rsidP="00E3303F">
      <w:pPr>
        <w:pStyle w:val="Body"/>
        <w:widowControl w:val="0"/>
        <w:spacing w:line="480" w:lineRule="auto"/>
        <w:ind w:firstLine="720"/>
        <w:jc w:val="both"/>
        <w:rPr>
          <w:sz w:val="28"/>
          <w:szCs w:val="28"/>
        </w:rPr>
      </w:pPr>
      <w:r w:rsidRPr="00E3303F">
        <w:rPr>
          <w:sz w:val="28"/>
          <w:szCs w:val="28"/>
        </w:rPr>
        <w:t>One of ARC’s purposes is to make recommendations to this Court regarding “how [the] rules of the attorney regulation system can be revised to reinforce lawyer competency and professionalism and strengthen the Supreme Court’s oversight of the regulation and practice of law in this state.”</w:t>
      </w:r>
      <w:r w:rsidRPr="00E3303F">
        <w:rPr>
          <w:rStyle w:val="FootnoteReference"/>
          <w:sz w:val="28"/>
          <w:szCs w:val="28"/>
        </w:rPr>
        <w:footnoteReference w:id="4"/>
      </w:r>
      <w:r w:rsidRPr="00E3303F">
        <w:rPr>
          <w:sz w:val="28"/>
          <w:szCs w:val="28"/>
        </w:rPr>
        <w:t xml:space="preserve"> </w:t>
      </w:r>
      <w:r w:rsidR="009D47AE" w:rsidRPr="00E3303F">
        <w:rPr>
          <w:sz w:val="28"/>
          <w:szCs w:val="28"/>
        </w:rPr>
        <w:t xml:space="preserve"> As part of that oversight </w:t>
      </w:r>
      <w:r w:rsidR="00C31729" w:rsidRPr="00E3303F">
        <w:rPr>
          <w:sz w:val="28"/>
          <w:szCs w:val="28"/>
        </w:rPr>
        <w:t xml:space="preserve">ARC </w:t>
      </w:r>
      <w:r w:rsidRPr="00E3303F">
        <w:rPr>
          <w:sz w:val="28"/>
          <w:szCs w:val="28"/>
        </w:rPr>
        <w:t xml:space="preserve">also </w:t>
      </w:r>
      <w:r w:rsidR="004547CD" w:rsidRPr="00E3303F">
        <w:rPr>
          <w:sz w:val="28"/>
          <w:szCs w:val="28"/>
        </w:rPr>
        <w:t>collects statistical dat</w:t>
      </w:r>
      <w:r w:rsidR="009617D1" w:rsidRPr="00E3303F">
        <w:rPr>
          <w:sz w:val="28"/>
          <w:szCs w:val="28"/>
        </w:rPr>
        <w:t>a</w:t>
      </w:r>
      <w:r w:rsidR="004547CD" w:rsidRPr="00E3303F">
        <w:rPr>
          <w:sz w:val="28"/>
          <w:szCs w:val="28"/>
        </w:rPr>
        <w:t xml:space="preserve"> to provide the Court in an </w:t>
      </w:r>
      <w:r w:rsidR="009617D1" w:rsidRPr="00E3303F">
        <w:rPr>
          <w:sz w:val="28"/>
          <w:szCs w:val="28"/>
        </w:rPr>
        <w:t>a</w:t>
      </w:r>
      <w:r w:rsidR="004547CD" w:rsidRPr="00E3303F">
        <w:rPr>
          <w:sz w:val="28"/>
          <w:szCs w:val="28"/>
        </w:rPr>
        <w:t xml:space="preserve">nnual </w:t>
      </w:r>
      <w:r w:rsidR="009617D1" w:rsidRPr="00E3303F">
        <w:rPr>
          <w:sz w:val="28"/>
          <w:szCs w:val="28"/>
        </w:rPr>
        <w:t>r</w:t>
      </w:r>
      <w:r w:rsidR="004547CD" w:rsidRPr="00E3303F">
        <w:rPr>
          <w:sz w:val="28"/>
          <w:szCs w:val="28"/>
        </w:rPr>
        <w:t>eport and reviews any petitions that affect admission</w:t>
      </w:r>
      <w:r w:rsidR="00B82ED9" w:rsidRPr="00E3303F">
        <w:rPr>
          <w:sz w:val="28"/>
          <w:szCs w:val="28"/>
        </w:rPr>
        <w:t>s</w:t>
      </w:r>
      <w:r w:rsidR="004547CD" w:rsidRPr="00E3303F">
        <w:rPr>
          <w:sz w:val="28"/>
          <w:szCs w:val="28"/>
        </w:rPr>
        <w:t xml:space="preserve"> or the regulatory process</w:t>
      </w:r>
      <w:r w:rsidR="00C31729" w:rsidRPr="00E3303F">
        <w:rPr>
          <w:sz w:val="28"/>
          <w:szCs w:val="28"/>
        </w:rPr>
        <w:t>.</w:t>
      </w:r>
      <w:r w:rsidR="00EC12E5" w:rsidRPr="00E3303F">
        <w:rPr>
          <w:sz w:val="28"/>
          <w:szCs w:val="28"/>
        </w:rPr>
        <w:t xml:space="preserve">  The main purpose of ARC was to provide </w:t>
      </w:r>
      <w:r w:rsidR="009639BA" w:rsidRPr="00E3303F">
        <w:rPr>
          <w:sz w:val="28"/>
          <w:szCs w:val="28"/>
        </w:rPr>
        <w:t xml:space="preserve">a level of </w:t>
      </w:r>
      <w:r w:rsidR="00EC12E5" w:rsidRPr="00E3303F">
        <w:rPr>
          <w:sz w:val="28"/>
          <w:szCs w:val="28"/>
        </w:rPr>
        <w:t xml:space="preserve">oversight of the admissions and regulatory processes.  </w:t>
      </w:r>
    </w:p>
    <w:p w:rsidR="00154FF3" w:rsidRPr="00E3303F" w:rsidRDefault="00B82ED9" w:rsidP="00E3303F">
      <w:pPr>
        <w:pStyle w:val="Body"/>
        <w:widowControl w:val="0"/>
        <w:spacing w:line="480" w:lineRule="auto"/>
        <w:ind w:firstLine="720"/>
        <w:jc w:val="both"/>
        <w:rPr>
          <w:rStyle w:val="BodyTextChar"/>
          <w:sz w:val="28"/>
          <w:szCs w:val="28"/>
        </w:rPr>
      </w:pPr>
      <w:r w:rsidRPr="00E3303F">
        <w:rPr>
          <w:sz w:val="28"/>
          <w:szCs w:val="28"/>
        </w:rPr>
        <w:t>Given the Board’s current oversight policy and the oversight that is built in</w:t>
      </w:r>
      <w:r w:rsidR="00EC12E5" w:rsidRPr="00E3303F">
        <w:rPr>
          <w:sz w:val="28"/>
          <w:szCs w:val="28"/>
        </w:rPr>
        <w:t>to</w:t>
      </w:r>
      <w:r w:rsidRPr="00E3303F">
        <w:rPr>
          <w:sz w:val="28"/>
          <w:szCs w:val="28"/>
        </w:rPr>
        <w:t xml:space="preserve"> the regulatory process, a Board discipline oversight committee is not necessary.</w:t>
      </w:r>
    </w:p>
    <w:p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rsidR="004B1D38" w:rsidRDefault="006D7491" w:rsidP="00B35D64">
      <w:pPr>
        <w:pStyle w:val="Body"/>
        <w:widowControl w:val="0"/>
        <w:tabs>
          <w:tab w:val="left" w:pos="720"/>
        </w:tabs>
        <w:spacing w:line="480" w:lineRule="auto"/>
        <w:ind w:firstLine="0"/>
        <w:jc w:val="both"/>
        <w:rPr>
          <w:sz w:val="28"/>
          <w:szCs w:val="28"/>
        </w:rPr>
      </w:pPr>
      <w:r>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4B1D38">
        <w:rPr>
          <w:sz w:val="28"/>
          <w:szCs w:val="28"/>
        </w:rPr>
        <w:t xml:space="preserve">the Court remove proposed Rule 49(e).  If the Court declines to do so, the State Bar would request that the rule be </w:t>
      </w:r>
      <w:r w:rsidR="00904126">
        <w:rPr>
          <w:sz w:val="28"/>
          <w:szCs w:val="28"/>
        </w:rPr>
        <w:t>modified</w:t>
      </w:r>
      <w:r w:rsidR="004B1D38">
        <w:rPr>
          <w:sz w:val="28"/>
          <w:szCs w:val="28"/>
        </w:rPr>
        <w:t xml:space="preserve"> to limit the Board’s oversight to budget, </w:t>
      </w:r>
      <w:r w:rsidR="008406B9">
        <w:rPr>
          <w:sz w:val="28"/>
          <w:szCs w:val="28"/>
        </w:rPr>
        <w:t xml:space="preserve">review </w:t>
      </w:r>
      <w:r w:rsidR="002F4C3F">
        <w:rPr>
          <w:sz w:val="28"/>
          <w:szCs w:val="28"/>
        </w:rPr>
        <w:t xml:space="preserve">of </w:t>
      </w:r>
      <w:r w:rsidR="008406B9">
        <w:rPr>
          <w:sz w:val="28"/>
          <w:szCs w:val="28"/>
        </w:rPr>
        <w:t xml:space="preserve">system </w:t>
      </w:r>
      <w:r w:rsidR="004B1D38">
        <w:rPr>
          <w:sz w:val="28"/>
          <w:szCs w:val="28"/>
        </w:rPr>
        <w:t xml:space="preserve">resources, </w:t>
      </w:r>
      <w:r w:rsidR="004B1D38">
        <w:rPr>
          <w:sz w:val="28"/>
          <w:szCs w:val="28"/>
        </w:rPr>
        <w:lastRenderedPageBreak/>
        <w:t xml:space="preserve">statistics, and rules relating to the disciplinary process.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DD4E0A" w:rsidRDefault="00DD4E0A" w:rsidP="000C48A9">
      <w:pPr>
        <w:pStyle w:val="Body"/>
        <w:widowControl w:val="0"/>
        <w:tabs>
          <w:tab w:val="left" w:pos="720"/>
        </w:tabs>
        <w:ind w:firstLine="0"/>
        <w:rPr>
          <w:szCs w:val="26"/>
        </w:rPr>
      </w:pPr>
    </w:p>
    <w:p w:rsidR="00DD4E0A" w:rsidRPr="000F7A7F" w:rsidRDefault="00DD4E0A" w:rsidP="00DD4E0A">
      <w:pPr>
        <w:pStyle w:val="Body"/>
        <w:widowControl w:val="0"/>
        <w:tabs>
          <w:tab w:val="left" w:pos="720"/>
        </w:tabs>
        <w:spacing w:line="240" w:lineRule="auto"/>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t>__________________________</w:t>
      </w:r>
    </w:p>
    <w:p w:rsidR="000C48A9" w:rsidRDefault="00DD4E0A" w:rsidP="00DD4E0A">
      <w:pPr>
        <w:pStyle w:val="Body"/>
        <w:widowControl w:val="0"/>
        <w:tabs>
          <w:tab w:val="left" w:pos="720"/>
        </w:tabs>
        <w:spacing w:line="240" w:lineRule="auto"/>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t>Lisa Panahi</w:t>
      </w:r>
    </w:p>
    <w:p w:rsidR="00DD4E0A" w:rsidRPr="000F7A7F" w:rsidRDefault="00DD4E0A" w:rsidP="00DD4E0A">
      <w:pPr>
        <w:pStyle w:val="Body"/>
        <w:widowControl w:val="0"/>
        <w:tabs>
          <w:tab w:val="left" w:pos="720"/>
        </w:tabs>
        <w:spacing w:line="240" w:lineRule="auto"/>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t>General Counsel</w:t>
      </w:r>
    </w:p>
    <w:p w:rsidR="000C48A9" w:rsidRPr="000F7A7F" w:rsidRDefault="000C48A9" w:rsidP="00DD4E0A">
      <w:pPr>
        <w:pStyle w:val="PleadingSignature"/>
        <w:keepNext w:val="0"/>
        <w:keepLines w:val="0"/>
        <w:spacing w:line="240" w:lineRule="auto"/>
        <w:ind w:left="5070"/>
        <w:rPr>
          <w:szCs w:val="26"/>
        </w:rPr>
      </w:pPr>
    </w:p>
    <w:p w:rsidR="00154FF3" w:rsidRDefault="00154FF3" w:rsidP="004331B2">
      <w:pPr>
        <w:widowControl w:val="0"/>
        <w:spacing w:line="240" w:lineRule="auto"/>
        <w:ind w:right="4140"/>
        <w:rPr>
          <w:sz w:val="28"/>
          <w:szCs w:val="28"/>
        </w:rPr>
      </w:pPr>
    </w:p>
    <w:p w:rsidR="00154FF3" w:rsidRDefault="00154FF3" w:rsidP="004331B2">
      <w:pPr>
        <w:widowControl w:val="0"/>
        <w:spacing w:line="240" w:lineRule="auto"/>
        <w:ind w:right="4140"/>
        <w:rPr>
          <w:sz w:val="28"/>
          <w:szCs w:val="28"/>
        </w:rPr>
      </w:pPr>
    </w:p>
    <w:p w:rsidR="00154FF3" w:rsidRDefault="00154FF3" w:rsidP="004331B2">
      <w:pPr>
        <w:widowControl w:val="0"/>
        <w:spacing w:line="240" w:lineRule="auto"/>
        <w:ind w:right="4140"/>
        <w:rPr>
          <w:sz w:val="28"/>
          <w:szCs w:val="28"/>
        </w:rPr>
      </w:pPr>
    </w:p>
    <w:p w:rsidR="00154FF3" w:rsidRDefault="00154FF3" w:rsidP="004331B2">
      <w:pPr>
        <w:widowControl w:val="0"/>
        <w:spacing w:line="240" w:lineRule="auto"/>
        <w:ind w:right="4140"/>
        <w:rPr>
          <w:sz w:val="28"/>
          <w:szCs w:val="28"/>
        </w:rPr>
      </w:pPr>
    </w:p>
    <w:p w:rsidR="00154FF3" w:rsidRDefault="00154FF3" w:rsidP="004331B2">
      <w:pPr>
        <w:widowControl w:val="0"/>
        <w:spacing w:line="240" w:lineRule="auto"/>
        <w:ind w:right="4140"/>
        <w:rPr>
          <w:sz w:val="28"/>
          <w:szCs w:val="28"/>
        </w:rPr>
      </w:pPr>
    </w:p>
    <w:p w:rsidR="00154FF3" w:rsidRDefault="00154FF3"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52372" w:rsidRPr="000F7A7F" w:rsidRDefault="000C48A9" w:rsidP="00D42C4E">
      <w:pPr>
        <w:spacing w:line="240" w:lineRule="auto"/>
        <w:ind w:right="4572"/>
        <w:rPr>
          <w:sz w:val="26"/>
          <w:szCs w:val="26"/>
        </w:rPr>
      </w:pPr>
      <w:r w:rsidRPr="00C52E56">
        <w:rPr>
          <w:sz w:val="28"/>
          <w:szCs w:val="28"/>
        </w:rPr>
        <w:t>by: ___________________________</w:t>
      </w:r>
      <w:r w:rsidR="004331B2" w:rsidRPr="00C52E56">
        <w:rPr>
          <w:sz w:val="28"/>
          <w:szCs w:val="28"/>
        </w:rPr>
        <w:t>____</w:t>
      </w:r>
      <w:r w:rsidRPr="00C52E56">
        <w:rPr>
          <w:sz w:val="28"/>
          <w:szCs w:val="28"/>
        </w:rPr>
        <w:t xml:space="preserve"> </w:t>
      </w: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0D0" w:rsidRDefault="003500D0">
      <w:r>
        <w:separator/>
      </w:r>
    </w:p>
  </w:endnote>
  <w:endnote w:type="continuationSeparator" w:id="0">
    <w:p w:rsidR="003500D0" w:rsidRDefault="0035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069A1">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0D0" w:rsidRDefault="003500D0">
      <w:r>
        <w:separator/>
      </w:r>
    </w:p>
  </w:footnote>
  <w:footnote w:type="continuationSeparator" w:id="0">
    <w:p w:rsidR="003500D0" w:rsidRDefault="003500D0">
      <w:r>
        <w:continuationSeparator/>
      </w:r>
    </w:p>
  </w:footnote>
  <w:footnote w:id="1">
    <w:p w:rsidR="006F3297" w:rsidRDefault="006F3297">
      <w:pPr>
        <w:pStyle w:val="FootnoteText"/>
      </w:pPr>
      <w:r>
        <w:rPr>
          <w:rStyle w:val="FootnoteReference"/>
        </w:rPr>
        <w:footnoteRef/>
      </w:r>
      <w:r>
        <w:t xml:space="preserve"> </w:t>
      </w:r>
      <w:r w:rsidRPr="00B35D64">
        <w:rPr>
          <w:i/>
          <w:iCs/>
          <w:sz w:val="28"/>
          <w:szCs w:val="28"/>
        </w:rPr>
        <w:t>North Carolina State Bd</w:t>
      </w:r>
      <w:r w:rsidRPr="00B35D64">
        <w:rPr>
          <w:sz w:val="28"/>
          <w:szCs w:val="28"/>
        </w:rPr>
        <w:t xml:space="preserve">. </w:t>
      </w:r>
      <w:r w:rsidRPr="00B35D64">
        <w:rPr>
          <w:i/>
          <w:iCs/>
          <w:sz w:val="28"/>
          <w:szCs w:val="28"/>
        </w:rPr>
        <w:t>of Dental Examiners v</w:t>
      </w:r>
      <w:r w:rsidRPr="00B35D64">
        <w:rPr>
          <w:sz w:val="28"/>
          <w:szCs w:val="28"/>
        </w:rPr>
        <w:t xml:space="preserve">. </w:t>
      </w:r>
      <w:r w:rsidRPr="00B35D64">
        <w:rPr>
          <w:i/>
          <w:iCs/>
          <w:sz w:val="28"/>
          <w:szCs w:val="28"/>
        </w:rPr>
        <w:t>Fed</w:t>
      </w:r>
      <w:r w:rsidRPr="00B35D64">
        <w:rPr>
          <w:sz w:val="28"/>
          <w:szCs w:val="28"/>
        </w:rPr>
        <w:t xml:space="preserve">. </w:t>
      </w:r>
      <w:r w:rsidRPr="00B35D64">
        <w:rPr>
          <w:i/>
          <w:iCs/>
          <w:sz w:val="28"/>
          <w:szCs w:val="28"/>
        </w:rPr>
        <w:t>Trade Comm</w:t>
      </w:r>
      <w:r w:rsidR="004C6290">
        <w:rPr>
          <w:sz w:val="28"/>
          <w:szCs w:val="28"/>
        </w:rPr>
        <w:t>., 574</w:t>
      </w:r>
      <w:r w:rsidRPr="00B35D64">
        <w:rPr>
          <w:sz w:val="28"/>
          <w:szCs w:val="28"/>
        </w:rPr>
        <w:t xml:space="preserve"> U.S. ___, </w:t>
      </w:r>
      <w:hyperlink r:id="rId1" w:history="1">
        <w:r w:rsidRPr="00B35D64">
          <w:rPr>
            <w:rStyle w:val="Hyperlink"/>
            <w:sz w:val="28"/>
            <w:szCs w:val="28"/>
          </w:rPr>
          <w:t>135 S.Ct. 1101</w:t>
        </w:r>
      </w:hyperlink>
      <w:r w:rsidRPr="00B35D64">
        <w:rPr>
          <w:sz w:val="28"/>
          <w:szCs w:val="28"/>
        </w:rPr>
        <w:t xml:space="preserve">, </w:t>
      </w:r>
      <w:hyperlink r:id="rId2" w:history="1">
        <w:r w:rsidRPr="00B35D64">
          <w:rPr>
            <w:rStyle w:val="Hyperlink"/>
            <w:sz w:val="28"/>
            <w:szCs w:val="28"/>
          </w:rPr>
          <w:t>191 L.Ed.2d 35 (2015)</w:t>
        </w:r>
      </w:hyperlink>
      <w:r w:rsidRPr="00B35D64">
        <w:rPr>
          <w:sz w:val="28"/>
          <w:szCs w:val="28"/>
        </w:rPr>
        <w:t>.</w:t>
      </w:r>
      <w:r>
        <w:t xml:space="preserve"> </w:t>
      </w:r>
    </w:p>
  </w:footnote>
  <w:footnote w:id="2">
    <w:p w:rsidR="00201C56" w:rsidRPr="00B35D64" w:rsidRDefault="00201C56" w:rsidP="00B35D64">
      <w:pPr>
        <w:pStyle w:val="FootnoteText"/>
        <w:jc w:val="both"/>
        <w:rPr>
          <w:sz w:val="28"/>
          <w:szCs w:val="28"/>
        </w:rPr>
      </w:pPr>
      <w:r w:rsidRPr="00B35D64">
        <w:rPr>
          <w:rStyle w:val="FootnoteReference"/>
          <w:sz w:val="28"/>
          <w:szCs w:val="28"/>
        </w:rPr>
        <w:footnoteRef/>
      </w:r>
      <w:r w:rsidRPr="00B35D64">
        <w:rPr>
          <w:sz w:val="28"/>
          <w:szCs w:val="28"/>
        </w:rPr>
        <w:t xml:space="preserve"> Lawyers subject to discipline actions have started to raise this issue, albeit unsuccessfully to date. </w:t>
      </w:r>
      <w:r w:rsidR="00027DEF">
        <w:rPr>
          <w:sz w:val="28"/>
          <w:szCs w:val="28"/>
        </w:rPr>
        <w:t xml:space="preserve">There are no published decisions in Arizona on this topic, but Bar Counsel is aware that several Arizona lawyers have raised the Dental Board matter to challenge the authority of the </w:t>
      </w:r>
      <w:r w:rsidR="001F57AF">
        <w:rPr>
          <w:sz w:val="28"/>
          <w:szCs w:val="28"/>
        </w:rPr>
        <w:t xml:space="preserve">State Bar in discipline proceedings. </w:t>
      </w:r>
      <w:r w:rsidRPr="00B35D64">
        <w:rPr>
          <w:sz w:val="28"/>
          <w:szCs w:val="28"/>
        </w:rPr>
        <w:t xml:space="preserve"> </w:t>
      </w:r>
      <w:r w:rsidR="001F57AF">
        <w:rPr>
          <w:sz w:val="28"/>
          <w:szCs w:val="28"/>
        </w:rPr>
        <w:t xml:space="preserve">Outside of Arizona </w:t>
      </w:r>
      <w:r w:rsidR="001F57AF" w:rsidRPr="00B35D64">
        <w:rPr>
          <w:i/>
          <w:sz w:val="28"/>
          <w:szCs w:val="28"/>
        </w:rPr>
        <w:t>s</w:t>
      </w:r>
      <w:r w:rsidRPr="00B35D64">
        <w:rPr>
          <w:i/>
          <w:sz w:val="28"/>
          <w:szCs w:val="28"/>
        </w:rPr>
        <w:t>ee, e.g., Board of Professional Responsibility v. Connie Reguli</w:t>
      </w:r>
      <w:r w:rsidRPr="00B35D64">
        <w:rPr>
          <w:sz w:val="28"/>
          <w:szCs w:val="28"/>
        </w:rPr>
        <w:t xml:space="preserve">,  489 S.W.3d 408 (Tenn. 2015); </w:t>
      </w:r>
      <w:r w:rsidRPr="00B35D64">
        <w:rPr>
          <w:i/>
          <w:sz w:val="28"/>
          <w:szCs w:val="28"/>
        </w:rPr>
        <w:t>Paul J. Walwyn v. Board of Professional Responsibility of the Supreme Court of Tennessee</w:t>
      </w:r>
      <w:r w:rsidRPr="00B35D64">
        <w:rPr>
          <w:sz w:val="28"/>
          <w:szCs w:val="28"/>
        </w:rPr>
        <w:t xml:space="preserve">, 481 S.W.3d 151 (Tenn. 2015); </w:t>
      </w:r>
      <w:r w:rsidRPr="00B35D64">
        <w:rPr>
          <w:i/>
          <w:sz w:val="28"/>
          <w:szCs w:val="28"/>
        </w:rPr>
        <w:t>Disciplinary Counsel v. Tamburrino</w:t>
      </w:r>
      <w:r w:rsidRPr="00B35D64">
        <w:rPr>
          <w:sz w:val="28"/>
          <w:szCs w:val="28"/>
        </w:rPr>
        <w:t xml:space="preserve">, 2016 Ohio 8014, No. 2018-0858 (Supreme Court of Ohio 2016)(judicial conduct matter).  </w:t>
      </w:r>
    </w:p>
    <w:p w:rsidR="00201C56" w:rsidRDefault="00201C56" w:rsidP="00201C56">
      <w:pPr>
        <w:pStyle w:val="FootnoteText"/>
      </w:pPr>
    </w:p>
  </w:footnote>
  <w:footnote w:id="3">
    <w:p w:rsidR="00027DEF" w:rsidRDefault="00027DEF" w:rsidP="00B35D64">
      <w:pPr>
        <w:pStyle w:val="FootnoteText"/>
        <w:jc w:val="both"/>
      </w:pPr>
      <w:r>
        <w:rPr>
          <w:rStyle w:val="FootnoteReference"/>
        </w:rPr>
        <w:footnoteRef/>
      </w:r>
      <w:r>
        <w:t xml:space="preserve"> </w:t>
      </w:r>
      <w:r w:rsidRPr="00B35D64">
        <w:rPr>
          <w:i/>
          <w:sz w:val="28"/>
          <w:szCs w:val="28"/>
        </w:rPr>
        <w:t>See, e.g</w:t>
      </w:r>
      <w:r w:rsidRPr="00B35D64">
        <w:rPr>
          <w:sz w:val="28"/>
          <w:szCs w:val="28"/>
        </w:rPr>
        <w:t>, FTC Staff Guidance on Active Supervision of State Regulatory Boards Controlled by Market Participants (October 2015)(“FTC Guide”).  The FTC Guide provides context, analysis, and examples of antitrust state action defense for regulatory boards controlled by market participants.</w:t>
      </w:r>
      <w:r>
        <w:t xml:space="preserve"> </w:t>
      </w:r>
    </w:p>
  </w:footnote>
  <w:footnote w:id="4">
    <w:p w:rsidR="00441EB4" w:rsidRPr="001533F2" w:rsidRDefault="00441EB4" w:rsidP="00441EB4">
      <w:pPr>
        <w:pStyle w:val="FootnoteText"/>
        <w:rPr>
          <w:color w:val="FF0000"/>
          <w:sz w:val="28"/>
        </w:rPr>
      </w:pPr>
      <w:r w:rsidRPr="00E3303F">
        <w:rPr>
          <w:rStyle w:val="FootnoteReference"/>
          <w:sz w:val="28"/>
        </w:rPr>
        <w:footnoteRef/>
      </w:r>
      <w:r w:rsidRPr="00E3303F">
        <w:rPr>
          <w:sz w:val="28"/>
        </w:rPr>
        <w:t xml:space="preserve"> Administrative Order No. 2011-44, establishing ARC.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AA17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C1D63"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C50C7"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D4C5A"/>
    <w:multiLevelType w:val="hybridMultilevel"/>
    <w:tmpl w:val="2F6EEE6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136B"/>
    <w:rsid w:val="00014002"/>
    <w:rsid w:val="000142A8"/>
    <w:rsid w:val="00027DEF"/>
    <w:rsid w:val="00032C98"/>
    <w:rsid w:val="000410B3"/>
    <w:rsid w:val="00043D4D"/>
    <w:rsid w:val="00052372"/>
    <w:rsid w:val="00053A93"/>
    <w:rsid w:val="000560A7"/>
    <w:rsid w:val="000666D1"/>
    <w:rsid w:val="00072B1A"/>
    <w:rsid w:val="0008121F"/>
    <w:rsid w:val="00087CD5"/>
    <w:rsid w:val="000917C0"/>
    <w:rsid w:val="000A1D6B"/>
    <w:rsid w:val="000A51AD"/>
    <w:rsid w:val="000B3A18"/>
    <w:rsid w:val="000C48A9"/>
    <w:rsid w:val="000C7D20"/>
    <w:rsid w:val="000D7ACB"/>
    <w:rsid w:val="000F0591"/>
    <w:rsid w:val="000F0D7E"/>
    <w:rsid w:val="000F6828"/>
    <w:rsid w:val="000F7A7F"/>
    <w:rsid w:val="000F7C13"/>
    <w:rsid w:val="001341AC"/>
    <w:rsid w:val="00135326"/>
    <w:rsid w:val="001523BC"/>
    <w:rsid w:val="001533F2"/>
    <w:rsid w:val="00154FF3"/>
    <w:rsid w:val="001A2520"/>
    <w:rsid w:val="001B3EF2"/>
    <w:rsid w:val="001C2DBF"/>
    <w:rsid w:val="001C39E5"/>
    <w:rsid w:val="001D6AE1"/>
    <w:rsid w:val="001F57AF"/>
    <w:rsid w:val="001F591C"/>
    <w:rsid w:val="001F74B5"/>
    <w:rsid w:val="00201C56"/>
    <w:rsid w:val="00221518"/>
    <w:rsid w:val="0023537B"/>
    <w:rsid w:val="00244307"/>
    <w:rsid w:val="00244D7F"/>
    <w:rsid w:val="00274D6A"/>
    <w:rsid w:val="0027713F"/>
    <w:rsid w:val="00297C57"/>
    <w:rsid w:val="002A4FB1"/>
    <w:rsid w:val="002C2478"/>
    <w:rsid w:val="002E6336"/>
    <w:rsid w:val="002F4C3F"/>
    <w:rsid w:val="002F69A5"/>
    <w:rsid w:val="00306A08"/>
    <w:rsid w:val="003270DA"/>
    <w:rsid w:val="003332B7"/>
    <w:rsid w:val="00342D41"/>
    <w:rsid w:val="003500D0"/>
    <w:rsid w:val="00352347"/>
    <w:rsid w:val="0035330A"/>
    <w:rsid w:val="003566D6"/>
    <w:rsid w:val="00357F4D"/>
    <w:rsid w:val="003617D1"/>
    <w:rsid w:val="0037572F"/>
    <w:rsid w:val="00377199"/>
    <w:rsid w:val="00384A6C"/>
    <w:rsid w:val="003A28AC"/>
    <w:rsid w:val="003C2014"/>
    <w:rsid w:val="003C6D0C"/>
    <w:rsid w:val="003C7F82"/>
    <w:rsid w:val="003E0326"/>
    <w:rsid w:val="003E3B91"/>
    <w:rsid w:val="003E4851"/>
    <w:rsid w:val="0040424D"/>
    <w:rsid w:val="00407E2D"/>
    <w:rsid w:val="00411D74"/>
    <w:rsid w:val="00432EB7"/>
    <w:rsid w:val="004331B2"/>
    <w:rsid w:val="00434FE4"/>
    <w:rsid w:val="00435710"/>
    <w:rsid w:val="00440E4C"/>
    <w:rsid w:val="00441EB4"/>
    <w:rsid w:val="004421C5"/>
    <w:rsid w:val="00444DFC"/>
    <w:rsid w:val="00447DD0"/>
    <w:rsid w:val="00452BEA"/>
    <w:rsid w:val="004547CD"/>
    <w:rsid w:val="00454C24"/>
    <w:rsid w:val="00463734"/>
    <w:rsid w:val="00466BA6"/>
    <w:rsid w:val="00494BDF"/>
    <w:rsid w:val="004B1D38"/>
    <w:rsid w:val="004C3AE3"/>
    <w:rsid w:val="004C6290"/>
    <w:rsid w:val="00504E1E"/>
    <w:rsid w:val="00506859"/>
    <w:rsid w:val="00511867"/>
    <w:rsid w:val="00520F93"/>
    <w:rsid w:val="00566856"/>
    <w:rsid w:val="005677BD"/>
    <w:rsid w:val="005A21B0"/>
    <w:rsid w:val="005A4875"/>
    <w:rsid w:val="005A736D"/>
    <w:rsid w:val="005A7BE9"/>
    <w:rsid w:val="005B5161"/>
    <w:rsid w:val="005C562A"/>
    <w:rsid w:val="005D6AD4"/>
    <w:rsid w:val="005E1807"/>
    <w:rsid w:val="00606D23"/>
    <w:rsid w:val="00611473"/>
    <w:rsid w:val="006167A2"/>
    <w:rsid w:val="00616D7D"/>
    <w:rsid w:val="006338C1"/>
    <w:rsid w:val="00636F5E"/>
    <w:rsid w:val="00665CCF"/>
    <w:rsid w:val="006666D1"/>
    <w:rsid w:val="006721EC"/>
    <w:rsid w:val="006766BF"/>
    <w:rsid w:val="00692391"/>
    <w:rsid w:val="006932BA"/>
    <w:rsid w:val="006A245C"/>
    <w:rsid w:val="006B1928"/>
    <w:rsid w:val="006B382E"/>
    <w:rsid w:val="006B4F9A"/>
    <w:rsid w:val="006C6271"/>
    <w:rsid w:val="006C6F8C"/>
    <w:rsid w:val="006D7491"/>
    <w:rsid w:val="006D75FD"/>
    <w:rsid w:val="006E0490"/>
    <w:rsid w:val="006E6F59"/>
    <w:rsid w:val="006F3297"/>
    <w:rsid w:val="006F63FD"/>
    <w:rsid w:val="007008D7"/>
    <w:rsid w:val="007053AC"/>
    <w:rsid w:val="007069A1"/>
    <w:rsid w:val="007249DA"/>
    <w:rsid w:val="00732169"/>
    <w:rsid w:val="00735659"/>
    <w:rsid w:val="00735D5F"/>
    <w:rsid w:val="007414D2"/>
    <w:rsid w:val="007427C6"/>
    <w:rsid w:val="00745DA5"/>
    <w:rsid w:val="007500D4"/>
    <w:rsid w:val="00761CC9"/>
    <w:rsid w:val="0077110E"/>
    <w:rsid w:val="007870CB"/>
    <w:rsid w:val="007A3F0F"/>
    <w:rsid w:val="007D5C49"/>
    <w:rsid w:val="007D5ECB"/>
    <w:rsid w:val="007D73FF"/>
    <w:rsid w:val="007E3CCB"/>
    <w:rsid w:val="007F2627"/>
    <w:rsid w:val="007F3531"/>
    <w:rsid w:val="008006ED"/>
    <w:rsid w:val="00807E99"/>
    <w:rsid w:val="00822598"/>
    <w:rsid w:val="00823AA9"/>
    <w:rsid w:val="008360A1"/>
    <w:rsid w:val="00840353"/>
    <w:rsid w:val="008406B9"/>
    <w:rsid w:val="00861563"/>
    <w:rsid w:val="00871AAA"/>
    <w:rsid w:val="00876A05"/>
    <w:rsid w:val="00876F57"/>
    <w:rsid w:val="00883B8E"/>
    <w:rsid w:val="00891AAA"/>
    <w:rsid w:val="008978ED"/>
    <w:rsid w:val="008C5C8A"/>
    <w:rsid w:val="008D7498"/>
    <w:rsid w:val="008F1F25"/>
    <w:rsid w:val="009018A2"/>
    <w:rsid w:val="00904126"/>
    <w:rsid w:val="009065FB"/>
    <w:rsid w:val="00933EA1"/>
    <w:rsid w:val="00951416"/>
    <w:rsid w:val="00953EE3"/>
    <w:rsid w:val="00960D21"/>
    <w:rsid w:val="009617D1"/>
    <w:rsid w:val="009639BA"/>
    <w:rsid w:val="00970BFA"/>
    <w:rsid w:val="00972327"/>
    <w:rsid w:val="00981D29"/>
    <w:rsid w:val="00981E11"/>
    <w:rsid w:val="009A5382"/>
    <w:rsid w:val="009B36C3"/>
    <w:rsid w:val="009C534E"/>
    <w:rsid w:val="009D47AE"/>
    <w:rsid w:val="009D541A"/>
    <w:rsid w:val="009E4F8F"/>
    <w:rsid w:val="00A1564B"/>
    <w:rsid w:val="00A31318"/>
    <w:rsid w:val="00A40DF7"/>
    <w:rsid w:val="00A5194F"/>
    <w:rsid w:val="00A871D6"/>
    <w:rsid w:val="00A93A7C"/>
    <w:rsid w:val="00AA1357"/>
    <w:rsid w:val="00AB76B5"/>
    <w:rsid w:val="00AC6ADA"/>
    <w:rsid w:val="00AD0244"/>
    <w:rsid w:val="00AD6D12"/>
    <w:rsid w:val="00AE75D5"/>
    <w:rsid w:val="00AF1F83"/>
    <w:rsid w:val="00AF282C"/>
    <w:rsid w:val="00AF3FF7"/>
    <w:rsid w:val="00B04468"/>
    <w:rsid w:val="00B1491D"/>
    <w:rsid w:val="00B16C64"/>
    <w:rsid w:val="00B3530D"/>
    <w:rsid w:val="00B35D64"/>
    <w:rsid w:val="00B40C64"/>
    <w:rsid w:val="00B472D7"/>
    <w:rsid w:val="00B47B7D"/>
    <w:rsid w:val="00B545C5"/>
    <w:rsid w:val="00B65A50"/>
    <w:rsid w:val="00B664F0"/>
    <w:rsid w:val="00B82ED9"/>
    <w:rsid w:val="00BA40B9"/>
    <w:rsid w:val="00BC3044"/>
    <w:rsid w:val="00BC554A"/>
    <w:rsid w:val="00BD12E4"/>
    <w:rsid w:val="00BE4266"/>
    <w:rsid w:val="00BF25CE"/>
    <w:rsid w:val="00BF615E"/>
    <w:rsid w:val="00C02A00"/>
    <w:rsid w:val="00C03E0F"/>
    <w:rsid w:val="00C1212E"/>
    <w:rsid w:val="00C222CC"/>
    <w:rsid w:val="00C31729"/>
    <w:rsid w:val="00C52E56"/>
    <w:rsid w:val="00C5407A"/>
    <w:rsid w:val="00C55F18"/>
    <w:rsid w:val="00C660BE"/>
    <w:rsid w:val="00C662B0"/>
    <w:rsid w:val="00C67C92"/>
    <w:rsid w:val="00C73390"/>
    <w:rsid w:val="00C81429"/>
    <w:rsid w:val="00C84FD4"/>
    <w:rsid w:val="00C958EE"/>
    <w:rsid w:val="00CA29C0"/>
    <w:rsid w:val="00CB4663"/>
    <w:rsid w:val="00CB64CD"/>
    <w:rsid w:val="00CD21FB"/>
    <w:rsid w:val="00CE5CD9"/>
    <w:rsid w:val="00D0271F"/>
    <w:rsid w:val="00D20023"/>
    <w:rsid w:val="00D34634"/>
    <w:rsid w:val="00D423FE"/>
    <w:rsid w:val="00D42C4E"/>
    <w:rsid w:val="00D442E4"/>
    <w:rsid w:val="00D6112B"/>
    <w:rsid w:val="00D73D94"/>
    <w:rsid w:val="00D80EDC"/>
    <w:rsid w:val="00DA1303"/>
    <w:rsid w:val="00DA2471"/>
    <w:rsid w:val="00DA490B"/>
    <w:rsid w:val="00DB39B1"/>
    <w:rsid w:val="00DC5FB0"/>
    <w:rsid w:val="00DD4E0A"/>
    <w:rsid w:val="00DE4A00"/>
    <w:rsid w:val="00DF3843"/>
    <w:rsid w:val="00DF4F15"/>
    <w:rsid w:val="00E047D3"/>
    <w:rsid w:val="00E049D5"/>
    <w:rsid w:val="00E11544"/>
    <w:rsid w:val="00E266B7"/>
    <w:rsid w:val="00E321C5"/>
    <w:rsid w:val="00E3303F"/>
    <w:rsid w:val="00E447F1"/>
    <w:rsid w:val="00E44B9C"/>
    <w:rsid w:val="00E5772B"/>
    <w:rsid w:val="00E66C5F"/>
    <w:rsid w:val="00E67511"/>
    <w:rsid w:val="00E75BE6"/>
    <w:rsid w:val="00E7618D"/>
    <w:rsid w:val="00E82D0F"/>
    <w:rsid w:val="00E84CB6"/>
    <w:rsid w:val="00E86505"/>
    <w:rsid w:val="00E929A2"/>
    <w:rsid w:val="00E950B5"/>
    <w:rsid w:val="00EC12E5"/>
    <w:rsid w:val="00EC2F30"/>
    <w:rsid w:val="00EC6E92"/>
    <w:rsid w:val="00EC7830"/>
    <w:rsid w:val="00ED7A3C"/>
    <w:rsid w:val="00EF56CE"/>
    <w:rsid w:val="00F05879"/>
    <w:rsid w:val="00F06C86"/>
    <w:rsid w:val="00F06F5B"/>
    <w:rsid w:val="00F11F4E"/>
    <w:rsid w:val="00F2485D"/>
    <w:rsid w:val="00F33926"/>
    <w:rsid w:val="00F34239"/>
    <w:rsid w:val="00F573E9"/>
    <w:rsid w:val="00F57F27"/>
    <w:rsid w:val="00F60C61"/>
    <w:rsid w:val="00F64B52"/>
    <w:rsid w:val="00F77867"/>
    <w:rsid w:val="00F850BE"/>
    <w:rsid w:val="00F92D09"/>
    <w:rsid w:val="00FA50C8"/>
    <w:rsid w:val="00FB5291"/>
    <w:rsid w:val="00FB5E84"/>
    <w:rsid w:val="00FC5733"/>
    <w:rsid w:val="00FD226B"/>
    <w:rsid w:val="00FD5298"/>
    <w:rsid w:val="00FD76C8"/>
    <w:rsid w:val="00FF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uiPriority w:val="22"/>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4030">
      <w:bodyDiv w:val="1"/>
      <w:marLeft w:val="0"/>
      <w:marRight w:val="0"/>
      <w:marTop w:val="0"/>
      <w:marBottom w:val="0"/>
      <w:divBdr>
        <w:top w:val="none" w:sz="0" w:space="0" w:color="auto"/>
        <w:left w:val="none" w:sz="0" w:space="0" w:color="auto"/>
        <w:bottom w:val="none" w:sz="0" w:space="0" w:color="auto"/>
        <w:right w:val="none" w:sz="0" w:space="0" w:color="auto"/>
      </w:divBdr>
    </w:div>
    <w:div w:id="1516922840">
      <w:bodyDiv w:val="1"/>
      <w:marLeft w:val="0"/>
      <w:marRight w:val="0"/>
      <w:marTop w:val="0"/>
      <w:marBottom w:val="0"/>
      <w:divBdr>
        <w:top w:val="none" w:sz="0" w:space="0" w:color="auto"/>
        <w:left w:val="none" w:sz="0" w:space="0" w:color="auto"/>
        <w:bottom w:val="none" w:sz="0" w:space="0" w:color="auto"/>
        <w:right w:val="none" w:sz="0" w:space="0" w:color="auto"/>
      </w:divBdr>
      <w:divsChild>
        <w:div w:id="1874339498">
          <w:marLeft w:val="0"/>
          <w:marRight w:val="0"/>
          <w:marTop w:val="0"/>
          <w:marBottom w:val="0"/>
          <w:divBdr>
            <w:top w:val="none" w:sz="0" w:space="0" w:color="auto"/>
            <w:left w:val="none" w:sz="0" w:space="0" w:color="auto"/>
            <w:bottom w:val="none" w:sz="0" w:space="0" w:color="auto"/>
            <w:right w:val="none" w:sz="0" w:space="0" w:color="auto"/>
          </w:divBdr>
          <w:divsChild>
            <w:div w:id="1946040207">
              <w:marLeft w:val="0"/>
              <w:marRight w:val="0"/>
              <w:marTop w:val="0"/>
              <w:marBottom w:val="0"/>
              <w:divBdr>
                <w:top w:val="none" w:sz="0" w:space="0" w:color="auto"/>
                <w:left w:val="none" w:sz="0" w:space="0" w:color="auto"/>
                <w:bottom w:val="none" w:sz="0" w:space="0" w:color="auto"/>
                <w:right w:val="none" w:sz="0" w:space="0" w:color="auto"/>
              </w:divBdr>
              <w:divsChild>
                <w:div w:id="1170874523">
                  <w:marLeft w:val="0"/>
                  <w:marRight w:val="0"/>
                  <w:marTop w:val="0"/>
                  <w:marBottom w:val="0"/>
                  <w:divBdr>
                    <w:top w:val="none" w:sz="0" w:space="0" w:color="auto"/>
                    <w:left w:val="none" w:sz="0" w:space="0" w:color="auto"/>
                    <w:bottom w:val="none" w:sz="0" w:space="0" w:color="auto"/>
                    <w:right w:val="none" w:sz="0" w:space="0" w:color="auto"/>
                  </w:divBdr>
                  <w:divsChild>
                    <w:div w:id="157965277">
                      <w:marLeft w:val="0"/>
                      <w:marRight w:val="0"/>
                      <w:marTop w:val="0"/>
                      <w:marBottom w:val="0"/>
                      <w:divBdr>
                        <w:top w:val="none" w:sz="0" w:space="0" w:color="auto"/>
                        <w:left w:val="none" w:sz="0" w:space="0" w:color="auto"/>
                        <w:bottom w:val="none" w:sz="0" w:space="0" w:color="auto"/>
                        <w:right w:val="none" w:sz="0" w:space="0" w:color="auto"/>
                      </w:divBdr>
                      <w:divsChild>
                        <w:div w:id="1376659782">
                          <w:marLeft w:val="0"/>
                          <w:marRight w:val="0"/>
                          <w:marTop w:val="0"/>
                          <w:marBottom w:val="0"/>
                          <w:divBdr>
                            <w:top w:val="none" w:sz="0" w:space="0" w:color="auto"/>
                            <w:left w:val="none" w:sz="0" w:space="0" w:color="auto"/>
                            <w:bottom w:val="none" w:sz="0" w:space="0" w:color="auto"/>
                            <w:right w:val="none" w:sz="0" w:space="0" w:color="auto"/>
                          </w:divBdr>
                          <w:divsChild>
                            <w:div w:id="783692966">
                              <w:marLeft w:val="0"/>
                              <w:marRight w:val="0"/>
                              <w:marTop w:val="0"/>
                              <w:marBottom w:val="0"/>
                              <w:divBdr>
                                <w:top w:val="none" w:sz="0" w:space="0" w:color="auto"/>
                                <w:left w:val="none" w:sz="0" w:space="0" w:color="auto"/>
                                <w:bottom w:val="none" w:sz="0" w:space="0" w:color="auto"/>
                                <w:right w:val="none" w:sz="0" w:space="0" w:color="auto"/>
                              </w:divBdr>
                              <w:divsChild>
                                <w:div w:id="1222013801">
                                  <w:marLeft w:val="0"/>
                                  <w:marRight w:val="0"/>
                                  <w:marTop w:val="0"/>
                                  <w:marBottom w:val="0"/>
                                  <w:divBdr>
                                    <w:top w:val="none" w:sz="0" w:space="0" w:color="auto"/>
                                    <w:left w:val="none" w:sz="0" w:space="0" w:color="auto"/>
                                    <w:bottom w:val="none" w:sz="0" w:space="0" w:color="auto"/>
                                    <w:right w:val="none" w:sz="0" w:space="0" w:color="auto"/>
                                  </w:divBdr>
                                  <w:divsChild>
                                    <w:div w:id="71897208">
                                      <w:marLeft w:val="0"/>
                                      <w:marRight w:val="0"/>
                                      <w:marTop w:val="0"/>
                                      <w:marBottom w:val="0"/>
                                      <w:divBdr>
                                        <w:top w:val="none" w:sz="0" w:space="0" w:color="auto"/>
                                        <w:left w:val="none" w:sz="0" w:space="0" w:color="auto"/>
                                        <w:bottom w:val="none" w:sz="0" w:space="0" w:color="auto"/>
                                        <w:right w:val="none" w:sz="0" w:space="0" w:color="auto"/>
                                      </w:divBdr>
                                      <w:divsChild>
                                        <w:div w:id="732853953">
                                          <w:marLeft w:val="0"/>
                                          <w:marRight w:val="0"/>
                                          <w:marTop w:val="0"/>
                                          <w:marBottom w:val="0"/>
                                          <w:divBdr>
                                            <w:top w:val="none" w:sz="0" w:space="0" w:color="auto"/>
                                            <w:left w:val="none" w:sz="0" w:space="0" w:color="auto"/>
                                            <w:bottom w:val="none" w:sz="0" w:space="0" w:color="auto"/>
                                            <w:right w:val="none" w:sz="0" w:space="0" w:color="auto"/>
                                          </w:divBdr>
                                          <w:divsChild>
                                            <w:div w:id="1320841365">
                                              <w:marLeft w:val="0"/>
                                              <w:marRight w:val="0"/>
                                              <w:marTop w:val="0"/>
                                              <w:marBottom w:val="0"/>
                                              <w:divBdr>
                                                <w:top w:val="none" w:sz="0" w:space="0" w:color="auto"/>
                                                <w:left w:val="none" w:sz="0" w:space="0" w:color="auto"/>
                                                <w:bottom w:val="none" w:sz="0" w:space="0" w:color="auto"/>
                                                <w:right w:val="none" w:sz="0" w:space="0" w:color="auto"/>
                                              </w:divBdr>
                                              <w:divsChild>
                                                <w:div w:id="630592072">
                                                  <w:marLeft w:val="0"/>
                                                  <w:marRight w:val="0"/>
                                                  <w:marTop w:val="0"/>
                                                  <w:marBottom w:val="0"/>
                                                  <w:divBdr>
                                                    <w:top w:val="none" w:sz="0" w:space="0" w:color="auto"/>
                                                    <w:left w:val="none" w:sz="0" w:space="0" w:color="auto"/>
                                                    <w:bottom w:val="none" w:sz="0" w:space="0" w:color="auto"/>
                                                    <w:right w:val="none" w:sz="0" w:space="0" w:color="auto"/>
                                                  </w:divBdr>
                                                  <w:divsChild>
                                                    <w:div w:id="6272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pps.fastcase.com/Research/Pages/Document.aspx?LTID=Jj%2bBGR1WYN8CBqAEMMiqVoIwiUZiOK0WielTiRb6gmeGTBWhrrbHnViAWcPEyWieWkXpUnUmlLJZaTETLUN2qEz8VJBzZwFsCWbGm8xQWKvJ1Tjq%2fVKmg1jNchTtw8P%2bXhvkTT%2bFaduiHy9WFwP8NF%2bwlUEkv2L%2bfeiSS1mro2InfX1VwbO0PKgJqMA5EFqQMBeyqM4O%2byF8K15qGXc7lQ%3d%3d&amp;ECF=191+L.Ed.2d+35+(2015)" TargetMode="External"/><Relationship Id="rId1" Type="http://schemas.openxmlformats.org/officeDocument/2006/relationships/hyperlink" Target="https://apps.fastcase.com/Research/Pages/Document.aspx?LTID=Jj%2bBGR1WYN8CBqAEMMiqVoIwiUZiOK0WielTiRb6gmeGTBWhrrbHnViAWcPEyWieWkXpUnUmlLJZaTETLUN2qEz8VJBzZwFsCWbGm8xQWKvJ1Tjq%2fVKmg1jNchTtw8P%2bXhvkTT%2bFaduiHy9WFwP8NF%2bwlUEkv2L%2bfeiSS1mro2InfX1VwbO0PKgJqMA5EFqQMBeyqM4O%2byF8K15qGXc7lQ%3d%3d&amp;ECF=135+S.Ct.+1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41F48-BB12-46F1-84E0-CD974A6B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88</TotalTime>
  <Pages>14</Pages>
  <Words>2833</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30</cp:revision>
  <cp:lastPrinted>2018-04-10T20:02:00Z</cp:lastPrinted>
  <dcterms:created xsi:type="dcterms:W3CDTF">2018-05-07T18:08:00Z</dcterms:created>
  <dcterms:modified xsi:type="dcterms:W3CDTF">2018-05-18T21:16:00Z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