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r w:rsidR="00E95363">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w:t>
            </w:r>
            <w:r w:rsidR="00387ADC">
              <w:rPr>
                <w:b/>
                <w:sz w:val="28"/>
                <w:szCs w:val="28"/>
              </w:rPr>
              <w:t xml:space="preserve">TO AMEND RULE 43 </w:t>
            </w:r>
            <w:r w:rsidR="009F2B92">
              <w:rPr>
                <w:b/>
                <w:sz w:val="28"/>
                <w:szCs w:val="28"/>
              </w:rPr>
              <w:t>OF THE ARIZONA RULES OF THE SUPREME COURT</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387ADC">
              <w:rPr>
                <w:sz w:val="28"/>
                <w:szCs w:val="28"/>
              </w:rPr>
              <w:t>17-0044</w:t>
            </w:r>
          </w:p>
          <w:p w:rsidR="009B654F" w:rsidRDefault="007E3CCB" w:rsidP="000F7A7F">
            <w:pPr>
              <w:pStyle w:val="Caption"/>
              <w:tabs>
                <w:tab w:val="left" w:pos="1238"/>
              </w:tabs>
              <w:spacing w:line="260" w:lineRule="exact"/>
              <w:ind w:right="115"/>
              <w:jc w:val="center"/>
              <w:rPr>
                <w:b/>
                <w:sz w:val="28"/>
                <w:szCs w:val="28"/>
              </w:rPr>
            </w:pPr>
            <w:r w:rsidRPr="00E95363">
              <w:rPr>
                <w:b/>
                <w:sz w:val="28"/>
                <w:szCs w:val="28"/>
              </w:rPr>
              <w:t>COMMENT</w:t>
            </w:r>
            <w:r w:rsidR="00387ADC" w:rsidRPr="00E95363">
              <w:rPr>
                <w:b/>
                <w:sz w:val="28"/>
                <w:szCs w:val="28"/>
              </w:rPr>
              <w:t xml:space="preserve"> OF THE </w:t>
            </w:r>
          </w:p>
          <w:p w:rsidR="00357F4D" w:rsidRPr="006F63FD" w:rsidRDefault="00387ADC" w:rsidP="000F7A7F">
            <w:pPr>
              <w:pStyle w:val="Caption"/>
              <w:tabs>
                <w:tab w:val="left" w:pos="1238"/>
              </w:tabs>
              <w:spacing w:line="260" w:lineRule="exact"/>
              <w:ind w:right="115"/>
              <w:jc w:val="center"/>
              <w:rPr>
                <w:b/>
                <w:sz w:val="28"/>
                <w:szCs w:val="28"/>
              </w:rPr>
            </w:pPr>
            <w:bookmarkStart w:id="2" w:name="_GoBack"/>
            <w:bookmarkEnd w:id="2"/>
            <w:r w:rsidRPr="00E95363">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9F2B92" w:rsidRDefault="00E95363" w:rsidP="006766BF">
      <w:pPr>
        <w:pStyle w:val="Body"/>
        <w:widowControl w:val="0"/>
        <w:spacing w:line="480" w:lineRule="auto"/>
        <w:ind w:firstLine="720"/>
        <w:jc w:val="both"/>
        <w:rPr>
          <w:sz w:val="28"/>
          <w:szCs w:val="28"/>
        </w:rPr>
      </w:pPr>
      <w:r>
        <w:rPr>
          <w:sz w:val="28"/>
          <w:szCs w:val="28"/>
        </w:rPr>
        <w:t>The P</w:t>
      </w:r>
      <w:r w:rsidR="009F2B92">
        <w:rPr>
          <w:sz w:val="28"/>
          <w:szCs w:val="28"/>
        </w:rPr>
        <w:t xml:space="preserve">etition requests </w:t>
      </w:r>
      <w:r w:rsidR="000C14E7">
        <w:rPr>
          <w:sz w:val="28"/>
          <w:szCs w:val="28"/>
        </w:rPr>
        <w:t xml:space="preserve">several </w:t>
      </w:r>
      <w:r w:rsidR="009F2B92">
        <w:rPr>
          <w:sz w:val="28"/>
          <w:szCs w:val="28"/>
        </w:rPr>
        <w:t>changes to Rule 43 that would:</w:t>
      </w:r>
    </w:p>
    <w:p w:rsidR="009F2B92" w:rsidRDefault="009F2B92" w:rsidP="009F2B92">
      <w:pPr>
        <w:pStyle w:val="Body"/>
        <w:widowControl w:val="0"/>
        <w:numPr>
          <w:ilvl w:val="0"/>
          <w:numId w:val="15"/>
        </w:numPr>
        <w:spacing w:line="480" w:lineRule="auto"/>
        <w:jc w:val="both"/>
        <w:rPr>
          <w:sz w:val="28"/>
          <w:szCs w:val="28"/>
        </w:rPr>
      </w:pPr>
      <w:r>
        <w:rPr>
          <w:sz w:val="28"/>
          <w:szCs w:val="28"/>
        </w:rPr>
        <w:t>Encourage lawyers to obtain overdraft protection for all trust accounts (Rule 43(a));</w:t>
      </w:r>
    </w:p>
    <w:p w:rsidR="009F2B92" w:rsidRDefault="009F2B92" w:rsidP="009F2B92">
      <w:pPr>
        <w:pStyle w:val="Body"/>
        <w:widowControl w:val="0"/>
        <w:numPr>
          <w:ilvl w:val="0"/>
          <w:numId w:val="15"/>
        </w:numPr>
        <w:spacing w:line="480" w:lineRule="auto"/>
        <w:jc w:val="both"/>
        <w:rPr>
          <w:sz w:val="28"/>
          <w:szCs w:val="28"/>
        </w:rPr>
      </w:pPr>
      <w:r>
        <w:rPr>
          <w:sz w:val="28"/>
          <w:szCs w:val="28"/>
        </w:rPr>
        <w:t xml:space="preserve">Eliminate the requirement for a monthly three-way reconciliation of the client ledgers, trust account general ledger or register, and the trust account bank statement (Rule 43(b)(2)); </w:t>
      </w:r>
    </w:p>
    <w:p w:rsidR="009F2B92" w:rsidRDefault="009F2B92" w:rsidP="009F2B92">
      <w:pPr>
        <w:pStyle w:val="Body"/>
        <w:widowControl w:val="0"/>
        <w:numPr>
          <w:ilvl w:val="0"/>
          <w:numId w:val="15"/>
        </w:numPr>
        <w:spacing w:line="480" w:lineRule="auto"/>
        <w:jc w:val="both"/>
        <w:rPr>
          <w:sz w:val="28"/>
          <w:szCs w:val="28"/>
        </w:rPr>
      </w:pPr>
      <w:r>
        <w:rPr>
          <w:sz w:val="28"/>
          <w:szCs w:val="28"/>
        </w:rPr>
        <w:lastRenderedPageBreak/>
        <w:t xml:space="preserve">Add a section providing a five-business-day grace period during which a lawyer would be able to remedy an overdraft of the client’s trust account, and permit a Bar investigation only in the event that the lawyer exceeded that time period; </w:t>
      </w:r>
    </w:p>
    <w:p w:rsidR="009F2B92" w:rsidRDefault="009F2B92" w:rsidP="009F2B92">
      <w:pPr>
        <w:pStyle w:val="Body"/>
        <w:widowControl w:val="0"/>
        <w:numPr>
          <w:ilvl w:val="0"/>
          <w:numId w:val="15"/>
        </w:numPr>
        <w:spacing w:line="480" w:lineRule="auto"/>
        <w:jc w:val="both"/>
        <w:rPr>
          <w:sz w:val="28"/>
          <w:szCs w:val="28"/>
        </w:rPr>
      </w:pPr>
      <w:r>
        <w:rPr>
          <w:sz w:val="28"/>
          <w:szCs w:val="28"/>
        </w:rPr>
        <w:t>Permit a disciplinary investigation or further proceedings only if</w:t>
      </w:r>
      <w:r w:rsidR="000C14E7">
        <w:rPr>
          <w:sz w:val="28"/>
          <w:szCs w:val="28"/>
        </w:rPr>
        <w:t xml:space="preserve"> the lawyer does not provide</w:t>
      </w:r>
      <w:r>
        <w:rPr>
          <w:sz w:val="28"/>
          <w:szCs w:val="28"/>
        </w:rPr>
        <w:t xml:space="preserve"> a “satisfactory </w:t>
      </w:r>
      <w:r w:rsidR="000C14E7">
        <w:rPr>
          <w:sz w:val="28"/>
          <w:szCs w:val="28"/>
        </w:rPr>
        <w:t>explanation” of the overdraft</w:t>
      </w:r>
      <w:r>
        <w:rPr>
          <w:sz w:val="28"/>
          <w:szCs w:val="28"/>
        </w:rPr>
        <w:t xml:space="preserve">; </w:t>
      </w:r>
    </w:p>
    <w:p w:rsidR="00CE44A7" w:rsidRDefault="009F2B92" w:rsidP="00CE44A7">
      <w:pPr>
        <w:pStyle w:val="Body"/>
        <w:widowControl w:val="0"/>
        <w:numPr>
          <w:ilvl w:val="0"/>
          <w:numId w:val="15"/>
        </w:numPr>
        <w:spacing w:line="480" w:lineRule="auto"/>
        <w:jc w:val="both"/>
        <w:rPr>
          <w:sz w:val="28"/>
          <w:szCs w:val="28"/>
        </w:rPr>
      </w:pPr>
      <w:r>
        <w:rPr>
          <w:sz w:val="28"/>
          <w:szCs w:val="28"/>
        </w:rPr>
        <w:t xml:space="preserve">Require the automatic suspension of a lawyer’s license if the overdraft </w:t>
      </w:r>
      <w:r w:rsidR="000C14E7">
        <w:rPr>
          <w:sz w:val="28"/>
          <w:szCs w:val="28"/>
        </w:rPr>
        <w:t>is</w:t>
      </w:r>
      <w:r>
        <w:rPr>
          <w:sz w:val="28"/>
          <w:szCs w:val="28"/>
        </w:rPr>
        <w:t xml:space="preserve"> not remedied for over 10 business days, </w:t>
      </w:r>
      <w:r w:rsidR="000C14E7">
        <w:rPr>
          <w:sz w:val="28"/>
          <w:szCs w:val="28"/>
        </w:rPr>
        <w:t>to be lifted only when the overdraft i</w:t>
      </w:r>
      <w:r w:rsidR="00CE44A7">
        <w:rPr>
          <w:sz w:val="28"/>
          <w:szCs w:val="28"/>
        </w:rPr>
        <w:t>s remedied;</w:t>
      </w:r>
    </w:p>
    <w:p w:rsidR="00CE44A7" w:rsidRDefault="000C14E7" w:rsidP="00CE44A7">
      <w:pPr>
        <w:pStyle w:val="Body"/>
        <w:widowControl w:val="0"/>
        <w:numPr>
          <w:ilvl w:val="0"/>
          <w:numId w:val="15"/>
        </w:numPr>
        <w:spacing w:line="480" w:lineRule="auto"/>
        <w:jc w:val="both"/>
        <w:rPr>
          <w:sz w:val="28"/>
          <w:szCs w:val="28"/>
        </w:rPr>
      </w:pPr>
      <w:r>
        <w:rPr>
          <w:sz w:val="28"/>
          <w:szCs w:val="28"/>
        </w:rPr>
        <w:t>Require a 10-business-</w:t>
      </w:r>
      <w:r w:rsidR="00CE44A7">
        <w:rPr>
          <w:sz w:val="28"/>
          <w:szCs w:val="28"/>
        </w:rPr>
        <w:t xml:space="preserve">day waiting period before disbursements could be made from deposits over $5,000; and </w:t>
      </w:r>
    </w:p>
    <w:p w:rsidR="00CE44A7" w:rsidRPr="00CE44A7" w:rsidRDefault="00CE44A7" w:rsidP="00CE44A7">
      <w:pPr>
        <w:pStyle w:val="Body"/>
        <w:widowControl w:val="0"/>
        <w:numPr>
          <w:ilvl w:val="0"/>
          <w:numId w:val="15"/>
        </w:numPr>
        <w:spacing w:line="480" w:lineRule="auto"/>
        <w:jc w:val="both"/>
        <w:rPr>
          <w:sz w:val="28"/>
          <w:szCs w:val="28"/>
        </w:rPr>
      </w:pPr>
      <w:r>
        <w:rPr>
          <w:sz w:val="28"/>
          <w:szCs w:val="28"/>
        </w:rPr>
        <w:t>Eliminate language from Rule 43(d) that contemplates trust account examinations when information comes to the Bar relating to trust account management.</w:t>
      </w:r>
    </w:p>
    <w:p w:rsidR="009F2B92" w:rsidRDefault="00CE44A7" w:rsidP="00CE44A7">
      <w:pPr>
        <w:pStyle w:val="Body"/>
        <w:widowControl w:val="0"/>
        <w:spacing w:line="480" w:lineRule="auto"/>
        <w:ind w:firstLine="0"/>
        <w:jc w:val="both"/>
        <w:rPr>
          <w:sz w:val="28"/>
          <w:szCs w:val="28"/>
        </w:rPr>
      </w:pPr>
      <w:r>
        <w:rPr>
          <w:sz w:val="28"/>
          <w:szCs w:val="28"/>
        </w:rPr>
        <w:tab/>
        <w:t xml:space="preserve">Because the proposal is antithetical to the basic tenets relating to client trust accounts, including that the funds contained therein belong to the client and not the lawyer; that the lawyer has a fiduciary duty to preserve and appropriately manage those entrusted funds; and that the protection of the client is the paramount concern, not the protection of the lawyer or insulation of the lawyer from inquiry, the State </w:t>
      </w:r>
      <w:r w:rsidR="00E95363">
        <w:rPr>
          <w:sz w:val="28"/>
          <w:szCs w:val="28"/>
        </w:rPr>
        <w:lastRenderedPageBreak/>
        <w:t>Bar requests that the P</w:t>
      </w:r>
      <w:r>
        <w:rPr>
          <w:sz w:val="28"/>
          <w:szCs w:val="28"/>
        </w:rPr>
        <w:t>etition be denied.</w:t>
      </w:r>
    </w:p>
    <w:p w:rsidR="00CE44A7" w:rsidRDefault="00CE44A7" w:rsidP="00CE44A7">
      <w:pPr>
        <w:pStyle w:val="Body"/>
        <w:widowControl w:val="0"/>
        <w:spacing w:line="480" w:lineRule="auto"/>
        <w:ind w:firstLine="0"/>
        <w:jc w:val="center"/>
        <w:rPr>
          <w:b/>
          <w:sz w:val="28"/>
          <w:szCs w:val="28"/>
        </w:rPr>
      </w:pPr>
      <w:r>
        <w:rPr>
          <w:b/>
          <w:sz w:val="28"/>
          <w:szCs w:val="28"/>
        </w:rPr>
        <w:t>DISCUSSION</w:t>
      </w:r>
    </w:p>
    <w:p w:rsidR="00CE44A7" w:rsidRDefault="00CE44A7" w:rsidP="00CE44A7">
      <w:pPr>
        <w:pStyle w:val="Body"/>
        <w:widowControl w:val="0"/>
        <w:spacing w:line="480" w:lineRule="auto"/>
        <w:ind w:firstLine="0"/>
        <w:jc w:val="both"/>
        <w:rPr>
          <w:sz w:val="28"/>
          <w:szCs w:val="28"/>
        </w:rPr>
      </w:pPr>
      <w:r>
        <w:rPr>
          <w:b/>
          <w:sz w:val="28"/>
          <w:szCs w:val="28"/>
        </w:rPr>
        <w:tab/>
      </w:r>
      <w:r>
        <w:rPr>
          <w:sz w:val="28"/>
          <w:szCs w:val="28"/>
        </w:rPr>
        <w:t xml:space="preserve">Rule 43 creates reasonable and strong measures of accountability to which lawyers holding the funds of clients and third parties or persons must adhere.  The underlying construct is that </w:t>
      </w:r>
      <w:r w:rsidR="00D146E0">
        <w:rPr>
          <w:sz w:val="28"/>
          <w:szCs w:val="28"/>
        </w:rPr>
        <w:t xml:space="preserve">because </w:t>
      </w:r>
      <w:r>
        <w:rPr>
          <w:sz w:val="28"/>
          <w:szCs w:val="28"/>
        </w:rPr>
        <w:t xml:space="preserve">the lawyer is entrusted with funds belonging to others </w:t>
      </w:r>
      <w:r w:rsidR="00D146E0">
        <w:rPr>
          <w:sz w:val="28"/>
          <w:szCs w:val="28"/>
        </w:rPr>
        <w:t>the lawyer</w:t>
      </w:r>
      <w:r>
        <w:rPr>
          <w:sz w:val="28"/>
          <w:szCs w:val="28"/>
        </w:rPr>
        <w:t xml:space="preserve"> must be scrupulous in the management of those funds.  Although these requirements exceed </w:t>
      </w:r>
      <w:r w:rsidR="000C14E7">
        <w:rPr>
          <w:sz w:val="28"/>
          <w:szCs w:val="28"/>
        </w:rPr>
        <w:t xml:space="preserve">those governing </w:t>
      </w:r>
      <w:r>
        <w:rPr>
          <w:sz w:val="28"/>
          <w:szCs w:val="28"/>
        </w:rPr>
        <w:t>the management of a lawyer’s own operating or personal checking accounts</w:t>
      </w:r>
      <w:r w:rsidR="00D146E0">
        <w:rPr>
          <w:sz w:val="28"/>
          <w:szCs w:val="28"/>
        </w:rPr>
        <w:t xml:space="preserve">, the underlying need to protect the client and third parties with interests in the funds more than justifies these additional requirements. </w:t>
      </w:r>
      <w:r w:rsidR="000F386E">
        <w:rPr>
          <w:sz w:val="28"/>
          <w:szCs w:val="28"/>
        </w:rPr>
        <w:t xml:space="preserve">  </w:t>
      </w:r>
      <w:r w:rsidR="008266FD">
        <w:rPr>
          <w:sz w:val="28"/>
          <w:szCs w:val="28"/>
        </w:rPr>
        <w:t xml:space="preserve">There requirements may be met with simple procedures to which the lawyer routinely adheres.  </w:t>
      </w:r>
      <w:r w:rsidR="000F386E">
        <w:rPr>
          <w:sz w:val="28"/>
          <w:szCs w:val="28"/>
        </w:rPr>
        <w:t xml:space="preserve">Petitioner’s </w:t>
      </w:r>
      <w:r w:rsidR="000C14E7">
        <w:rPr>
          <w:sz w:val="28"/>
          <w:szCs w:val="28"/>
        </w:rPr>
        <w:t>stated grounds for his proposal, largely based on his personal experience,</w:t>
      </w:r>
      <w:r w:rsidR="000F386E">
        <w:rPr>
          <w:sz w:val="28"/>
          <w:szCs w:val="28"/>
        </w:rPr>
        <w:t xml:space="preserve"> do not justify changes to this Rule.</w:t>
      </w:r>
    </w:p>
    <w:p w:rsidR="009266CC" w:rsidRDefault="009266CC" w:rsidP="009266CC">
      <w:pPr>
        <w:pStyle w:val="Body"/>
        <w:widowControl w:val="0"/>
        <w:numPr>
          <w:ilvl w:val="0"/>
          <w:numId w:val="16"/>
        </w:numPr>
        <w:spacing w:line="480" w:lineRule="auto"/>
        <w:jc w:val="both"/>
        <w:rPr>
          <w:sz w:val="28"/>
          <w:szCs w:val="28"/>
        </w:rPr>
      </w:pPr>
      <w:r>
        <w:rPr>
          <w:sz w:val="28"/>
          <w:szCs w:val="28"/>
        </w:rPr>
        <w:t xml:space="preserve"> Proposal for overdraft protection</w:t>
      </w:r>
    </w:p>
    <w:p w:rsidR="000F386E" w:rsidRDefault="00D146E0" w:rsidP="00CE44A7">
      <w:pPr>
        <w:pStyle w:val="Body"/>
        <w:widowControl w:val="0"/>
        <w:spacing w:line="480" w:lineRule="auto"/>
        <w:ind w:firstLine="0"/>
        <w:jc w:val="both"/>
        <w:rPr>
          <w:sz w:val="28"/>
          <w:szCs w:val="28"/>
        </w:rPr>
      </w:pPr>
      <w:r>
        <w:rPr>
          <w:sz w:val="28"/>
          <w:szCs w:val="28"/>
        </w:rPr>
        <w:tab/>
        <w:t>Peti</w:t>
      </w:r>
      <w:r w:rsidR="009266CC">
        <w:rPr>
          <w:sz w:val="28"/>
          <w:szCs w:val="28"/>
        </w:rPr>
        <w:t>tioner’s first suggested change</w:t>
      </w:r>
      <w:r>
        <w:rPr>
          <w:sz w:val="28"/>
          <w:szCs w:val="28"/>
        </w:rPr>
        <w:t xml:space="preserve">, </w:t>
      </w:r>
      <w:r w:rsidR="000C14E7">
        <w:rPr>
          <w:sz w:val="28"/>
          <w:szCs w:val="28"/>
        </w:rPr>
        <w:t>not</w:t>
      </w:r>
      <w:r w:rsidR="009266CC">
        <w:rPr>
          <w:sz w:val="28"/>
          <w:szCs w:val="28"/>
        </w:rPr>
        <w:t xml:space="preserve"> only </w:t>
      </w:r>
      <w:r w:rsidR="000C14E7">
        <w:rPr>
          <w:sz w:val="28"/>
          <w:szCs w:val="28"/>
        </w:rPr>
        <w:t xml:space="preserve">to </w:t>
      </w:r>
      <w:r>
        <w:rPr>
          <w:sz w:val="28"/>
          <w:szCs w:val="28"/>
        </w:rPr>
        <w:t xml:space="preserve">permit </w:t>
      </w:r>
      <w:r w:rsidR="009266CC">
        <w:rPr>
          <w:sz w:val="28"/>
          <w:szCs w:val="28"/>
        </w:rPr>
        <w:t>but to e</w:t>
      </w:r>
      <w:r>
        <w:rPr>
          <w:sz w:val="28"/>
          <w:szCs w:val="28"/>
        </w:rPr>
        <w:t xml:space="preserve">ncourage lawyers to obtain overdraft protection on their client </w:t>
      </w:r>
      <w:r w:rsidR="007E0CF2">
        <w:rPr>
          <w:sz w:val="28"/>
          <w:szCs w:val="28"/>
        </w:rPr>
        <w:t>trust accounts</w:t>
      </w:r>
      <w:r w:rsidR="000C14E7">
        <w:rPr>
          <w:sz w:val="28"/>
          <w:szCs w:val="28"/>
        </w:rPr>
        <w:t>,</w:t>
      </w:r>
      <w:r w:rsidR="007E0CF2">
        <w:rPr>
          <w:sz w:val="28"/>
          <w:szCs w:val="28"/>
        </w:rPr>
        <w:t xml:space="preserve"> may superficially</w:t>
      </w:r>
      <w:r>
        <w:rPr>
          <w:sz w:val="28"/>
          <w:szCs w:val="28"/>
        </w:rPr>
        <w:t xml:space="preserve"> appear to protect client funds</w:t>
      </w:r>
      <w:r w:rsidR="007E0CF2">
        <w:rPr>
          <w:sz w:val="28"/>
          <w:szCs w:val="28"/>
        </w:rPr>
        <w:t xml:space="preserve">.  In actuality, however, </w:t>
      </w:r>
      <w:r w:rsidR="000F386E">
        <w:rPr>
          <w:sz w:val="28"/>
          <w:szCs w:val="28"/>
        </w:rPr>
        <w:t>implementation of this proposal</w:t>
      </w:r>
      <w:r w:rsidR="007E0CF2">
        <w:rPr>
          <w:sz w:val="28"/>
          <w:szCs w:val="28"/>
        </w:rPr>
        <w:t xml:space="preserve"> wo</w:t>
      </w:r>
      <w:r w:rsidR="000F386E">
        <w:rPr>
          <w:sz w:val="28"/>
          <w:szCs w:val="28"/>
        </w:rPr>
        <w:t xml:space="preserve">uld create an environment where accountability would be removed.  Lawyers, confident that overdraft protection would cover up inaccurate accounting at best and conversion at worst, would have no incentive to maintain their trust accounts in compliance with the rule. </w:t>
      </w:r>
    </w:p>
    <w:p w:rsidR="00D146E0" w:rsidRDefault="000F386E" w:rsidP="00CE44A7">
      <w:pPr>
        <w:pStyle w:val="Body"/>
        <w:widowControl w:val="0"/>
        <w:spacing w:line="480" w:lineRule="auto"/>
        <w:ind w:firstLine="0"/>
        <w:jc w:val="both"/>
        <w:rPr>
          <w:sz w:val="28"/>
          <w:szCs w:val="28"/>
        </w:rPr>
      </w:pPr>
      <w:r>
        <w:rPr>
          <w:sz w:val="28"/>
          <w:szCs w:val="28"/>
        </w:rPr>
        <w:lastRenderedPageBreak/>
        <w:tab/>
        <w:t xml:space="preserve">Lawyers hold a position of trust, not only with their clients but also with the Court, with third parties with whom they interact, and with the public in general.  With that trust comes responsibility and accountability.  The public at large, and the Legislature, are increasingly demanding transparency as well as accountability. </w:t>
      </w:r>
      <w:r w:rsidR="001B1E37">
        <w:rPr>
          <w:sz w:val="28"/>
          <w:szCs w:val="28"/>
        </w:rPr>
        <w:t xml:space="preserve"> It is antithetical to the necessary level of accountability and responsibility to adopt a rule change that would permit an overdraft that last</w:t>
      </w:r>
      <w:r w:rsidR="000C14E7">
        <w:rPr>
          <w:sz w:val="28"/>
          <w:szCs w:val="28"/>
        </w:rPr>
        <w:t>s</w:t>
      </w:r>
      <w:r w:rsidR="001B1E37">
        <w:rPr>
          <w:sz w:val="28"/>
          <w:szCs w:val="28"/>
        </w:rPr>
        <w:t xml:space="preserve"> for “only a matter of days” because the lawyer has improperly disbursed uncollected funds in violation of Rule 43(b)(3).  </w:t>
      </w:r>
      <w:r w:rsidR="007E0CF2">
        <w:rPr>
          <w:sz w:val="28"/>
          <w:szCs w:val="28"/>
        </w:rPr>
        <w:t xml:space="preserve">The </w:t>
      </w:r>
      <w:r>
        <w:rPr>
          <w:sz w:val="28"/>
          <w:szCs w:val="28"/>
        </w:rPr>
        <w:t xml:space="preserve">Court’s </w:t>
      </w:r>
      <w:r w:rsidR="007E0CF2">
        <w:rPr>
          <w:sz w:val="28"/>
          <w:szCs w:val="28"/>
        </w:rPr>
        <w:t xml:space="preserve">prohibition on securing overdraft protection </w:t>
      </w:r>
      <w:r>
        <w:rPr>
          <w:sz w:val="28"/>
          <w:szCs w:val="28"/>
        </w:rPr>
        <w:t xml:space="preserve">is reasonable; it </w:t>
      </w:r>
      <w:r w:rsidR="007E0CF2">
        <w:rPr>
          <w:sz w:val="28"/>
          <w:szCs w:val="28"/>
        </w:rPr>
        <w:t xml:space="preserve">creates accountability </w:t>
      </w:r>
      <w:r w:rsidR="000C14E7">
        <w:rPr>
          <w:sz w:val="28"/>
          <w:szCs w:val="28"/>
        </w:rPr>
        <w:t xml:space="preserve">by prohibiting a </w:t>
      </w:r>
      <w:r>
        <w:rPr>
          <w:sz w:val="28"/>
          <w:szCs w:val="28"/>
        </w:rPr>
        <w:t>safety net</w:t>
      </w:r>
      <w:r w:rsidR="007E0CF2">
        <w:rPr>
          <w:sz w:val="28"/>
          <w:szCs w:val="28"/>
        </w:rPr>
        <w:t xml:space="preserve"> under which a lawyer’s error or misdeed in managing the trust account could be </w:t>
      </w:r>
      <w:r>
        <w:rPr>
          <w:sz w:val="28"/>
          <w:szCs w:val="28"/>
        </w:rPr>
        <w:t xml:space="preserve">easily </w:t>
      </w:r>
      <w:r w:rsidR="007E0CF2">
        <w:rPr>
          <w:sz w:val="28"/>
          <w:szCs w:val="28"/>
        </w:rPr>
        <w:t xml:space="preserve">hidden from scrutiny.  </w:t>
      </w:r>
    </w:p>
    <w:p w:rsidR="001B1E37" w:rsidRDefault="001B1E37" w:rsidP="001B1E37">
      <w:pPr>
        <w:pStyle w:val="Body"/>
        <w:widowControl w:val="0"/>
        <w:numPr>
          <w:ilvl w:val="0"/>
          <w:numId w:val="16"/>
        </w:numPr>
        <w:spacing w:line="480" w:lineRule="auto"/>
        <w:jc w:val="both"/>
        <w:rPr>
          <w:sz w:val="28"/>
          <w:szCs w:val="28"/>
        </w:rPr>
      </w:pPr>
      <w:r>
        <w:rPr>
          <w:sz w:val="28"/>
          <w:szCs w:val="28"/>
        </w:rPr>
        <w:t xml:space="preserve">Elimination of </w:t>
      </w:r>
      <w:r w:rsidR="008266FD">
        <w:rPr>
          <w:sz w:val="28"/>
          <w:szCs w:val="28"/>
        </w:rPr>
        <w:t xml:space="preserve">the monthly </w:t>
      </w:r>
      <w:r>
        <w:rPr>
          <w:sz w:val="28"/>
          <w:szCs w:val="28"/>
        </w:rPr>
        <w:t>three-way reconciliation</w:t>
      </w:r>
    </w:p>
    <w:p w:rsidR="001B1E37" w:rsidRDefault="001B1E37" w:rsidP="001B1E37">
      <w:pPr>
        <w:pStyle w:val="Body"/>
        <w:widowControl w:val="0"/>
        <w:spacing w:line="480" w:lineRule="auto"/>
        <w:ind w:firstLine="1080"/>
        <w:jc w:val="both"/>
        <w:rPr>
          <w:sz w:val="28"/>
          <w:szCs w:val="28"/>
        </w:rPr>
      </w:pPr>
      <w:r>
        <w:rPr>
          <w:sz w:val="28"/>
          <w:szCs w:val="28"/>
        </w:rPr>
        <w:t>The three-way reconciliation required by Rule 43(b)(2)(C) of the trust account general ledger, individual client ledgers</w:t>
      </w:r>
      <w:r w:rsidR="000C14E7">
        <w:rPr>
          <w:sz w:val="28"/>
          <w:szCs w:val="28"/>
        </w:rPr>
        <w:t>,</w:t>
      </w:r>
      <w:r>
        <w:rPr>
          <w:sz w:val="28"/>
          <w:szCs w:val="28"/>
        </w:rPr>
        <w:t xml:space="preserve"> and trust account bank statement serves as a timely and important check on the lawyer’s appropriate management of client trust accounts.  Although more complicated than reconciling a personal checking account</w:t>
      </w:r>
      <w:r w:rsidR="008266FD">
        <w:rPr>
          <w:sz w:val="28"/>
          <w:szCs w:val="28"/>
        </w:rPr>
        <w:t>, the three-way reconciliation is a logical process that may be managed by a manual process and is currently enabled in a number of practice management software solutions.</w:t>
      </w:r>
    </w:p>
    <w:p w:rsidR="008266FD" w:rsidRDefault="008266FD" w:rsidP="001B1E37">
      <w:pPr>
        <w:pStyle w:val="Body"/>
        <w:widowControl w:val="0"/>
        <w:spacing w:line="480" w:lineRule="auto"/>
        <w:ind w:firstLine="1080"/>
        <w:jc w:val="both"/>
        <w:rPr>
          <w:sz w:val="28"/>
          <w:szCs w:val="28"/>
        </w:rPr>
      </w:pPr>
      <w:r>
        <w:rPr>
          <w:sz w:val="28"/>
          <w:szCs w:val="28"/>
        </w:rPr>
        <w:t xml:space="preserve">Because lawyers may hold funds for more than one client in the trust account, the three-way reconciliation is necessary to ensure that one client’s funds </w:t>
      </w:r>
      <w:r>
        <w:rPr>
          <w:sz w:val="28"/>
          <w:szCs w:val="28"/>
        </w:rPr>
        <w:lastRenderedPageBreak/>
        <w:t>have not been converted to the use of another client, or to the lawyer.  In fact, this process may identify inadvertent errors even in the absence of an overdraft by requiring the lawyer to regularly examine their records and process.  The relatively minimal burden imposed by this double-check is more than justified considering the lawyer’s fiduciary role.</w:t>
      </w:r>
    </w:p>
    <w:p w:rsidR="008266FD" w:rsidRDefault="008266FD" w:rsidP="008266FD">
      <w:pPr>
        <w:pStyle w:val="Body"/>
        <w:widowControl w:val="0"/>
        <w:numPr>
          <w:ilvl w:val="0"/>
          <w:numId w:val="16"/>
        </w:numPr>
        <w:spacing w:line="480" w:lineRule="auto"/>
        <w:jc w:val="both"/>
        <w:rPr>
          <w:sz w:val="28"/>
          <w:szCs w:val="28"/>
        </w:rPr>
      </w:pPr>
      <w:r>
        <w:rPr>
          <w:sz w:val="28"/>
          <w:szCs w:val="28"/>
        </w:rPr>
        <w:t>Delaying overdraft reporting to the Bar</w:t>
      </w:r>
    </w:p>
    <w:p w:rsidR="008266FD" w:rsidRDefault="008266FD" w:rsidP="008266FD">
      <w:pPr>
        <w:pStyle w:val="Body"/>
        <w:widowControl w:val="0"/>
        <w:spacing w:line="480" w:lineRule="auto"/>
        <w:ind w:firstLine="1080"/>
        <w:jc w:val="both"/>
        <w:rPr>
          <w:sz w:val="28"/>
          <w:szCs w:val="28"/>
        </w:rPr>
      </w:pPr>
      <w:r>
        <w:rPr>
          <w:sz w:val="28"/>
          <w:szCs w:val="28"/>
        </w:rPr>
        <w:t>Petitioner proposes a course of events that would gi</w:t>
      </w:r>
      <w:r w:rsidR="000C14E7">
        <w:rPr>
          <w:sz w:val="28"/>
          <w:szCs w:val="28"/>
        </w:rPr>
        <w:t>ve a lawyer five business days (</w:t>
      </w:r>
      <w:r>
        <w:rPr>
          <w:sz w:val="28"/>
          <w:szCs w:val="28"/>
        </w:rPr>
        <w:t xml:space="preserve">potentially as much </w:t>
      </w:r>
      <w:r w:rsidR="000C14E7">
        <w:rPr>
          <w:sz w:val="28"/>
          <w:szCs w:val="28"/>
        </w:rPr>
        <w:t>as seven or eight calendar days)</w:t>
      </w:r>
      <w:r>
        <w:rPr>
          <w:sz w:val="28"/>
          <w:szCs w:val="28"/>
        </w:rPr>
        <w:t xml:space="preserve"> to remedy an overdraft before the Bar</w:t>
      </w:r>
      <w:r w:rsidR="008B764E">
        <w:rPr>
          <w:sz w:val="28"/>
          <w:szCs w:val="28"/>
        </w:rPr>
        <w:t xml:space="preserve"> is notified.</w:t>
      </w:r>
      <w:r>
        <w:rPr>
          <w:sz w:val="28"/>
          <w:szCs w:val="28"/>
        </w:rPr>
        <w:t xml:space="preserve"> </w:t>
      </w:r>
      <w:r w:rsidR="008B764E">
        <w:rPr>
          <w:sz w:val="28"/>
          <w:szCs w:val="28"/>
        </w:rPr>
        <w:t xml:space="preserve">The Bar is </w:t>
      </w:r>
      <w:r>
        <w:rPr>
          <w:sz w:val="28"/>
          <w:szCs w:val="28"/>
        </w:rPr>
        <w:t>charged by the Court with the regulation of lawyers for the</w:t>
      </w:r>
      <w:r w:rsidR="008B764E">
        <w:rPr>
          <w:sz w:val="28"/>
          <w:szCs w:val="28"/>
        </w:rPr>
        <w:t xml:space="preserve"> protection of the public</w:t>
      </w:r>
      <w:r>
        <w:rPr>
          <w:sz w:val="28"/>
          <w:szCs w:val="28"/>
        </w:rPr>
        <w:t>.  It goes without saying that if the lawyer is appropriately maintaining the client trust account, an overdraft should</w:t>
      </w:r>
      <w:r w:rsidR="00727B8D">
        <w:rPr>
          <w:sz w:val="28"/>
          <w:szCs w:val="28"/>
        </w:rPr>
        <w:t xml:space="preserve"> not occur. I</w:t>
      </w:r>
      <w:r>
        <w:rPr>
          <w:sz w:val="28"/>
          <w:szCs w:val="28"/>
        </w:rPr>
        <w:t xml:space="preserve">f despite accurately maintaining trust account records an overdraft does occur, that serves as a red flag that there is some problem with the internal controls used by the </w:t>
      </w:r>
      <w:r w:rsidR="00727B8D">
        <w:rPr>
          <w:sz w:val="28"/>
          <w:szCs w:val="28"/>
        </w:rPr>
        <w:t>lawyer.  In fact, an inadvertent error that creates an overdraft does not typically lead to the imposition of a disciplinary sanction.  It more commonly leads to the issuance of an instructional comment accompanying a dismissal of the bar charge, or to diversion if some additional hands-on or educational assistance is required.</w:t>
      </w:r>
    </w:p>
    <w:p w:rsidR="00727B8D" w:rsidRDefault="00727B8D" w:rsidP="008266FD">
      <w:pPr>
        <w:pStyle w:val="Body"/>
        <w:widowControl w:val="0"/>
        <w:spacing w:line="480" w:lineRule="auto"/>
        <w:ind w:firstLine="1080"/>
        <w:jc w:val="both"/>
        <w:rPr>
          <w:sz w:val="28"/>
          <w:szCs w:val="28"/>
        </w:rPr>
      </w:pPr>
      <w:r>
        <w:rPr>
          <w:sz w:val="28"/>
          <w:szCs w:val="28"/>
        </w:rPr>
        <w:t xml:space="preserve">It is expected that lawyers do not relish notification by the Lawyer Regulation Office of the State Bar that they have received an overdraft notice.  This </w:t>
      </w:r>
      <w:r>
        <w:rPr>
          <w:sz w:val="28"/>
          <w:szCs w:val="28"/>
        </w:rPr>
        <w:lastRenderedPageBreak/>
        <w:t>is not a sufficient reason, however, to create a system whereby notice to the Bar is delayed, during which time the problems with the trust account may increase, through ignorance or due to more nefarious conduct.</w:t>
      </w:r>
    </w:p>
    <w:p w:rsidR="00727B8D" w:rsidRDefault="00727B8D" w:rsidP="008266FD">
      <w:pPr>
        <w:pStyle w:val="Body"/>
        <w:widowControl w:val="0"/>
        <w:spacing w:line="480" w:lineRule="auto"/>
        <w:ind w:firstLine="1080"/>
        <w:jc w:val="both"/>
        <w:rPr>
          <w:sz w:val="28"/>
          <w:szCs w:val="28"/>
        </w:rPr>
      </w:pPr>
      <w:r>
        <w:rPr>
          <w:sz w:val="28"/>
          <w:szCs w:val="28"/>
        </w:rPr>
        <w:t>Rule 43 already provides for summary suspension for non-compliance with the trust accounting rules (Rule 43 (h)), so Petitioner’s suggestion of an automatic suspension pending the remedy of the overdraft is unnecessary.  In fact, Petitioner’s proposal provides less notice to the lawyer than currently exists under the rule, which gives the lawyer 30-day notice of a pending suspension.</w:t>
      </w:r>
    </w:p>
    <w:p w:rsidR="00162CAA" w:rsidRDefault="00162CAA" w:rsidP="00162CAA">
      <w:pPr>
        <w:pStyle w:val="Body"/>
        <w:widowControl w:val="0"/>
        <w:numPr>
          <w:ilvl w:val="0"/>
          <w:numId w:val="16"/>
        </w:numPr>
        <w:spacing w:line="480" w:lineRule="auto"/>
        <w:jc w:val="both"/>
        <w:rPr>
          <w:sz w:val="28"/>
          <w:szCs w:val="28"/>
        </w:rPr>
      </w:pPr>
      <w:r>
        <w:rPr>
          <w:sz w:val="28"/>
          <w:szCs w:val="28"/>
        </w:rPr>
        <w:t>Waiting period for disbursement based on deposits over $5,000</w:t>
      </w:r>
    </w:p>
    <w:p w:rsidR="00162CAA" w:rsidRDefault="00162CAA" w:rsidP="00162CAA">
      <w:pPr>
        <w:pStyle w:val="Body"/>
        <w:widowControl w:val="0"/>
        <w:spacing w:line="480" w:lineRule="auto"/>
        <w:ind w:firstLine="1080"/>
        <w:jc w:val="both"/>
        <w:rPr>
          <w:sz w:val="28"/>
          <w:szCs w:val="28"/>
        </w:rPr>
      </w:pPr>
      <w:r>
        <w:rPr>
          <w:sz w:val="28"/>
          <w:szCs w:val="28"/>
        </w:rPr>
        <w:t>Rule 43(b</w:t>
      </w:r>
      <w:proofErr w:type="gramStart"/>
      <w:r>
        <w:rPr>
          <w:sz w:val="28"/>
          <w:szCs w:val="28"/>
        </w:rPr>
        <w:t>)(</w:t>
      </w:r>
      <w:proofErr w:type="gramEnd"/>
      <w:r>
        <w:rPr>
          <w:sz w:val="28"/>
          <w:szCs w:val="28"/>
        </w:rPr>
        <w:t xml:space="preserve">4) already restricts disbursement of funds of any amount based on uncollected funds, with </w:t>
      </w:r>
      <w:r w:rsidR="008C2B9D">
        <w:rPr>
          <w:sz w:val="28"/>
          <w:szCs w:val="28"/>
        </w:rPr>
        <w:t>exceptions for limited risk deposits</w:t>
      </w:r>
      <w:r>
        <w:rPr>
          <w:sz w:val="28"/>
          <w:szCs w:val="28"/>
        </w:rPr>
        <w:t>.  Petitioner’s proposal to eliminate that restriction for amounts under $5,000 is logically inconsistent with the purp</w:t>
      </w:r>
      <w:r w:rsidR="000C14E7">
        <w:rPr>
          <w:sz w:val="28"/>
          <w:szCs w:val="28"/>
        </w:rPr>
        <w:t>oses of the rule—</w:t>
      </w:r>
      <w:r>
        <w:rPr>
          <w:sz w:val="28"/>
          <w:szCs w:val="28"/>
        </w:rPr>
        <w:t>to ensure that funds are appropriately accounted for and that other funds in the trust account are not converted in the event the funds are not, or cannot be, collected.</w:t>
      </w:r>
      <w:r w:rsidR="005E1D70">
        <w:rPr>
          <w:sz w:val="28"/>
          <w:szCs w:val="28"/>
        </w:rPr>
        <w:t xml:space="preserve">  As noted in Rule 43(b</w:t>
      </w:r>
      <w:proofErr w:type="gramStart"/>
      <w:r w:rsidR="005E1D70">
        <w:rPr>
          <w:sz w:val="28"/>
          <w:szCs w:val="28"/>
        </w:rPr>
        <w:t>)(</w:t>
      </w:r>
      <w:proofErr w:type="gramEnd"/>
      <w:r w:rsidR="005E1D70">
        <w:rPr>
          <w:sz w:val="28"/>
          <w:szCs w:val="28"/>
        </w:rPr>
        <w:t>4)(A), even disbursements based on limited risk deposits before funds are collected are at the</w:t>
      </w:r>
      <w:r w:rsidR="00CB4C05">
        <w:rPr>
          <w:sz w:val="28"/>
          <w:szCs w:val="28"/>
        </w:rPr>
        <w:t xml:space="preserve"> risk of the lawyer.  The proposed change puts even greater risk on the lawyer by permitting disbursements on uncollected funds under $5,000.</w:t>
      </w:r>
    </w:p>
    <w:p w:rsidR="00CB4C05" w:rsidRDefault="00CB4C05" w:rsidP="00CB4C05">
      <w:pPr>
        <w:pStyle w:val="Body"/>
        <w:widowControl w:val="0"/>
        <w:numPr>
          <w:ilvl w:val="0"/>
          <w:numId w:val="16"/>
        </w:numPr>
        <w:spacing w:line="480" w:lineRule="auto"/>
        <w:jc w:val="both"/>
        <w:rPr>
          <w:sz w:val="28"/>
          <w:szCs w:val="28"/>
        </w:rPr>
      </w:pPr>
      <w:r>
        <w:rPr>
          <w:sz w:val="28"/>
          <w:szCs w:val="28"/>
        </w:rPr>
        <w:t xml:space="preserve"> Eliminating the provision relating to trust account audits.</w:t>
      </w:r>
    </w:p>
    <w:p w:rsidR="00961209" w:rsidRDefault="008B764E" w:rsidP="00961209">
      <w:pPr>
        <w:pStyle w:val="Body"/>
        <w:widowControl w:val="0"/>
        <w:spacing w:line="480" w:lineRule="auto"/>
        <w:ind w:firstLine="1080"/>
        <w:jc w:val="both"/>
        <w:rPr>
          <w:sz w:val="28"/>
          <w:szCs w:val="28"/>
        </w:rPr>
      </w:pPr>
      <w:r>
        <w:rPr>
          <w:sz w:val="28"/>
          <w:szCs w:val="28"/>
        </w:rPr>
        <w:t>Rule 43(d</w:t>
      </w:r>
      <w:proofErr w:type="gramStart"/>
      <w:r>
        <w:rPr>
          <w:sz w:val="28"/>
          <w:szCs w:val="28"/>
        </w:rPr>
        <w:t>)(</w:t>
      </w:r>
      <w:proofErr w:type="gramEnd"/>
      <w:r>
        <w:rPr>
          <w:sz w:val="28"/>
          <w:szCs w:val="28"/>
        </w:rPr>
        <w:t xml:space="preserve">1) grants the Bar the authority to conduct random trust account </w:t>
      </w:r>
      <w:r>
        <w:rPr>
          <w:sz w:val="28"/>
          <w:szCs w:val="28"/>
        </w:rPr>
        <w:lastRenderedPageBreak/>
        <w:t>audits</w:t>
      </w:r>
      <w:r w:rsidR="00CB4C05">
        <w:rPr>
          <w:sz w:val="28"/>
          <w:szCs w:val="28"/>
        </w:rPr>
        <w:t xml:space="preserve">, </w:t>
      </w:r>
      <w:r>
        <w:rPr>
          <w:sz w:val="28"/>
          <w:szCs w:val="28"/>
        </w:rPr>
        <w:t>even though the Bar does not currently engage in this practice</w:t>
      </w:r>
      <w:r w:rsidR="00CB4C05">
        <w:rPr>
          <w:sz w:val="28"/>
          <w:szCs w:val="28"/>
        </w:rPr>
        <w:t xml:space="preserve">.  The philosophy underlying random trust account audits is not disciplinary, it is precautionary and remedial.  Through the random examination of client trust accounts, regulatory bodies are able to identify problem areas and offer assistance and education so that lawyers can better comply with their ethical duties.  </w:t>
      </w:r>
      <w:r w:rsidR="00961209">
        <w:rPr>
          <w:sz w:val="28"/>
          <w:szCs w:val="28"/>
        </w:rPr>
        <w:t>This result is consistent with a new movement in lawyer regulation, practice management based regulation (“PMBR”)</w:t>
      </w:r>
      <w:r>
        <w:rPr>
          <w:sz w:val="28"/>
          <w:szCs w:val="28"/>
        </w:rPr>
        <w:t>,</w:t>
      </w:r>
      <w:r w:rsidR="00961209">
        <w:rPr>
          <w:sz w:val="28"/>
          <w:szCs w:val="28"/>
        </w:rPr>
        <w:t xml:space="preserve"> </w:t>
      </w:r>
      <w:r>
        <w:rPr>
          <w:sz w:val="28"/>
          <w:szCs w:val="28"/>
        </w:rPr>
        <w:t>focusing</w:t>
      </w:r>
      <w:r w:rsidR="00961209">
        <w:rPr>
          <w:sz w:val="28"/>
          <w:szCs w:val="28"/>
        </w:rPr>
        <w:t xml:space="preserve"> on the practical application of the ethical rules in lawyers’ practices.</w:t>
      </w:r>
    </w:p>
    <w:p w:rsidR="00961209" w:rsidRPr="00961209" w:rsidRDefault="00961209" w:rsidP="00961209">
      <w:pPr>
        <w:pStyle w:val="Body"/>
        <w:widowControl w:val="0"/>
        <w:spacing w:line="480" w:lineRule="auto"/>
        <w:ind w:firstLine="0"/>
        <w:jc w:val="center"/>
        <w:rPr>
          <w:sz w:val="28"/>
          <w:szCs w:val="28"/>
        </w:rPr>
      </w:pPr>
      <w:r>
        <w:rPr>
          <w:b/>
          <w:sz w:val="28"/>
          <w:szCs w:val="28"/>
        </w:rPr>
        <w:t>CONCLUSION</w:t>
      </w:r>
    </w:p>
    <w:p w:rsidR="001B1E37" w:rsidRDefault="000F386E" w:rsidP="001B1E37">
      <w:pPr>
        <w:pStyle w:val="Body"/>
        <w:widowControl w:val="0"/>
        <w:spacing w:line="480" w:lineRule="auto"/>
        <w:ind w:firstLine="0"/>
        <w:jc w:val="both"/>
        <w:rPr>
          <w:sz w:val="28"/>
          <w:szCs w:val="28"/>
        </w:rPr>
      </w:pPr>
      <w:r>
        <w:rPr>
          <w:sz w:val="28"/>
          <w:szCs w:val="28"/>
        </w:rPr>
        <w:tab/>
      </w:r>
      <w:r w:rsidR="00D146E0">
        <w:rPr>
          <w:sz w:val="28"/>
          <w:szCs w:val="28"/>
        </w:rPr>
        <w:t xml:space="preserve">Lawyers </w:t>
      </w:r>
      <w:r w:rsidR="00961209">
        <w:rPr>
          <w:sz w:val="28"/>
          <w:szCs w:val="28"/>
        </w:rPr>
        <w:t>may not, at the outset of their practices,</w:t>
      </w:r>
      <w:r w:rsidR="00D146E0">
        <w:rPr>
          <w:sz w:val="28"/>
          <w:szCs w:val="28"/>
        </w:rPr>
        <w:t xml:space="preserve"> automatically know or understand the additional requirements set forth in </w:t>
      </w:r>
      <w:r w:rsidR="008B764E">
        <w:rPr>
          <w:sz w:val="28"/>
          <w:szCs w:val="28"/>
        </w:rPr>
        <w:t>Rule 43</w:t>
      </w:r>
      <w:r w:rsidR="00D146E0">
        <w:rPr>
          <w:sz w:val="28"/>
          <w:szCs w:val="28"/>
        </w:rPr>
        <w:t>, such as maintaining client ledgers or conducting three-way reconciliations</w:t>
      </w:r>
      <w:r w:rsidR="00961209">
        <w:rPr>
          <w:sz w:val="28"/>
          <w:szCs w:val="28"/>
        </w:rPr>
        <w:t>, but they are expected to learn them</w:t>
      </w:r>
      <w:r w:rsidR="00D146E0">
        <w:rPr>
          <w:sz w:val="28"/>
          <w:szCs w:val="28"/>
        </w:rPr>
        <w:t xml:space="preserve">.  Many lawyers received their legal education at a time when practical skills were not stressed.  Lawyers, however, have a variety of resources available to them through the State Bar including continuing education programs </w:t>
      </w:r>
      <w:r w:rsidR="008B764E">
        <w:rPr>
          <w:sz w:val="28"/>
          <w:szCs w:val="28"/>
        </w:rPr>
        <w:t>(</w:t>
      </w:r>
      <w:r w:rsidR="00D146E0">
        <w:rPr>
          <w:sz w:val="28"/>
          <w:szCs w:val="28"/>
        </w:rPr>
        <w:t>some of which include hands-on demonstrations</w:t>
      </w:r>
      <w:r w:rsidR="008B764E">
        <w:rPr>
          <w:sz w:val="28"/>
          <w:szCs w:val="28"/>
        </w:rPr>
        <w:t>)</w:t>
      </w:r>
      <w:r w:rsidR="00D146E0">
        <w:rPr>
          <w:sz w:val="28"/>
          <w:szCs w:val="28"/>
        </w:rPr>
        <w:t xml:space="preserve">, a comprehensive trust account manual, and practical advice through a trust account hotline answered by knowledgeable </w:t>
      </w:r>
      <w:proofErr w:type="gramStart"/>
      <w:r w:rsidR="00D146E0">
        <w:rPr>
          <w:sz w:val="28"/>
          <w:szCs w:val="28"/>
        </w:rPr>
        <w:t>Bar</w:t>
      </w:r>
      <w:proofErr w:type="gramEnd"/>
      <w:r w:rsidR="00D146E0">
        <w:rPr>
          <w:sz w:val="28"/>
          <w:szCs w:val="28"/>
        </w:rPr>
        <w:t xml:space="preserve"> staff.  In addition to those resources provided by the Bar, lawyers may seek and obtain the assistance of professio</w:t>
      </w:r>
      <w:r w:rsidR="008B764E">
        <w:rPr>
          <w:sz w:val="28"/>
          <w:szCs w:val="28"/>
        </w:rPr>
        <w:t xml:space="preserve">nal accountants and bookkeepers, </w:t>
      </w:r>
      <w:r w:rsidR="00D146E0">
        <w:rPr>
          <w:sz w:val="28"/>
          <w:szCs w:val="28"/>
        </w:rPr>
        <w:t xml:space="preserve">all of whom may </w:t>
      </w:r>
      <w:r w:rsidR="00D146E0">
        <w:rPr>
          <w:sz w:val="28"/>
          <w:szCs w:val="28"/>
        </w:rPr>
        <w:lastRenderedPageBreak/>
        <w:t xml:space="preserve">also access </w:t>
      </w:r>
      <w:proofErr w:type="gramStart"/>
      <w:r w:rsidR="00D146E0">
        <w:rPr>
          <w:sz w:val="28"/>
          <w:szCs w:val="28"/>
        </w:rPr>
        <w:t>Bar</w:t>
      </w:r>
      <w:proofErr w:type="gramEnd"/>
      <w:r w:rsidR="00D146E0">
        <w:rPr>
          <w:sz w:val="28"/>
          <w:szCs w:val="28"/>
        </w:rPr>
        <w:t xml:space="preserve"> resources for information and guidance.</w:t>
      </w:r>
      <w:r w:rsidR="008B764E">
        <w:rPr>
          <w:rStyle w:val="FootnoteReference"/>
          <w:sz w:val="28"/>
          <w:szCs w:val="28"/>
        </w:rPr>
        <w:footnoteReference w:id="1"/>
      </w:r>
      <w:r w:rsidR="008B764E">
        <w:rPr>
          <w:sz w:val="28"/>
          <w:szCs w:val="28"/>
        </w:rPr>
        <w:t xml:space="preserve"> Any burden imposed on lawyers by Rule 43 is amply justified by the need for transparency, accountability, and protection of the public.</w:t>
      </w:r>
    </w:p>
    <w:p w:rsidR="000F7C13" w:rsidRPr="006F63FD" w:rsidRDefault="000C48A9" w:rsidP="006766BF">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685AA0">
        <w:rPr>
          <w:sz w:val="28"/>
          <w:szCs w:val="28"/>
        </w:rPr>
        <w:t>the petition be denied.</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D1B" w:rsidRDefault="00393D1B">
      <w:r>
        <w:separator/>
      </w:r>
    </w:p>
  </w:endnote>
  <w:endnote w:type="continuationSeparator" w:id="0">
    <w:p w:rsidR="00393D1B" w:rsidRDefault="003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B654F">
          <w:rPr>
            <w:noProof/>
            <w:sz w:val="26"/>
            <w:szCs w:val="26"/>
          </w:rPr>
          <w:t>8</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D1B" w:rsidRDefault="00393D1B">
      <w:r>
        <w:separator/>
      </w:r>
    </w:p>
  </w:footnote>
  <w:footnote w:type="continuationSeparator" w:id="0">
    <w:p w:rsidR="00393D1B" w:rsidRDefault="00393D1B">
      <w:r>
        <w:continuationSeparator/>
      </w:r>
    </w:p>
  </w:footnote>
  <w:footnote w:id="1">
    <w:p w:rsidR="008B764E" w:rsidRPr="002B449B" w:rsidRDefault="008B764E" w:rsidP="008B764E">
      <w:pPr>
        <w:pStyle w:val="FootnoteText"/>
        <w:rPr>
          <w:sz w:val="28"/>
          <w:szCs w:val="28"/>
        </w:rPr>
      </w:pPr>
      <w:r w:rsidRPr="002B449B">
        <w:rPr>
          <w:rStyle w:val="FootnoteReference"/>
          <w:sz w:val="28"/>
          <w:szCs w:val="28"/>
        </w:rPr>
        <w:footnoteRef/>
      </w:r>
      <w:r w:rsidRPr="002B449B">
        <w:rPr>
          <w:sz w:val="28"/>
          <w:szCs w:val="28"/>
        </w:rPr>
        <w:t xml:space="preserve"> Of course, the requirement that the lawyer supervise any non-lawyer staff applies (ER 5.3, Rule 42, </w:t>
      </w:r>
      <w:proofErr w:type="gramStart"/>
      <w:r w:rsidRPr="002B449B">
        <w:rPr>
          <w:sz w:val="28"/>
          <w:szCs w:val="28"/>
        </w:rPr>
        <w:t>Ariz</w:t>
      </w:r>
      <w:proofErr w:type="gramEnd"/>
      <w:r w:rsidRPr="002B449B">
        <w:rPr>
          <w:sz w:val="28"/>
          <w:szCs w:val="28"/>
        </w:rPr>
        <w:t xml:space="preserve">. R. Sup. Ct.) to those situations.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99569"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110AA"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EB0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40149"/>
    <w:multiLevelType w:val="hybridMultilevel"/>
    <w:tmpl w:val="08D65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62A29"/>
    <w:multiLevelType w:val="hybridMultilevel"/>
    <w:tmpl w:val="510813C4"/>
    <w:lvl w:ilvl="0" w:tplc="82A68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4"/>
  </w:num>
  <w:num w:numId="5">
    <w:abstractNumId w:val="7"/>
  </w:num>
  <w:num w:numId="6">
    <w:abstractNumId w:val="8"/>
  </w:num>
  <w:num w:numId="7">
    <w:abstractNumId w:val="1"/>
  </w:num>
  <w:num w:numId="8">
    <w:abstractNumId w:val="15"/>
  </w:num>
  <w:num w:numId="9">
    <w:abstractNumId w:val="9"/>
  </w:num>
  <w:num w:numId="10">
    <w:abstractNumId w:val="12"/>
  </w:num>
  <w:num w:numId="11">
    <w:abstractNumId w:val="11"/>
  </w:num>
  <w:num w:numId="12">
    <w:abstractNumId w:val="5"/>
  </w:num>
  <w:num w:numId="13">
    <w:abstractNumId w:val="2"/>
  </w:num>
  <w:num w:numId="14">
    <w:abstractNumId w:val="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14E7"/>
    <w:rsid w:val="000C48A9"/>
    <w:rsid w:val="000F386E"/>
    <w:rsid w:val="000F7A7F"/>
    <w:rsid w:val="000F7C13"/>
    <w:rsid w:val="00135326"/>
    <w:rsid w:val="00162CAA"/>
    <w:rsid w:val="001A2520"/>
    <w:rsid w:val="001B1E37"/>
    <w:rsid w:val="001F591C"/>
    <w:rsid w:val="00274D6A"/>
    <w:rsid w:val="002B449B"/>
    <w:rsid w:val="00352347"/>
    <w:rsid w:val="003566D6"/>
    <w:rsid w:val="00357F4D"/>
    <w:rsid w:val="003617D1"/>
    <w:rsid w:val="00377199"/>
    <w:rsid w:val="00387ADC"/>
    <w:rsid w:val="00393D1B"/>
    <w:rsid w:val="003A28AC"/>
    <w:rsid w:val="00407E2D"/>
    <w:rsid w:val="004331B2"/>
    <w:rsid w:val="00440E4C"/>
    <w:rsid w:val="00463734"/>
    <w:rsid w:val="00494BDF"/>
    <w:rsid w:val="004C3AE3"/>
    <w:rsid w:val="00504E1E"/>
    <w:rsid w:val="00506859"/>
    <w:rsid w:val="00520F93"/>
    <w:rsid w:val="00566856"/>
    <w:rsid w:val="005A21B0"/>
    <w:rsid w:val="005B5161"/>
    <w:rsid w:val="005D6AD4"/>
    <w:rsid w:val="005E1D70"/>
    <w:rsid w:val="006338C1"/>
    <w:rsid w:val="00636F5E"/>
    <w:rsid w:val="00665CCF"/>
    <w:rsid w:val="006666D1"/>
    <w:rsid w:val="006721EC"/>
    <w:rsid w:val="006766BF"/>
    <w:rsid w:val="00685AA0"/>
    <w:rsid w:val="00692391"/>
    <w:rsid w:val="006932BA"/>
    <w:rsid w:val="006B4F9A"/>
    <w:rsid w:val="006F63FD"/>
    <w:rsid w:val="00727B8D"/>
    <w:rsid w:val="00732169"/>
    <w:rsid w:val="00735659"/>
    <w:rsid w:val="007427C6"/>
    <w:rsid w:val="007648E8"/>
    <w:rsid w:val="0077110E"/>
    <w:rsid w:val="007870CB"/>
    <w:rsid w:val="007A3F0F"/>
    <w:rsid w:val="007D5C49"/>
    <w:rsid w:val="007D73FF"/>
    <w:rsid w:val="007E0CF2"/>
    <w:rsid w:val="007E3CCB"/>
    <w:rsid w:val="0080036E"/>
    <w:rsid w:val="008006ED"/>
    <w:rsid w:val="00822598"/>
    <w:rsid w:val="008266FD"/>
    <w:rsid w:val="008360A1"/>
    <w:rsid w:val="00861563"/>
    <w:rsid w:val="00871AAA"/>
    <w:rsid w:val="00876F57"/>
    <w:rsid w:val="00891AAA"/>
    <w:rsid w:val="008B3A0A"/>
    <w:rsid w:val="008B764E"/>
    <w:rsid w:val="008C2B9D"/>
    <w:rsid w:val="008F2274"/>
    <w:rsid w:val="009266CC"/>
    <w:rsid w:val="00933EA1"/>
    <w:rsid w:val="00951416"/>
    <w:rsid w:val="00960D21"/>
    <w:rsid w:val="00961209"/>
    <w:rsid w:val="00981D29"/>
    <w:rsid w:val="00981E11"/>
    <w:rsid w:val="009B654F"/>
    <w:rsid w:val="009F2B92"/>
    <w:rsid w:val="00A1564B"/>
    <w:rsid w:val="00A5194F"/>
    <w:rsid w:val="00A871D6"/>
    <w:rsid w:val="00A93A7C"/>
    <w:rsid w:val="00AA57B6"/>
    <w:rsid w:val="00AF282C"/>
    <w:rsid w:val="00AF3FF7"/>
    <w:rsid w:val="00B1491D"/>
    <w:rsid w:val="00B47B7D"/>
    <w:rsid w:val="00BE425F"/>
    <w:rsid w:val="00C03E0F"/>
    <w:rsid w:val="00C52E56"/>
    <w:rsid w:val="00C5407A"/>
    <w:rsid w:val="00C662B0"/>
    <w:rsid w:val="00C84FD4"/>
    <w:rsid w:val="00C958EE"/>
    <w:rsid w:val="00CB4C05"/>
    <w:rsid w:val="00CD21FB"/>
    <w:rsid w:val="00CE44A7"/>
    <w:rsid w:val="00D146E0"/>
    <w:rsid w:val="00D423FE"/>
    <w:rsid w:val="00D442E4"/>
    <w:rsid w:val="00D80EDC"/>
    <w:rsid w:val="00DF4F15"/>
    <w:rsid w:val="00E047D3"/>
    <w:rsid w:val="00E266B7"/>
    <w:rsid w:val="00E316F7"/>
    <w:rsid w:val="00E321C5"/>
    <w:rsid w:val="00E5772B"/>
    <w:rsid w:val="00E67511"/>
    <w:rsid w:val="00E82D0F"/>
    <w:rsid w:val="00E950B5"/>
    <w:rsid w:val="00E95363"/>
    <w:rsid w:val="00EE6CC9"/>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98B4-0016-425E-98BB-543A458B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8</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2018-05-17T18:15:00Z</cp:lastPrinted>
  <dcterms:created xsi:type="dcterms:W3CDTF">2018-04-16T23:24:00Z</dcterms:created>
  <dcterms:modified xsi:type="dcterms:W3CDTF">2018-05-17T18:15:00Z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