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E2AA7">
              <w:rPr>
                <w:b/>
                <w:sz w:val="28"/>
                <w:szCs w:val="28"/>
              </w:rPr>
              <w:t>AMEND ARIZONA RULE OF EVIDENCE 807</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18</w:t>
            </w:r>
            <w:r w:rsidR="00F850BE">
              <w:rPr>
                <w:sz w:val="28"/>
                <w:szCs w:val="28"/>
              </w:rPr>
              <w:t>-</w:t>
            </w:r>
            <w:r w:rsidR="003E2AA7">
              <w:rPr>
                <w:sz w:val="28"/>
                <w:szCs w:val="28"/>
              </w:rPr>
              <w:t>0003</w:t>
            </w:r>
          </w:p>
          <w:p w:rsidR="0085090B" w:rsidRDefault="007E3CCB" w:rsidP="000F7A7F">
            <w:pPr>
              <w:pStyle w:val="Caption"/>
              <w:tabs>
                <w:tab w:val="left" w:pos="1238"/>
              </w:tabs>
              <w:spacing w:line="260" w:lineRule="exact"/>
              <w:ind w:right="115"/>
              <w:jc w:val="center"/>
              <w:rPr>
                <w:b/>
                <w:sz w:val="28"/>
                <w:szCs w:val="28"/>
              </w:rPr>
            </w:pPr>
            <w:r w:rsidRPr="003E2AA7">
              <w:rPr>
                <w:b/>
                <w:sz w:val="28"/>
                <w:szCs w:val="28"/>
              </w:rPr>
              <w:t>COMMENT</w:t>
            </w:r>
            <w:r w:rsidR="003E2AA7" w:rsidRPr="003E2AA7">
              <w:rPr>
                <w:b/>
                <w:sz w:val="28"/>
                <w:szCs w:val="28"/>
              </w:rPr>
              <w:t xml:space="preserve"> OF THE </w:t>
            </w:r>
          </w:p>
          <w:p w:rsidR="00357F4D" w:rsidRPr="006F63FD" w:rsidRDefault="003E2AA7" w:rsidP="000F7A7F">
            <w:pPr>
              <w:pStyle w:val="Caption"/>
              <w:tabs>
                <w:tab w:val="left" w:pos="1238"/>
              </w:tabs>
              <w:spacing w:line="260" w:lineRule="exact"/>
              <w:ind w:right="115"/>
              <w:jc w:val="center"/>
              <w:rPr>
                <w:b/>
                <w:sz w:val="28"/>
                <w:szCs w:val="28"/>
              </w:rPr>
            </w:pPr>
            <w:bookmarkStart w:id="2" w:name="_GoBack"/>
            <w:bookmarkEnd w:id="2"/>
            <w:r w:rsidRPr="003E2AA7">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3E2AA7" w:rsidRPr="003E2AA7" w:rsidRDefault="003E2AA7" w:rsidP="003E2AA7">
      <w:pPr>
        <w:pStyle w:val="Body"/>
        <w:widowControl w:val="0"/>
        <w:numPr>
          <w:ilvl w:val="0"/>
          <w:numId w:val="16"/>
        </w:numPr>
        <w:spacing w:line="480" w:lineRule="auto"/>
        <w:ind w:left="1080" w:hanging="360"/>
        <w:jc w:val="both"/>
        <w:rPr>
          <w:b/>
          <w:sz w:val="28"/>
          <w:szCs w:val="28"/>
        </w:rPr>
      </w:pPr>
      <w:r>
        <w:rPr>
          <w:b/>
          <w:sz w:val="28"/>
          <w:szCs w:val="28"/>
          <w:u w:val="single"/>
        </w:rPr>
        <w:t>Background</w:t>
      </w:r>
      <w:r>
        <w:rPr>
          <w:b/>
          <w:sz w:val="28"/>
          <w:szCs w:val="28"/>
        </w:rPr>
        <w:t>:</w:t>
      </w:r>
    </w:p>
    <w:p w:rsidR="003E2AA7" w:rsidRPr="0015367F" w:rsidRDefault="003E2AA7" w:rsidP="003E2AA7">
      <w:pPr>
        <w:tabs>
          <w:tab w:val="left" w:pos="-720"/>
        </w:tabs>
        <w:suppressAutoHyphens/>
        <w:spacing w:line="480" w:lineRule="auto"/>
        <w:ind w:right="90" w:firstLine="720"/>
        <w:jc w:val="both"/>
        <w:rPr>
          <w:spacing w:val="-3"/>
          <w:sz w:val="28"/>
          <w:szCs w:val="28"/>
        </w:rPr>
      </w:pPr>
      <w:r w:rsidRPr="00136AC2">
        <w:rPr>
          <w:spacing w:val="-3"/>
          <w:sz w:val="28"/>
          <w:szCs w:val="28"/>
        </w:rPr>
        <w:t>The standing committee on the Rules of Evidence submitted Petition R-18-0003 to conform Rule 807 (residual exception to the hearsay rule) to the proposed Rule 807 of the Federal Rules of Evidence.</w:t>
      </w:r>
      <w:r>
        <w:rPr>
          <w:spacing w:val="-3"/>
          <w:sz w:val="28"/>
          <w:szCs w:val="28"/>
        </w:rPr>
        <w:t xml:space="preserve">  The State Bar is in agreement with most of the proposed amendments.  However, the Notice provision raises concerns.  Rather than oppose the Petition outright, the State Bar believes it can be improved with amendments to the proposed Notice Provision.</w:t>
      </w:r>
    </w:p>
    <w:p w:rsidR="003E2AA7" w:rsidRPr="00C32AF8" w:rsidRDefault="003E2AA7" w:rsidP="003E2AA7">
      <w:pPr>
        <w:pStyle w:val="Body"/>
        <w:widowControl w:val="0"/>
        <w:numPr>
          <w:ilvl w:val="0"/>
          <w:numId w:val="15"/>
        </w:numPr>
        <w:spacing w:after="240" w:line="480" w:lineRule="auto"/>
        <w:ind w:left="1080" w:hanging="360"/>
        <w:jc w:val="both"/>
        <w:rPr>
          <w:b/>
          <w:sz w:val="28"/>
          <w:szCs w:val="28"/>
        </w:rPr>
      </w:pPr>
      <w:r>
        <w:rPr>
          <w:b/>
          <w:sz w:val="28"/>
          <w:szCs w:val="28"/>
          <w:u w:val="single"/>
        </w:rPr>
        <w:t>Discussion and Analysis</w:t>
      </w:r>
      <w:r>
        <w:rPr>
          <w:b/>
          <w:sz w:val="28"/>
          <w:szCs w:val="28"/>
        </w:rPr>
        <w:t>:</w:t>
      </w:r>
    </w:p>
    <w:p w:rsidR="003E2AA7" w:rsidRDefault="003E2AA7" w:rsidP="003E2AA7">
      <w:pPr>
        <w:tabs>
          <w:tab w:val="left" w:pos="-720"/>
        </w:tabs>
        <w:suppressAutoHyphens/>
        <w:spacing w:line="480" w:lineRule="auto"/>
        <w:ind w:right="90"/>
        <w:jc w:val="both"/>
        <w:rPr>
          <w:spacing w:val="-3"/>
          <w:sz w:val="28"/>
          <w:szCs w:val="28"/>
        </w:rPr>
      </w:pPr>
      <w:r>
        <w:rPr>
          <w:b/>
          <w:sz w:val="28"/>
          <w:szCs w:val="28"/>
        </w:rPr>
        <w:tab/>
      </w:r>
      <w:r>
        <w:rPr>
          <w:sz w:val="28"/>
          <w:szCs w:val="28"/>
        </w:rPr>
        <w:t xml:space="preserve">The concern of the State Bar, and focus of this comment, is with the Notice provision of </w:t>
      </w:r>
      <w:r>
        <w:rPr>
          <w:spacing w:val="-3"/>
          <w:sz w:val="28"/>
          <w:szCs w:val="28"/>
        </w:rPr>
        <w:t>proposed subsection (b)</w:t>
      </w:r>
      <w:r w:rsidRPr="00017DFD">
        <w:rPr>
          <w:spacing w:val="-3"/>
          <w:sz w:val="28"/>
          <w:szCs w:val="28"/>
        </w:rPr>
        <w:t>.</w:t>
      </w:r>
      <w:r>
        <w:rPr>
          <w:spacing w:val="-3"/>
          <w:sz w:val="28"/>
          <w:szCs w:val="28"/>
        </w:rPr>
        <w:t xml:space="preserve">  </w:t>
      </w:r>
      <w:r w:rsidRPr="00017DFD">
        <w:rPr>
          <w:spacing w:val="-3"/>
          <w:sz w:val="28"/>
          <w:szCs w:val="28"/>
        </w:rPr>
        <w:t xml:space="preserve">Rule 102 </w:t>
      </w:r>
      <w:r>
        <w:rPr>
          <w:spacing w:val="-3"/>
          <w:sz w:val="28"/>
          <w:szCs w:val="28"/>
        </w:rPr>
        <w:t xml:space="preserve">of the Arizona Rules of Evidence </w:t>
      </w:r>
      <w:r w:rsidRPr="00017DFD">
        <w:rPr>
          <w:spacing w:val="-3"/>
          <w:sz w:val="28"/>
          <w:szCs w:val="28"/>
        </w:rPr>
        <w:lastRenderedPageBreak/>
        <w:t>states that</w:t>
      </w:r>
      <w:r>
        <w:rPr>
          <w:spacing w:val="-3"/>
          <w:sz w:val="28"/>
          <w:szCs w:val="28"/>
        </w:rPr>
        <w:t xml:space="preserve"> the purpose of the </w:t>
      </w:r>
      <w:r w:rsidRPr="00017DFD">
        <w:rPr>
          <w:spacing w:val="-3"/>
          <w:sz w:val="28"/>
          <w:szCs w:val="28"/>
        </w:rPr>
        <w:t>rules is that they be “construed so as to administer every proceeding fairly, eliminate unjustifiable expense and delay, to promote the development of evidence law, to the end of ascertaining the truth and securing a just determination.”</w:t>
      </w:r>
      <w:r>
        <w:rPr>
          <w:spacing w:val="-3"/>
          <w:sz w:val="28"/>
          <w:szCs w:val="28"/>
        </w:rPr>
        <w:t xml:space="preserve">  Thus, the Rules of E</w:t>
      </w:r>
      <w:r w:rsidRPr="00017DFD">
        <w:rPr>
          <w:spacing w:val="-3"/>
          <w:sz w:val="28"/>
          <w:szCs w:val="28"/>
        </w:rPr>
        <w:t>vidence are designed to permit only the introduction of reliable evidence i</w:t>
      </w:r>
      <w:r>
        <w:rPr>
          <w:spacing w:val="-3"/>
          <w:sz w:val="28"/>
          <w:szCs w:val="28"/>
        </w:rPr>
        <w:t>n a manner that</w:t>
      </w:r>
      <w:r w:rsidRPr="00017DFD">
        <w:rPr>
          <w:spacing w:val="-3"/>
          <w:sz w:val="28"/>
          <w:szCs w:val="28"/>
        </w:rPr>
        <w:t xml:space="preserve"> avoids surprise and unfairness to the opposing party.</w:t>
      </w:r>
    </w:p>
    <w:p w:rsidR="003E2AA7" w:rsidRDefault="003E2AA7" w:rsidP="003E2AA7">
      <w:pPr>
        <w:tabs>
          <w:tab w:val="left" w:pos="-720"/>
        </w:tabs>
        <w:suppressAutoHyphens/>
        <w:spacing w:line="480" w:lineRule="auto"/>
        <w:ind w:right="90" w:firstLine="720"/>
        <w:jc w:val="both"/>
        <w:rPr>
          <w:spacing w:val="-3"/>
          <w:sz w:val="28"/>
          <w:szCs w:val="28"/>
        </w:rPr>
      </w:pPr>
      <w:r>
        <w:rPr>
          <w:spacing w:val="-3"/>
          <w:sz w:val="28"/>
          <w:szCs w:val="28"/>
        </w:rPr>
        <w:t>The Notice provision is</w:t>
      </w:r>
      <w:r w:rsidRPr="00017DFD">
        <w:rPr>
          <w:spacing w:val="-3"/>
          <w:sz w:val="28"/>
          <w:szCs w:val="28"/>
        </w:rPr>
        <w:t xml:space="preserve"> too general and likely to give rise to surpr</w:t>
      </w:r>
      <w:r>
        <w:rPr>
          <w:spacing w:val="-3"/>
          <w:sz w:val="28"/>
          <w:szCs w:val="28"/>
        </w:rPr>
        <w:t>ise and dispute.  T</w:t>
      </w:r>
      <w:r w:rsidRPr="00017DFD">
        <w:rPr>
          <w:spacing w:val="-3"/>
          <w:sz w:val="28"/>
          <w:szCs w:val="28"/>
        </w:rPr>
        <w:t xml:space="preserve">he </w:t>
      </w:r>
      <w:r>
        <w:rPr>
          <w:spacing w:val="-3"/>
          <w:sz w:val="28"/>
          <w:szCs w:val="28"/>
        </w:rPr>
        <w:t>proposed N</w:t>
      </w:r>
      <w:r w:rsidRPr="00017DFD">
        <w:rPr>
          <w:spacing w:val="-3"/>
          <w:sz w:val="28"/>
          <w:szCs w:val="28"/>
        </w:rPr>
        <w:t xml:space="preserve">otice provision has two requirements:  1) </w:t>
      </w:r>
      <w:r>
        <w:rPr>
          <w:spacing w:val="-3"/>
          <w:sz w:val="28"/>
          <w:szCs w:val="28"/>
        </w:rPr>
        <w:t xml:space="preserve">that </w:t>
      </w:r>
      <w:r w:rsidRPr="00017DFD">
        <w:rPr>
          <w:spacing w:val="-3"/>
          <w:sz w:val="28"/>
          <w:szCs w:val="28"/>
        </w:rPr>
        <w:t>the proponent give “reasonable notice of the intent to offer the [hearsay] statement including its substance and declarant’s name”; and 2) “the notice be provided in writing before the trial or hearing—or in any form during the trial or hearing if the court, for good cause, excuses a lack of earlier notice.”</w:t>
      </w:r>
    </w:p>
    <w:p w:rsidR="003E2AA7" w:rsidRDefault="003E2AA7" w:rsidP="003E2AA7">
      <w:pPr>
        <w:tabs>
          <w:tab w:val="left" w:pos="-720"/>
        </w:tabs>
        <w:suppressAutoHyphens/>
        <w:spacing w:line="480" w:lineRule="auto"/>
        <w:ind w:right="90" w:firstLine="720"/>
        <w:jc w:val="both"/>
        <w:rPr>
          <w:spacing w:val="-3"/>
          <w:sz w:val="28"/>
          <w:szCs w:val="28"/>
        </w:rPr>
      </w:pPr>
      <w:r w:rsidRPr="00017DFD">
        <w:rPr>
          <w:spacing w:val="-3"/>
          <w:sz w:val="28"/>
          <w:szCs w:val="28"/>
        </w:rPr>
        <w:t xml:space="preserve">Unlike the Federal Rules of Criminal Procedure—which do not provide for </w:t>
      </w:r>
      <w:r>
        <w:rPr>
          <w:spacing w:val="-3"/>
          <w:sz w:val="28"/>
          <w:szCs w:val="28"/>
        </w:rPr>
        <w:t xml:space="preserve">reciprocal pre-trial </w:t>
      </w:r>
      <w:r w:rsidRPr="00017DFD">
        <w:rPr>
          <w:spacing w:val="-3"/>
          <w:sz w:val="28"/>
          <w:szCs w:val="28"/>
        </w:rPr>
        <w:t>discovery—the Arizona Rul</w:t>
      </w:r>
      <w:r>
        <w:rPr>
          <w:spacing w:val="-3"/>
          <w:sz w:val="28"/>
          <w:szCs w:val="28"/>
        </w:rPr>
        <w:t>es of Criminal Procedure demand</w:t>
      </w:r>
      <w:r w:rsidRPr="00017DFD">
        <w:rPr>
          <w:spacing w:val="-3"/>
          <w:sz w:val="28"/>
          <w:szCs w:val="28"/>
        </w:rPr>
        <w:t xml:space="preserve"> that each party disclose to the other the evidence anticipated to be introduced at trial.  </w:t>
      </w:r>
      <w:r>
        <w:rPr>
          <w:spacing w:val="-3"/>
          <w:sz w:val="28"/>
          <w:szCs w:val="28"/>
        </w:rPr>
        <w:t>Depending on the type of case, disclosure</w:t>
      </w:r>
      <w:r w:rsidRPr="00017DFD">
        <w:rPr>
          <w:spacing w:val="-3"/>
          <w:sz w:val="28"/>
          <w:szCs w:val="28"/>
        </w:rPr>
        <w:t xml:space="preserve"> may be thousands of pages</w:t>
      </w:r>
      <w:r>
        <w:rPr>
          <w:spacing w:val="-3"/>
          <w:sz w:val="28"/>
          <w:szCs w:val="28"/>
        </w:rPr>
        <w:t xml:space="preserve"> and transcripts from interviews have the potential to add hundreds if not thousands of additional pages.</w:t>
      </w:r>
      <w:r w:rsidRPr="00017DFD">
        <w:rPr>
          <w:spacing w:val="-3"/>
          <w:sz w:val="28"/>
          <w:szCs w:val="28"/>
        </w:rPr>
        <w:t xml:space="preserve"> </w:t>
      </w:r>
      <w:r>
        <w:rPr>
          <w:spacing w:val="-3"/>
          <w:sz w:val="28"/>
          <w:szCs w:val="28"/>
        </w:rPr>
        <w:t xml:space="preserve"> Notes by investigators or expert witnesses may be hand-written and difficult to read.</w:t>
      </w:r>
    </w:p>
    <w:p w:rsidR="003E2AA7" w:rsidRDefault="003E2AA7" w:rsidP="003E2AA7">
      <w:pPr>
        <w:tabs>
          <w:tab w:val="left" w:pos="-720"/>
        </w:tabs>
        <w:suppressAutoHyphens/>
        <w:spacing w:line="480" w:lineRule="auto"/>
        <w:ind w:right="90" w:firstLine="720"/>
        <w:jc w:val="both"/>
        <w:rPr>
          <w:spacing w:val="-3"/>
          <w:sz w:val="28"/>
          <w:szCs w:val="28"/>
        </w:rPr>
      </w:pPr>
      <w:r>
        <w:rPr>
          <w:spacing w:val="-3"/>
          <w:sz w:val="28"/>
          <w:szCs w:val="28"/>
        </w:rPr>
        <w:lastRenderedPageBreak/>
        <w:t xml:space="preserve">This leads to the question: What constitutes “reasonable notice” of the statement “provided in writing?”  </w:t>
      </w:r>
      <w:r w:rsidRPr="00017DFD">
        <w:rPr>
          <w:spacing w:val="-3"/>
          <w:sz w:val="28"/>
          <w:szCs w:val="28"/>
        </w:rPr>
        <w:t xml:space="preserve">Does a statement buried within pre-trial disclosure </w:t>
      </w:r>
      <w:r>
        <w:rPr>
          <w:spacing w:val="-3"/>
          <w:sz w:val="28"/>
          <w:szCs w:val="28"/>
        </w:rPr>
        <w:t xml:space="preserve">constitute “reasonable notice . . . </w:t>
      </w:r>
      <w:r w:rsidRPr="00017DFD">
        <w:rPr>
          <w:spacing w:val="-3"/>
          <w:sz w:val="28"/>
          <w:szCs w:val="28"/>
        </w:rPr>
        <w:t>provided in</w:t>
      </w:r>
      <w:r>
        <w:rPr>
          <w:spacing w:val="-3"/>
          <w:sz w:val="28"/>
          <w:szCs w:val="28"/>
        </w:rPr>
        <w:t xml:space="preserve"> writing?”  </w:t>
      </w:r>
    </w:p>
    <w:p w:rsidR="003E2AA7" w:rsidRDefault="003E2AA7" w:rsidP="003E2AA7">
      <w:pPr>
        <w:tabs>
          <w:tab w:val="left" w:pos="-720"/>
        </w:tabs>
        <w:suppressAutoHyphens/>
        <w:spacing w:line="480" w:lineRule="auto"/>
        <w:ind w:right="90" w:firstLine="720"/>
        <w:jc w:val="both"/>
        <w:rPr>
          <w:spacing w:val="-3"/>
          <w:sz w:val="28"/>
          <w:szCs w:val="28"/>
        </w:rPr>
      </w:pPr>
      <w:r>
        <w:rPr>
          <w:spacing w:val="-3"/>
          <w:sz w:val="28"/>
          <w:szCs w:val="28"/>
        </w:rPr>
        <w:t xml:space="preserve">The State Bar submits that if </w:t>
      </w:r>
      <w:r w:rsidRPr="00017DFD">
        <w:rPr>
          <w:spacing w:val="-3"/>
          <w:sz w:val="28"/>
          <w:szCs w:val="28"/>
        </w:rPr>
        <w:t xml:space="preserve">a party intends to utilize a statement under Rule 807, </w:t>
      </w:r>
      <w:r>
        <w:rPr>
          <w:spacing w:val="-3"/>
          <w:sz w:val="28"/>
          <w:szCs w:val="28"/>
        </w:rPr>
        <w:t xml:space="preserve">then Rule 807 should provide that </w:t>
      </w:r>
      <w:r w:rsidRPr="00017DFD">
        <w:rPr>
          <w:spacing w:val="-3"/>
          <w:sz w:val="28"/>
          <w:szCs w:val="28"/>
        </w:rPr>
        <w:t xml:space="preserve">the precise </w:t>
      </w:r>
      <w:r>
        <w:rPr>
          <w:spacing w:val="-3"/>
          <w:sz w:val="28"/>
          <w:szCs w:val="28"/>
        </w:rPr>
        <w:t xml:space="preserve">hearsay </w:t>
      </w:r>
      <w:r w:rsidRPr="00017DFD">
        <w:rPr>
          <w:spacing w:val="-3"/>
          <w:sz w:val="28"/>
          <w:szCs w:val="28"/>
        </w:rPr>
        <w:t>statement</w:t>
      </w:r>
      <w:r>
        <w:rPr>
          <w:spacing w:val="-3"/>
          <w:sz w:val="28"/>
          <w:szCs w:val="28"/>
        </w:rPr>
        <w:t>(s)</w:t>
      </w:r>
      <w:r w:rsidRPr="00017DFD">
        <w:rPr>
          <w:spacing w:val="-3"/>
          <w:sz w:val="28"/>
          <w:szCs w:val="28"/>
        </w:rPr>
        <w:t xml:space="preserve"> and the declara</w:t>
      </w:r>
      <w:r>
        <w:rPr>
          <w:spacing w:val="-3"/>
          <w:sz w:val="28"/>
          <w:szCs w:val="28"/>
        </w:rPr>
        <w:t xml:space="preserve">nt’s name </w:t>
      </w:r>
      <w:r w:rsidRPr="00017DFD">
        <w:rPr>
          <w:spacing w:val="-3"/>
          <w:sz w:val="28"/>
          <w:szCs w:val="28"/>
        </w:rPr>
        <w:t xml:space="preserve">be asserted </w:t>
      </w:r>
      <w:r>
        <w:rPr>
          <w:spacing w:val="-3"/>
          <w:sz w:val="28"/>
          <w:szCs w:val="28"/>
        </w:rPr>
        <w:t>in a filing, filed</w:t>
      </w:r>
      <w:r w:rsidRPr="00017DFD">
        <w:rPr>
          <w:spacing w:val="-3"/>
          <w:sz w:val="28"/>
          <w:szCs w:val="28"/>
        </w:rPr>
        <w:t xml:space="preserve"> with the court prior to </w:t>
      </w:r>
      <w:r>
        <w:rPr>
          <w:spacing w:val="-3"/>
          <w:sz w:val="28"/>
          <w:szCs w:val="28"/>
        </w:rPr>
        <w:t xml:space="preserve">the </w:t>
      </w:r>
      <w:r w:rsidRPr="00017DFD">
        <w:rPr>
          <w:spacing w:val="-3"/>
          <w:sz w:val="28"/>
          <w:szCs w:val="28"/>
        </w:rPr>
        <w:t>trial</w:t>
      </w:r>
      <w:r>
        <w:rPr>
          <w:spacing w:val="-3"/>
          <w:sz w:val="28"/>
          <w:szCs w:val="28"/>
        </w:rPr>
        <w:t xml:space="preserve"> or hearing</w:t>
      </w:r>
      <w:r w:rsidRPr="00017DFD">
        <w:rPr>
          <w:spacing w:val="-3"/>
          <w:sz w:val="28"/>
          <w:szCs w:val="28"/>
        </w:rPr>
        <w:t xml:space="preserve">, similar to the requirement </w:t>
      </w:r>
      <w:r>
        <w:rPr>
          <w:spacing w:val="-3"/>
          <w:sz w:val="28"/>
          <w:szCs w:val="28"/>
        </w:rPr>
        <w:t xml:space="preserve">under Rule 404 of the Rules of Evidence.  Therefore, the State Bar proposes that the notice provision set forth in Rule 807(b) should read: </w:t>
      </w:r>
    </w:p>
    <w:p w:rsidR="003E2AA7" w:rsidRDefault="003E2AA7" w:rsidP="003E2AA7">
      <w:pPr>
        <w:tabs>
          <w:tab w:val="left" w:pos="-720"/>
        </w:tabs>
        <w:suppressAutoHyphens/>
        <w:spacing w:line="240" w:lineRule="auto"/>
        <w:ind w:left="720" w:right="720" w:firstLine="720"/>
        <w:jc w:val="both"/>
        <w:rPr>
          <w:spacing w:val="-3"/>
          <w:sz w:val="28"/>
          <w:szCs w:val="28"/>
        </w:rPr>
      </w:pPr>
      <w:r>
        <w:rPr>
          <w:spacing w:val="-3"/>
          <w:sz w:val="28"/>
          <w:szCs w:val="28"/>
        </w:rPr>
        <w:t xml:space="preserve">The statement is admissible only if the proponent give an adverse party </w:t>
      </w:r>
      <w:r w:rsidRPr="00D15A63">
        <w:rPr>
          <w:spacing w:val="-3"/>
          <w:sz w:val="28"/>
          <w:szCs w:val="28"/>
        </w:rPr>
        <w:t>reasonable notice of t</w:t>
      </w:r>
      <w:r>
        <w:rPr>
          <w:spacing w:val="-3"/>
          <w:sz w:val="28"/>
          <w:szCs w:val="28"/>
        </w:rPr>
        <w:t>he</w:t>
      </w:r>
      <w:r w:rsidRPr="00D15A63">
        <w:rPr>
          <w:spacing w:val="-3"/>
          <w:sz w:val="28"/>
          <w:szCs w:val="28"/>
        </w:rPr>
        <w:t xml:space="preserve"> statement</w:t>
      </w:r>
      <w:r>
        <w:rPr>
          <w:spacing w:val="-3"/>
          <w:sz w:val="28"/>
          <w:szCs w:val="28"/>
        </w:rPr>
        <w:t>,</w:t>
      </w:r>
      <w:r w:rsidRPr="00D15A63">
        <w:rPr>
          <w:spacing w:val="-3"/>
          <w:sz w:val="28"/>
          <w:szCs w:val="28"/>
        </w:rPr>
        <w:t xml:space="preserve"> including its</w:t>
      </w:r>
      <w:r>
        <w:rPr>
          <w:spacing w:val="-3"/>
          <w:sz w:val="28"/>
          <w:szCs w:val="28"/>
        </w:rPr>
        <w:t xml:space="preserve"> substance and declarant’s name, so that the party has a fair opportunity to meet it. T</w:t>
      </w:r>
      <w:r w:rsidRPr="00D15A63">
        <w:rPr>
          <w:spacing w:val="-3"/>
          <w:sz w:val="28"/>
          <w:szCs w:val="28"/>
        </w:rPr>
        <w:t>he notice</w:t>
      </w:r>
      <w:r>
        <w:rPr>
          <w:spacing w:val="-3"/>
          <w:sz w:val="28"/>
          <w:szCs w:val="28"/>
        </w:rPr>
        <w:t xml:space="preserve"> must be provided in a filing, filed with the court</w:t>
      </w:r>
      <w:r w:rsidRPr="00D15A63">
        <w:rPr>
          <w:spacing w:val="-3"/>
          <w:sz w:val="28"/>
          <w:szCs w:val="28"/>
        </w:rPr>
        <w:t xml:space="preserve"> before the trial </w:t>
      </w:r>
      <w:r>
        <w:rPr>
          <w:spacing w:val="-3"/>
          <w:sz w:val="28"/>
          <w:szCs w:val="28"/>
        </w:rPr>
        <w:t xml:space="preserve">or hearing—or in a filing </w:t>
      </w:r>
      <w:r w:rsidRPr="00D15A63">
        <w:rPr>
          <w:spacing w:val="-3"/>
          <w:sz w:val="28"/>
          <w:szCs w:val="28"/>
        </w:rPr>
        <w:t>during the trial or hearing if the court, for good cause, ex</w:t>
      </w:r>
      <w:r>
        <w:rPr>
          <w:spacing w:val="-3"/>
          <w:sz w:val="28"/>
          <w:szCs w:val="28"/>
        </w:rPr>
        <w:t xml:space="preserve">cuses a lack of earlier notice. </w:t>
      </w:r>
    </w:p>
    <w:p w:rsidR="003E2AA7" w:rsidRDefault="003E2AA7" w:rsidP="003E2AA7">
      <w:pPr>
        <w:tabs>
          <w:tab w:val="left" w:pos="-720"/>
        </w:tabs>
        <w:suppressAutoHyphens/>
        <w:spacing w:line="240" w:lineRule="auto"/>
        <w:ind w:left="720" w:right="720" w:firstLine="720"/>
        <w:jc w:val="both"/>
        <w:rPr>
          <w:spacing w:val="-3"/>
          <w:sz w:val="28"/>
          <w:szCs w:val="28"/>
        </w:rPr>
      </w:pPr>
    </w:p>
    <w:p w:rsidR="003E2AA7" w:rsidRDefault="003E2AA7" w:rsidP="003E2AA7">
      <w:pPr>
        <w:tabs>
          <w:tab w:val="left" w:pos="-720"/>
        </w:tabs>
        <w:suppressAutoHyphens/>
        <w:spacing w:line="480" w:lineRule="auto"/>
        <w:ind w:right="90" w:firstLine="720"/>
        <w:jc w:val="both"/>
        <w:rPr>
          <w:spacing w:val="-3"/>
          <w:sz w:val="28"/>
          <w:szCs w:val="28"/>
        </w:rPr>
      </w:pPr>
      <w:r w:rsidRPr="00017DFD">
        <w:rPr>
          <w:spacing w:val="-3"/>
          <w:sz w:val="28"/>
          <w:szCs w:val="28"/>
        </w:rPr>
        <w:t>Requiring the proponent to file a notice</w:t>
      </w:r>
      <w:r>
        <w:rPr>
          <w:spacing w:val="-3"/>
          <w:sz w:val="28"/>
          <w:szCs w:val="28"/>
        </w:rPr>
        <w:t>-filing</w:t>
      </w:r>
      <w:r w:rsidRPr="00017DFD">
        <w:rPr>
          <w:spacing w:val="-3"/>
          <w:sz w:val="28"/>
          <w:szCs w:val="28"/>
        </w:rPr>
        <w:t xml:space="preserve"> specifically identifying the substance of the statement and the declarant’s name will ensure that any debate over its admissibility under the components of Rule 807(a) are satisfied </w:t>
      </w:r>
      <w:r w:rsidRPr="00017DFD">
        <w:rPr>
          <w:i/>
          <w:spacing w:val="-3"/>
          <w:sz w:val="28"/>
          <w:szCs w:val="28"/>
        </w:rPr>
        <w:t>prior to</w:t>
      </w:r>
      <w:r w:rsidRPr="00017DFD">
        <w:rPr>
          <w:spacing w:val="-3"/>
          <w:sz w:val="28"/>
          <w:szCs w:val="28"/>
        </w:rPr>
        <w:t xml:space="preserve"> trial </w:t>
      </w:r>
      <w:r>
        <w:rPr>
          <w:spacing w:val="-3"/>
          <w:sz w:val="28"/>
          <w:szCs w:val="28"/>
        </w:rPr>
        <w:t>or hearing and thus, before</w:t>
      </w:r>
      <w:r w:rsidRPr="00017DFD">
        <w:rPr>
          <w:spacing w:val="-3"/>
          <w:sz w:val="28"/>
          <w:szCs w:val="28"/>
        </w:rPr>
        <w:t xml:space="preserve"> an attempted introduction </w:t>
      </w:r>
      <w:r>
        <w:rPr>
          <w:spacing w:val="-3"/>
          <w:sz w:val="28"/>
          <w:szCs w:val="28"/>
        </w:rPr>
        <w:t>of the statement</w:t>
      </w:r>
      <w:r w:rsidRPr="00017DFD">
        <w:rPr>
          <w:spacing w:val="-3"/>
          <w:sz w:val="28"/>
          <w:szCs w:val="28"/>
        </w:rPr>
        <w:t>.  Such a procedure serves to avoid surprise and further the fairness and j</w:t>
      </w:r>
      <w:r>
        <w:rPr>
          <w:spacing w:val="-3"/>
          <w:sz w:val="28"/>
          <w:szCs w:val="28"/>
        </w:rPr>
        <w:t>ust determination of the case,</w:t>
      </w:r>
      <w:r w:rsidRPr="00017DFD">
        <w:rPr>
          <w:spacing w:val="-3"/>
          <w:sz w:val="28"/>
          <w:szCs w:val="28"/>
        </w:rPr>
        <w:t xml:space="preserve"> consistent wit</w:t>
      </w:r>
      <w:r>
        <w:rPr>
          <w:spacing w:val="-3"/>
          <w:sz w:val="28"/>
          <w:szCs w:val="28"/>
        </w:rPr>
        <w:t>h Rule 102 of the Rules of Evidence.</w:t>
      </w:r>
    </w:p>
    <w:p w:rsidR="003E2AA7" w:rsidRDefault="003E2AA7" w:rsidP="003E2AA7">
      <w:pPr>
        <w:tabs>
          <w:tab w:val="left" w:pos="-720"/>
        </w:tabs>
        <w:suppressAutoHyphens/>
        <w:spacing w:line="480" w:lineRule="auto"/>
        <w:ind w:right="90" w:firstLine="720"/>
        <w:jc w:val="both"/>
        <w:rPr>
          <w:spacing w:val="-3"/>
          <w:sz w:val="28"/>
          <w:szCs w:val="28"/>
        </w:rPr>
      </w:pPr>
    </w:p>
    <w:p w:rsidR="003E2AA7" w:rsidRDefault="003E2AA7" w:rsidP="003E2AA7">
      <w:pPr>
        <w:tabs>
          <w:tab w:val="left" w:pos="-720"/>
        </w:tabs>
        <w:suppressAutoHyphens/>
        <w:spacing w:line="480" w:lineRule="auto"/>
        <w:ind w:right="90" w:firstLine="720"/>
        <w:jc w:val="both"/>
        <w:rPr>
          <w:spacing w:val="-3"/>
          <w:sz w:val="28"/>
          <w:szCs w:val="28"/>
        </w:rPr>
      </w:pPr>
    </w:p>
    <w:p w:rsidR="003E2AA7" w:rsidRPr="003E2AA7" w:rsidRDefault="003E2AA7" w:rsidP="003E2AA7">
      <w:pPr>
        <w:pStyle w:val="ListParagraph"/>
        <w:spacing w:line="480" w:lineRule="auto"/>
        <w:jc w:val="both"/>
        <w:rPr>
          <w:b/>
          <w:sz w:val="28"/>
          <w:szCs w:val="28"/>
        </w:rPr>
      </w:pPr>
      <w:r>
        <w:rPr>
          <w:b/>
          <w:sz w:val="28"/>
          <w:szCs w:val="28"/>
        </w:rPr>
        <w:lastRenderedPageBreak/>
        <w:t xml:space="preserve">III. </w:t>
      </w:r>
      <w:r w:rsidRPr="00DD733B">
        <w:rPr>
          <w:b/>
          <w:sz w:val="28"/>
          <w:szCs w:val="28"/>
          <w:u w:val="single"/>
        </w:rPr>
        <w:t>Conclusion</w:t>
      </w:r>
      <w:r>
        <w:rPr>
          <w:b/>
          <w:sz w:val="28"/>
          <w:szCs w:val="28"/>
        </w:rPr>
        <w:t>.</w:t>
      </w:r>
    </w:p>
    <w:p w:rsidR="003E2AA7" w:rsidRDefault="003E2AA7" w:rsidP="003E2AA7">
      <w:pPr>
        <w:pStyle w:val="ListParagraph"/>
        <w:spacing w:line="480" w:lineRule="auto"/>
        <w:ind w:left="0" w:right="90" w:firstLine="720"/>
        <w:jc w:val="both"/>
        <w:rPr>
          <w:sz w:val="28"/>
          <w:szCs w:val="28"/>
        </w:rPr>
      </w:pPr>
      <w:r>
        <w:rPr>
          <w:sz w:val="28"/>
          <w:szCs w:val="28"/>
        </w:rPr>
        <w:t xml:space="preserve">The State Bar of Arizona supports the Petition conditioned upon improving the proposed notice requirement, as set forth in this Comment.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3E2AA7" w:rsidRPr="00C52E56" w:rsidRDefault="003E2AA7"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85090B">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07B9"/>
    <w:multiLevelType w:val="hybridMultilevel"/>
    <w:tmpl w:val="C30C18CA"/>
    <w:lvl w:ilvl="0" w:tplc="40B4B6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C02273"/>
    <w:multiLevelType w:val="hybridMultilevel"/>
    <w:tmpl w:val="D40A142A"/>
    <w:lvl w:ilvl="0" w:tplc="9782E0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E2AA7"/>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5090B"/>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unhideWhenUsed/>
    <w:qFormat/>
    <w:rsid w:val="003E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BFD2-FB0F-4FB6-A147-67B138C7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4</Pages>
  <Words>687</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2018-05-17T17:48:00Z</cp:lastPrinted>
  <dcterms:created xsi:type="dcterms:W3CDTF">2018-05-10T22:29:00Z</dcterms:created>
  <dcterms:modified xsi:type="dcterms:W3CDTF">2018-05-17T17:49:00Z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