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512453" w:rsidRDefault="00E67511" w:rsidP="00512453">
            <w:pPr>
              <w:pStyle w:val="Caption"/>
              <w:spacing w:before="240" w:line="260" w:lineRule="exact"/>
              <w:rPr>
                <w:b/>
                <w:sz w:val="28"/>
                <w:szCs w:val="28"/>
              </w:rPr>
            </w:pPr>
            <w:r w:rsidRPr="00732169">
              <w:rPr>
                <w:b/>
                <w:sz w:val="28"/>
                <w:szCs w:val="28"/>
              </w:rPr>
              <w:t xml:space="preserve">PETITION TO </w:t>
            </w:r>
            <w:r w:rsidR="00E92FE2">
              <w:rPr>
                <w:b/>
                <w:sz w:val="28"/>
                <w:szCs w:val="28"/>
              </w:rPr>
              <w:t>FURTHER AMEND ARIZONA RULES OF CIVIL PROCEDURE TO MODIFY RULE 11 AND ADD RULE 26(b)(2)(D)</w:t>
            </w:r>
            <w:r w:rsidR="00512453">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E92FE2">
              <w:rPr>
                <w:sz w:val="28"/>
                <w:szCs w:val="28"/>
              </w:rPr>
              <w:t>17</w:t>
            </w:r>
            <w:r w:rsidR="00F850BE">
              <w:rPr>
                <w:sz w:val="28"/>
                <w:szCs w:val="28"/>
              </w:rPr>
              <w:t>-</w:t>
            </w:r>
            <w:r w:rsidR="00E92FE2">
              <w:rPr>
                <w:sz w:val="28"/>
                <w:szCs w:val="28"/>
              </w:rPr>
              <w:t>0050</w:t>
            </w:r>
          </w:p>
          <w:p w:rsidR="00512453" w:rsidRDefault="007E3CCB" w:rsidP="000F7A7F">
            <w:pPr>
              <w:pStyle w:val="Caption"/>
              <w:tabs>
                <w:tab w:val="left" w:pos="1238"/>
              </w:tabs>
              <w:spacing w:line="260" w:lineRule="exact"/>
              <w:ind w:right="115"/>
              <w:jc w:val="center"/>
              <w:rPr>
                <w:b/>
                <w:sz w:val="28"/>
                <w:szCs w:val="28"/>
              </w:rPr>
            </w:pPr>
            <w:r w:rsidRPr="00E92FE2">
              <w:rPr>
                <w:b/>
                <w:sz w:val="28"/>
                <w:szCs w:val="28"/>
              </w:rPr>
              <w:t>COMMENT</w:t>
            </w:r>
            <w:r w:rsidR="00E92FE2" w:rsidRPr="00E92FE2">
              <w:rPr>
                <w:b/>
                <w:sz w:val="28"/>
                <w:szCs w:val="28"/>
              </w:rPr>
              <w:t xml:space="preserve"> OF THE </w:t>
            </w:r>
          </w:p>
          <w:p w:rsidR="00357F4D" w:rsidRPr="006F63FD" w:rsidRDefault="00E92FE2" w:rsidP="000F7A7F">
            <w:pPr>
              <w:pStyle w:val="Caption"/>
              <w:tabs>
                <w:tab w:val="left" w:pos="1238"/>
              </w:tabs>
              <w:spacing w:line="260" w:lineRule="exact"/>
              <w:ind w:right="115"/>
              <w:jc w:val="center"/>
              <w:rPr>
                <w:b/>
                <w:sz w:val="28"/>
                <w:szCs w:val="28"/>
              </w:rPr>
            </w:pPr>
            <w:r w:rsidRPr="00E92FE2">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E92FE2" w:rsidRPr="007875CA" w:rsidRDefault="00E92FE2" w:rsidP="00E92FE2">
      <w:pPr>
        <w:pStyle w:val="Style13ptJustifiedFirstline05LinespacingExactly2"/>
        <w:spacing w:line="480" w:lineRule="auto"/>
        <w:rPr>
          <w:sz w:val="28"/>
          <w:szCs w:val="28"/>
        </w:rPr>
      </w:pPr>
      <w:r w:rsidRPr="00D058E9">
        <w:rPr>
          <w:sz w:val="28"/>
          <w:szCs w:val="28"/>
        </w:rPr>
        <w:t xml:space="preserve">The State Bar opposes the Petition’s proposed amendments to Rules 11 and 26(b).  Essentially identical amendments </w:t>
      </w:r>
      <w:r>
        <w:rPr>
          <w:sz w:val="28"/>
          <w:szCs w:val="28"/>
        </w:rPr>
        <w:t xml:space="preserve">that </w:t>
      </w:r>
      <w:r w:rsidRPr="00D058E9">
        <w:rPr>
          <w:sz w:val="28"/>
          <w:szCs w:val="28"/>
        </w:rPr>
        <w:t>were proposed a year ago in a petition filed by the Committee on Civil Justice Reform (“CCJR”), were opposed by the State Bar in a comment, and were ultimately rejected by the Supreme Court.  As pointed out in that earlier comment, the proposed amendments to Rule 11 would move the Rule further awa</w:t>
      </w:r>
      <w:r w:rsidR="006B11F3">
        <w:rPr>
          <w:sz w:val="28"/>
          <w:szCs w:val="28"/>
        </w:rPr>
        <w:t>y from the language of federal R</w:t>
      </w:r>
      <w:r w:rsidRPr="00D058E9">
        <w:rPr>
          <w:sz w:val="28"/>
          <w:szCs w:val="28"/>
        </w:rPr>
        <w:t xml:space="preserve">ule 11, undoing recent amendments that brought our Rule into greater lockstep with the federal rule.  And, as recognized </w:t>
      </w:r>
      <w:r w:rsidRPr="00D058E9">
        <w:rPr>
          <w:sz w:val="28"/>
          <w:szCs w:val="28"/>
        </w:rPr>
        <w:lastRenderedPageBreak/>
        <w:t>by the Petition itself, the proposed amendments would push Arizona into the minority and away from the recent trend</w:t>
      </w:r>
      <w:r>
        <w:rPr>
          <w:sz w:val="28"/>
          <w:szCs w:val="28"/>
        </w:rPr>
        <w:t xml:space="preserve"> regarding R</w:t>
      </w:r>
      <w:r w:rsidRPr="00D058E9">
        <w:rPr>
          <w:sz w:val="28"/>
          <w:szCs w:val="28"/>
        </w:rPr>
        <w:t xml:space="preserve">ule 11 sanctions.  With respect to the Petition’s proposed addition of Rule 26(b)(2)(D) mandating the enforcement of pre-litigation contracts limiting preservation and disclosure obligations, </w:t>
      </w:r>
      <w:r>
        <w:rPr>
          <w:sz w:val="28"/>
          <w:szCs w:val="28"/>
        </w:rPr>
        <w:t xml:space="preserve">the State Bar understands the potential issues the Petition is seeking to solve, but </w:t>
      </w:r>
      <w:r w:rsidRPr="00D058E9">
        <w:rPr>
          <w:sz w:val="28"/>
          <w:szCs w:val="28"/>
        </w:rPr>
        <w:t xml:space="preserve">the Petition does not cite </w:t>
      </w:r>
      <w:r>
        <w:rPr>
          <w:sz w:val="28"/>
          <w:szCs w:val="28"/>
        </w:rPr>
        <w:t>any case</w:t>
      </w:r>
      <w:r w:rsidRPr="00D058E9">
        <w:rPr>
          <w:sz w:val="28"/>
          <w:szCs w:val="28"/>
        </w:rPr>
        <w:t xml:space="preserve"> enforcing or even analyzing such </w:t>
      </w:r>
      <w:r>
        <w:rPr>
          <w:sz w:val="28"/>
          <w:szCs w:val="28"/>
        </w:rPr>
        <w:t>contractual</w:t>
      </w:r>
      <w:r w:rsidRPr="00D058E9">
        <w:rPr>
          <w:sz w:val="28"/>
          <w:szCs w:val="28"/>
        </w:rPr>
        <w:t xml:space="preserve"> provision</w:t>
      </w:r>
      <w:r>
        <w:rPr>
          <w:sz w:val="28"/>
          <w:szCs w:val="28"/>
        </w:rPr>
        <w:t>s</w:t>
      </w:r>
      <w:r w:rsidRPr="00D058E9">
        <w:rPr>
          <w:sz w:val="28"/>
          <w:szCs w:val="28"/>
        </w:rPr>
        <w:t xml:space="preserve">.  In addition, the </w:t>
      </w:r>
      <w:r>
        <w:rPr>
          <w:sz w:val="28"/>
          <w:szCs w:val="28"/>
        </w:rPr>
        <w:t xml:space="preserve">proposed rule </w:t>
      </w:r>
      <w:r w:rsidRPr="00D058E9">
        <w:rPr>
          <w:sz w:val="28"/>
          <w:szCs w:val="28"/>
        </w:rPr>
        <w:t xml:space="preserve">provision </w:t>
      </w:r>
      <w:r>
        <w:rPr>
          <w:sz w:val="28"/>
          <w:szCs w:val="28"/>
        </w:rPr>
        <w:t>could lead to</w:t>
      </w:r>
      <w:r w:rsidRPr="00D058E9">
        <w:rPr>
          <w:sz w:val="28"/>
          <w:szCs w:val="28"/>
        </w:rPr>
        <w:t xml:space="preserve"> </w:t>
      </w:r>
      <w:r>
        <w:rPr>
          <w:sz w:val="28"/>
          <w:szCs w:val="28"/>
        </w:rPr>
        <w:t>several</w:t>
      </w:r>
      <w:r w:rsidRPr="00D058E9">
        <w:rPr>
          <w:sz w:val="28"/>
          <w:szCs w:val="28"/>
        </w:rPr>
        <w:t xml:space="preserve"> potential problems</w:t>
      </w:r>
      <w:r>
        <w:rPr>
          <w:sz w:val="28"/>
          <w:szCs w:val="28"/>
        </w:rPr>
        <w:t xml:space="preserve"> discussed below</w:t>
      </w:r>
      <w:r w:rsidRPr="00D058E9">
        <w:rPr>
          <w:sz w:val="28"/>
          <w:szCs w:val="28"/>
        </w:rPr>
        <w:t>.</w:t>
      </w:r>
      <w:r>
        <w:rPr>
          <w:sz w:val="28"/>
          <w:szCs w:val="28"/>
        </w:rPr>
        <w:t xml:space="preserve"> </w:t>
      </w:r>
    </w:p>
    <w:p w:rsidR="00E92FE2" w:rsidRPr="007875CA" w:rsidRDefault="00E92FE2" w:rsidP="00E92FE2">
      <w:pPr>
        <w:pStyle w:val="Heading1"/>
        <w:keepLines/>
        <w:tabs>
          <w:tab w:val="num" w:pos="720"/>
        </w:tabs>
        <w:spacing w:line="480" w:lineRule="exact"/>
        <w:rPr>
          <w:sz w:val="28"/>
          <w:szCs w:val="28"/>
          <w:u w:val="single"/>
        </w:rPr>
      </w:pPr>
      <w:r w:rsidRPr="007875CA">
        <w:rPr>
          <w:sz w:val="28"/>
          <w:szCs w:val="28"/>
          <w:u w:val="single"/>
        </w:rPr>
        <w:t>Background of Proposed Amendments</w:t>
      </w:r>
    </w:p>
    <w:p w:rsidR="00E92FE2" w:rsidRDefault="00E92FE2" w:rsidP="00E92FE2">
      <w:pPr>
        <w:pStyle w:val="Style13ptJustifiedFirstline05LinespacingDouble"/>
        <w:spacing w:line="480" w:lineRule="auto"/>
        <w:ind w:firstLine="0"/>
        <w:rPr>
          <w:sz w:val="28"/>
          <w:szCs w:val="28"/>
        </w:rPr>
      </w:pPr>
    </w:p>
    <w:p w:rsidR="00E92FE2" w:rsidRDefault="00E92FE2" w:rsidP="00E92FE2">
      <w:pPr>
        <w:pStyle w:val="Style13ptJustifiedFirstline05LinespacingDouble"/>
        <w:spacing w:line="480" w:lineRule="auto"/>
        <w:rPr>
          <w:sz w:val="28"/>
          <w:szCs w:val="28"/>
        </w:rPr>
      </w:pPr>
      <w:r w:rsidRPr="007875CA">
        <w:rPr>
          <w:sz w:val="28"/>
          <w:szCs w:val="28"/>
        </w:rPr>
        <w:t xml:space="preserve">As the Petition </w:t>
      </w:r>
      <w:r>
        <w:rPr>
          <w:sz w:val="28"/>
          <w:szCs w:val="28"/>
        </w:rPr>
        <w:t>notes, its proposed amendments to Rule 11 and proposed addition of Rule 26(b</w:t>
      </w:r>
      <w:proofErr w:type="gramStart"/>
      <w:r>
        <w:rPr>
          <w:sz w:val="28"/>
          <w:szCs w:val="28"/>
        </w:rPr>
        <w:t>)(</w:t>
      </w:r>
      <w:proofErr w:type="gramEnd"/>
      <w:r>
        <w:rPr>
          <w:sz w:val="28"/>
          <w:szCs w:val="28"/>
        </w:rPr>
        <w:t>2)(D) are not the first time either proposal has been before the Court.  Accordingly, the State Bar believes some discussion of the history leading up to the Petition’s proposals would be helpful.</w:t>
      </w:r>
    </w:p>
    <w:p w:rsidR="00E92FE2" w:rsidRDefault="00E92FE2" w:rsidP="00E92FE2">
      <w:pPr>
        <w:pStyle w:val="Style13ptJustifiedFirstline05LinespacingDouble"/>
        <w:spacing w:line="480" w:lineRule="auto"/>
        <w:rPr>
          <w:sz w:val="28"/>
          <w:szCs w:val="28"/>
        </w:rPr>
      </w:pPr>
      <w:r>
        <w:rPr>
          <w:sz w:val="28"/>
          <w:szCs w:val="28"/>
        </w:rPr>
        <w:t xml:space="preserve">On January 6, 2015, the State Bar filed a Petition (R-15-0004) proposing a number of amendments to Rule 11, including federalizing the language regarding the representations made by a signature on a pleading or other filing (Rule 11(b)) and changing the word “shall” to “must” regarding sanctions for a failure to comply with the Rule 11 certifications (Rule 11(c)).  Two comments were filed to that Petition, one by the Pima County Bar Association (“PCBA”) on May 15, 2015, and </w:t>
      </w:r>
      <w:r>
        <w:rPr>
          <w:sz w:val="28"/>
          <w:szCs w:val="28"/>
        </w:rPr>
        <w:lastRenderedPageBreak/>
        <w:t xml:space="preserve">the other by the Arizona Chamber of Commerce (“Chamber”) on May 20, 2015.  The PCBA Comment supported the Petition’s proposed amendments with the exception of changing the word “shall” to “must”.  The PCBA advocated for changing the word to “may” instead, noting that use of the word “may” would be consistent with both federal Rule 11 and with Arizona case law reviewing Superior Courts’ Rule 11 sanctions decisions under an abuse of discretion standard (citing </w:t>
      </w:r>
      <w:r w:rsidRPr="00230C9C">
        <w:rPr>
          <w:i/>
          <w:sz w:val="28"/>
          <w:szCs w:val="28"/>
        </w:rPr>
        <w:t xml:space="preserve">Taliaferro v. Taliaferro, </w:t>
      </w:r>
      <w:r w:rsidRPr="00230C9C">
        <w:rPr>
          <w:sz w:val="28"/>
          <w:szCs w:val="28"/>
        </w:rPr>
        <w:t>188 Ar</w:t>
      </w:r>
      <w:r>
        <w:rPr>
          <w:sz w:val="28"/>
          <w:szCs w:val="28"/>
        </w:rPr>
        <w:t xml:space="preserve">iz. 333, 341 </w:t>
      </w:r>
      <w:r w:rsidRPr="00230C9C">
        <w:rPr>
          <w:sz w:val="28"/>
          <w:szCs w:val="28"/>
        </w:rPr>
        <w:t>(App. 19</w:t>
      </w:r>
      <w:r>
        <w:rPr>
          <w:sz w:val="28"/>
          <w:szCs w:val="28"/>
        </w:rPr>
        <w:t>96)).  In contrast, the Chamber’s comment supported mandatory sanctions through use of the word “must”.  No comment was made regarding the federalization of the language of 11(b).  At its August 26, 2015 meeting to consider pending rules petitions, the Supreme Court continued its consideration of Petition R-15-0004, apparently in light of the fact that the Court-appointed Task Force on the Arizona Rules of Civil Procedure was at that time itself considering possible amendments to Rule 11 pursuant to its charge to</w:t>
      </w:r>
      <w:r w:rsidRPr="00890757">
        <w:rPr>
          <w:sz w:val="28"/>
          <w:szCs w:val="28"/>
        </w:rPr>
        <w:t xml:space="preserve"> </w:t>
      </w:r>
      <w:r>
        <w:rPr>
          <w:sz w:val="28"/>
          <w:szCs w:val="28"/>
        </w:rPr>
        <w:t>“</w:t>
      </w:r>
      <w:r w:rsidRPr="00890757">
        <w:rPr>
          <w:sz w:val="28"/>
          <w:szCs w:val="28"/>
        </w:rPr>
        <w:t>identify possible changes to conform to modern usage, to clarify and simplify language, and to avoid unintended variation from language in counterpart federal rules</w:t>
      </w:r>
      <w:r>
        <w:rPr>
          <w:sz w:val="28"/>
          <w:szCs w:val="28"/>
        </w:rPr>
        <w:t>,” while “</w:t>
      </w:r>
      <w:proofErr w:type="spellStart"/>
      <w:r>
        <w:rPr>
          <w:sz w:val="28"/>
          <w:szCs w:val="28"/>
        </w:rPr>
        <w:t>promot</w:t>
      </w:r>
      <w:proofErr w:type="spellEnd"/>
      <w:r>
        <w:rPr>
          <w:sz w:val="28"/>
          <w:szCs w:val="28"/>
        </w:rPr>
        <w:t>[</w:t>
      </w:r>
      <w:proofErr w:type="spellStart"/>
      <w:r>
        <w:rPr>
          <w:sz w:val="28"/>
          <w:szCs w:val="28"/>
        </w:rPr>
        <w:t>ing</w:t>
      </w:r>
      <w:proofErr w:type="spellEnd"/>
      <w:r>
        <w:rPr>
          <w:sz w:val="28"/>
          <w:szCs w:val="28"/>
        </w:rPr>
        <w:t>]</w:t>
      </w:r>
      <w:r w:rsidRPr="00890757">
        <w:rPr>
          <w:sz w:val="28"/>
          <w:szCs w:val="28"/>
        </w:rPr>
        <w:t xml:space="preserve"> access to the courts and the resolution of cases without unnecessary cost, delay, or complexity.</w:t>
      </w:r>
      <w:r>
        <w:rPr>
          <w:sz w:val="28"/>
          <w:szCs w:val="28"/>
        </w:rPr>
        <w:t>”  Admin. Order No. 2014-116.</w:t>
      </w:r>
    </w:p>
    <w:p w:rsidR="00E92FE2" w:rsidRDefault="00E92FE2" w:rsidP="00E92FE2">
      <w:pPr>
        <w:pStyle w:val="Style13ptJustifiedFirstline05LinespacingDouble"/>
        <w:spacing w:line="480" w:lineRule="auto"/>
        <w:rPr>
          <w:sz w:val="28"/>
          <w:szCs w:val="28"/>
        </w:rPr>
      </w:pPr>
      <w:r>
        <w:rPr>
          <w:sz w:val="28"/>
          <w:szCs w:val="28"/>
        </w:rPr>
        <w:t xml:space="preserve">On December 29, 2015, the PCBA filed a Petition (R-15-0043) in which it asked the Court to amend Rule 11(c) to use the word “may” rather than “shall” or </w:t>
      </w:r>
      <w:r>
        <w:rPr>
          <w:sz w:val="28"/>
          <w:szCs w:val="28"/>
        </w:rPr>
        <w:lastRenderedPageBreak/>
        <w:t>“must”.  In support of that position, the Petition discussed in some detail the history of federal Rule 11 and the merits of its switch to the word “may” in Rule 11 in 1993.  On May 12, 2016, the State Bar filed a comment changing course from its prior petition and coming out in support of the PCBA’s proposal to use the word “may” instead of “must”.  As the State Bar explained in that comment:</w:t>
      </w:r>
    </w:p>
    <w:p w:rsidR="00E92FE2" w:rsidRDefault="00E92FE2" w:rsidP="00E92FE2">
      <w:pPr>
        <w:pStyle w:val="Style13ptJustifiedFirstline05LinespacingDouble"/>
        <w:spacing w:after="240" w:line="240" w:lineRule="auto"/>
        <w:ind w:left="720" w:right="720" w:firstLine="0"/>
        <w:rPr>
          <w:sz w:val="28"/>
          <w:szCs w:val="28"/>
        </w:rPr>
      </w:pPr>
      <w:r w:rsidRPr="00270EB0">
        <w:rPr>
          <w:sz w:val="28"/>
          <w:szCs w:val="28"/>
        </w:rPr>
        <w:t>Upon further review, the State Bar agrees with the wisdom of the PCBA’s proposal.  As a preliminary matter, the State Bar notes that its Board of Governors considered the same proposal when it met concerning what was eventually filed as Petition R-15-0004, and nearly suggested at that time the very change the PCBA later suggested by its comment on that Petition, and in Petition R-15-0043.  There are many reasons the State Bar is now persuaded that this approach is correct.</w:t>
      </w:r>
    </w:p>
    <w:p w:rsidR="00E92FE2" w:rsidRDefault="00E92FE2" w:rsidP="00E92FE2">
      <w:pPr>
        <w:pStyle w:val="Style13ptJustifiedFirstline05LinespacingDouble"/>
        <w:spacing w:line="480" w:lineRule="auto"/>
        <w:ind w:firstLine="0"/>
        <w:rPr>
          <w:sz w:val="28"/>
          <w:szCs w:val="28"/>
        </w:rPr>
      </w:pPr>
      <w:r>
        <w:rPr>
          <w:sz w:val="28"/>
          <w:szCs w:val="28"/>
        </w:rPr>
        <w:t xml:space="preserve">The State Bar then went on to explain in the comment that it favored the use of “may” to achieve greater consistency with the federal rule, especially in light of the lack of any </w:t>
      </w:r>
      <w:r w:rsidRPr="00270EB0">
        <w:rPr>
          <w:sz w:val="28"/>
          <w:szCs w:val="28"/>
        </w:rPr>
        <w:t xml:space="preserve">empirical or anecdotal evidence </w:t>
      </w:r>
      <w:r>
        <w:rPr>
          <w:sz w:val="28"/>
          <w:szCs w:val="28"/>
        </w:rPr>
        <w:t>suggesting that</w:t>
      </w:r>
      <w:r w:rsidRPr="00270EB0">
        <w:rPr>
          <w:sz w:val="28"/>
          <w:szCs w:val="28"/>
        </w:rPr>
        <w:t xml:space="preserve"> the permissive sanctions approach</w:t>
      </w:r>
      <w:r>
        <w:rPr>
          <w:sz w:val="28"/>
          <w:szCs w:val="28"/>
        </w:rPr>
        <w:t xml:space="preserve"> utilized in the federal system for the past 25 years had been </w:t>
      </w:r>
      <w:r w:rsidRPr="00270EB0">
        <w:rPr>
          <w:sz w:val="28"/>
          <w:szCs w:val="28"/>
        </w:rPr>
        <w:t>ineffective.</w:t>
      </w:r>
    </w:p>
    <w:p w:rsidR="00E92FE2" w:rsidRDefault="00E92FE2" w:rsidP="00E92FE2">
      <w:pPr>
        <w:pStyle w:val="Style13ptJustifiedFirstline05LinespacingDouble"/>
        <w:spacing w:line="480" w:lineRule="auto"/>
        <w:rPr>
          <w:sz w:val="28"/>
          <w:szCs w:val="28"/>
        </w:rPr>
      </w:pPr>
      <w:r>
        <w:rPr>
          <w:sz w:val="28"/>
          <w:szCs w:val="28"/>
        </w:rPr>
        <w:t xml:space="preserve">On January 7, 2016, the Task Force on the Arizona Rules of Civil Procedure filed a Petition (R-16-0010) in which it proposed a number of amendments to Rule 11, including the same changes previously proposed by the State Bar to federalize the language of 11(b) regarding the certifications made by a signature on a pleading or other filing and the same change of the word “shall” to “must” in 11(c).  On April 1, 2016, the State Bar filed a comment in which it supported all of the proposed changes to Rule 11 with the exception of using the word “may” instead of the word </w:t>
      </w:r>
      <w:r>
        <w:rPr>
          <w:sz w:val="28"/>
          <w:szCs w:val="28"/>
        </w:rPr>
        <w:lastRenderedPageBreak/>
        <w:t>“must” in 11(c), referencing the comment it would be filing in support of the PCBA’s Petition.  In response to the State Bar’s comment and the PCBA’s petition, the Task Force filed an Amended Petition on May 12, 2016, in which it agreed with the PCBA and State Bar and proposed use of the word “may” in 11(c).  On July 11, 2016, the Chamber filed a comment to the Amended Petition in which it opposed the use of “may” versus “must” and took the position that 11(b) should not be amended to incorporate the federal language regarding the certifications made by a signature on a pleading or other filing but should instead use the phrase “</w:t>
      </w:r>
      <w:r w:rsidRPr="00816F7C">
        <w:rPr>
          <w:sz w:val="28"/>
          <w:szCs w:val="28"/>
        </w:rPr>
        <w:t xml:space="preserve">good faith and reasonable argument” </w:t>
      </w:r>
      <w:r>
        <w:rPr>
          <w:sz w:val="28"/>
          <w:szCs w:val="28"/>
        </w:rPr>
        <w:t>rather than “</w:t>
      </w:r>
      <w:proofErr w:type="spellStart"/>
      <w:r>
        <w:rPr>
          <w:sz w:val="28"/>
          <w:szCs w:val="28"/>
        </w:rPr>
        <w:t>nonfrivolous</w:t>
      </w:r>
      <w:proofErr w:type="spellEnd"/>
      <w:r>
        <w:rPr>
          <w:sz w:val="28"/>
          <w:szCs w:val="28"/>
        </w:rPr>
        <w:t>” and use the phrase “well grounded in fact” rather than “evidentiary support”.</w:t>
      </w:r>
    </w:p>
    <w:p w:rsidR="00E92FE2" w:rsidRDefault="00E92FE2" w:rsidP="00E92FE2">
      <w:pPr>
        <w:pStyle w:val="Style13ptJustifiedFirstline05LinespacingDouble"/>
        <w:spacing w:line="480" w:lineRule="auto"/>
        <w:rPr>
          <w:sz w:val="28"/>
          <w:szCs w:val="28"/>
        </w:rPr>
      </w:pPr>
      <w:r>
        <w:rPr>
          <w:sz w:val="28"/>
          <w:szCs w:val="28"/>
        </w:rPr>
        <w:t>With all of these materials relating to petitions R-15-0004, R-15-0043, and R-16-0010 in front of it, the Supreme Court at its August 2016 rules meeting adopted in their entirety the amendments to Rule 11(b) and (c) proposed by the Task Force in its amended petition.</w:t>
      </w:r>
    </w:p>
    <w:p w:rsidR="00E92FE2" w:rsidRDefault="00E92FE2" w:rsidP="00E92FE2">
      <w:pPr>
        <w:pStyle w:val="Style13ptJustifiedFirstline05LinespacingDouble"/>
        <w:spacing w:line="480" w:lineRule="auto"/>
        <w:rPr>
          <w:sz w:val="28"/>
          <w:szCs w:val="28"/>
        </w:rPr>
      </w:pPr>
      <w:r>
        <w:rPr>
          <w:sz w:val="28"/>
          <w:szCs w:val="28"/>
        </w:rPr>
        <w:t xml:space="preserve">With that decision on Rule 11 having been made and having gone into effect on January 1, 2017, another committee appointed by the Supreme Court — the </w:t>
      </w:r>
      <w:r w:rsidRPr="004F0BAA">
        <w:rPr>
          <w:sz w:val="28"/>
          <w:szCs w:val="28"/>
        </w:rPr>
        <w:t xml:space="preserve">Committee on Civil Justice Reform </w:t>
      </w:r>
      <w:r>
        <w:rPr>
          <w:sz w:val="28"/>
          <w:szCs w:val="28"/>
        </w:rPr>
        <w:t>(“CCJR”),</w:t>
      </w:r>
      <w:r>
        <w:rPr>
          <w:rStyle w:val="FootnoteReference"/>
          <w:sz w:val="28"/>
          <w:szCs w:val="28"/>
        </w:rPr>
        <w:footnoteReference w:id="1"/>
      </w:r>
      <w:r>
        <w:rPr>
          <w:sz w:val="28"/>
          <w:szCs w:val="28"/>
        </w:rPr>
        <w:t xml:space="preserve"> which was charged</w:t>
      </w:r>
      <w:r w:rsidRPr="009D5BD4">
        <w:rPr>
          <w:sz w:val="28"/>
          <w:szCs w:val="28"/>
        </w:rPr>
        <w:t xml:space="preserve"> with developing recommendations “to reduce the cost and time required to resolve civil cases</w:t>
      </w:r>
      <w:r>
        <w:rPr>
          <w:sz w:val="28"/>
          <w:szCs w:val="28"/>
        </w:rPr>
        <w:t xml:space="preserve"> in </w:t>
      </w:r>
      <w:r>
        <w:rPr>
          <w:sz w:val="28"/>
          <w:szCs w:val="28"/>
        </w:rPr>
        <w:lastRenderedPageBreak/>
        <w:t xml:space="preserve">Arizona’s superior courts” — filed a petition (R-17-0010) in which it proposed, among other things: (1) amending Rule 11(b) such that a signature would certify that a claim was “colorable” and “well grounded in fact” and amending Rule 11(c) to make sanctions mandatory through use of the word “must” rather than “may”; and (2) adding a provision in Rule 26(b)(2)(D) </w:t>
      </w:r>
      <w:r w:rsidRPr="0009554B">
        <w:rPr>
          <w:sz w:val="28"/>
          <w:szCs w:val="28"/>
        </w:rPr>
        <w:t>to presumptively enforce contracts between businesses “limiting a party or person’s obligation to preserve information, or to provide</w:t>
      </w:r>
      <w:r>
        <w:rPr>
          <w:sz w:val="28"/>
          <w:szCs w:val="28"/>
        </w:rPr>
        <w:t xml:space="preserve"> </w:t>
      </w:r>
      <w:r w:rsidRPr="0009554B">
        <w:rPr>
          <w:sz w:val="28"/>
          <w:szCs w:val="28"/>
        </w:rPr>
        <w:t>disclosure or discovery.”</w:t>
      </w:r>
      <w:r>
        <w:rPr>
          <w:sz w:val="28"/>
          <w:szCs w:val="28"/>
        </w:rPr>
        <w:t xml:space="preserve">  On May 22, 2017, the State Bar filed a comment in which it supported many of the CCJR’s proposals, but opposed the proposed amendments to Rule 11 and the proposed addition of </w:t>
      </w:r>
      <w:r w:rsidRPr="00F1740D">
        <w:rPr>
          <w:sz w:val="28"/>
          <w:szCs w:val="28"/>
        </w:rPr>
        <w:t>Rule 26(b)(2)(D)</w:t>
      </w:r>
      <w:r>
        <w:rPr>
          <w:sz w:val="28"/>
          <w:szCs w:val="28"/>
        </w:rPr>
        <w:t>.</w:t>
      </w:r>
    </w:p>
    <w:p w:rsidR="00E92FE2" w:rsidRDefault="00E92FE2" w:rsidP="00E92FE2">
      <w:pPr>
        <w:pStyle w:val="Style13ptJustifiedFirstline05LinespacingDouble"/>
        <w:spacing w:line="480" w:lineRule="auto"/>
        <w:rPr>
          <w:sz w:val="28"/>
          <w:szCs w:val="28"/>
        </w:rPr>
      </w:pPr>
      <w:r>
        <w:rPr>
          <w:sz w:val="28"/>
          <w:szCs w:val="28"/>
        </w:rPr>
        <w:t>Again, with all these material</w:t>
      </w:r>
      <w:r w:rsidR="00F11431">
        <w:rPr>
          <w:sz w:val="28"/>
          <w:szCs w:val="28"/>
        </w:rPr>
        <w:t>s</w:t>
      </w:r>
      <w:r>
        <w:rPr>
          <w:sz w:val="28"/>
          <w:szCs w:val="28"/>
        </w:rPr>
        <w:t xml:space="preserve"> in front of it, the Arizona Supreme Court at its August 2017 rules meeting declined to adopt the proposed amendments to Rule 11(b) and 11(c) and the proposed addition of Rule 26(b)(2)(D).</w:t>
      </w:r>
    </w:p>
    <w:p w:rsidR="00E92FE2" w:rsidRDefault="00E92FE2" w:rsidP="00E92FE2">
      <w:pPr>
        <w:pStyle w:val="Style13ptJustifiedFirstline05LinespacingDouble"/>
        <w:spacing w:line="480" w:lineRule="auto"/>
        <w:rPr>
          <w:sz w:val="28"/>
          <w:szCs w:val="28"/>
        </w:rPr>
      </w:pPr>
      <w:r>
        <w:rPr>
          <w:sz w:val="28"/>
          <w:szCs w:val="28"/>
        </w:rPr>
        <w:t>Thus, the current pending Petition marks the third time in the last three years that the Court has been asked to consider making sanctions mandatory under 11(c) and changing the certifications of 11(b) to “colorable” and “well grounded in fact”, and the second time in the last two years it has been asked to add a provision in Rule 26(b</w:t>
      </w:r>
      <w:proofErr w:type="gramStart"/>
      <w:r>
        <w:rPr>
          <w:sz w:val="28"/>
          <w:szCs w:val="28"/>
        </w:rPr>
        <w:t>)(</w:t>
      </w:r>
      <w:proofErr w:type="gramEnd"/>
      <w:r>
        <w:rPr>
          <w:sz w:val="28"/>
          <w:szCs w:val="28"/>
        </w:rPr>
        <w:t>2)(D) mandating enforcement of contracts limiting preservation and discovery obligations.</w:t>
      </w:r>
    </w:p>
    <w:p w:rsidR="00E92FE2" w:rsidRPr="007875CA" w:rsidRDefault="00E92FE2" w:rsidP="00E92FE2">
      <w:pPr>
        <w:pStyle w:val="Heading1"/>
        <w:keepLines/>
        <w:tabs>
          <w:tab w:val="num" w:pos="720"/>
        </w:tabs>
        <w:spacing w:line="480" w:lineRule="auto"/>
        <w:jc w:val="both"/>
        <w:rPr>
          <w:sz w:val="28"/>
          <w:szCs w:val="28"/>
        </w:rPr>
      </w:pPr>
      <w:r w:rsidRPr="007875CA">
        <w:rPr>
          <w:sz w:val="28"/>
          <w:szCs w:val="28"/>
        </w:rPr>
        <w:t>I.</w:t>
      </w:r>
      <w:r w:rsidRPr="007875CA">
        <w:rPr>
          <w:sz w:val="28"/>
          <w:szCs w:val="28"/>
        </w:rPr>
        <w:tab/>
        <w:t xml:space="preserve">The </w:t>
      </w:r>
      <w:r>
        <w:rPr>
          <w:sz w:val="28"/>
          <w:szCs w:val="28"/>
        </w:rPr>
        <w:t xml:space="preserve">Petition’s </w:t>
      </w:r>
      <w:r w:rsidRPr="007875CA">
        <w:rPr>
          <w:sz w:val="28"/>
          <w:szCs w:val="28"/>
        </w:rPr>
        <w:t>Proposed Amen</w:t>
      </w:r>
      <w:r>
        <w:rPr>
          <w:sz w:val="28"/>
          <w:szCs w:val="28"/>
        </w:rPr>
        <w:t>dments to Rule 11</w:t>
      </w:r>
    </w:p>
    <w:p w:rsidR="00E92FE2" w:rsidRDefault="00E92FE2" w:rsidP="00E92FE2">
      <w:pPr>
        <w:widowControl w:val="0"/>
        <w:autoSpaceDE w:val="0"/>
        <w:autoSpaceDN w:val="0"/>
        <w:adjustRightInd w:val="0"/>
        <w:spacing w:line="480" w:lineRule="auto"/>
        <w:ind w:firstLine="720"/>
        <w:jc w:val="both"/>
        <w:rPr>
          <w:sz w:val="28"/>
          <w:szCs w:val="28"/>
        </w:rPr>
      </w:pPr>
      <w:r>
        <w:rPr>
          <w:sz w:val="28"/>
          <w:szCs w:val="28"/>
        </w:rPr>
        <w:t xml:space="preserve">As did the CCJR’s 2017 Petition, the current Petition proposes amending Rule </w:t>
      </w:r>
      <w:r>
        <w:rPr>
          <w:sz w:val="28"/>
          <w:szCs w:val="28"/>
        </w:rPr>
        <w:lastRenderedPageBreak/>
        <w:t>11(c) to make sanctions mandatory and Rule 11(b) so that a signature would certify a claim as “colorable” and “well grounded in fact” rather than “</w:t>
      </w:r>
      <w:proofErr w:type="spellStart"/>
      <w:r>
        <w:rPr>
          <w:sz w:val="28"/>
          <w:szCs w:val="28"/>
        </w:rPr>
        <w:t>nonfrivolous</w:t>
      </w:r>
      <w:proofErr w:type="spellEnd"/>
      <w:r>
        <w:rPr>
          <w:sz w:val="28"/>
          <w:szCs w:val="28"/>
        </w:rPr>
        <w:t xml:space="preserve">” and having “evidentiary support” or “likely </w:t>
      </w:r>
      <w:proofErr w:type="spellStart"/>
      <w:r>
        <w:rPr>
          <w:sz w:val="28"/>
          <w:szCs w:val="28"/>
        </w:rPr>
        <w:t>hav</w:t>
      </w:r>
      <w:proofErr w:type="spellEnd"/>
      <w:r>
        <w:rPr>
          <w:sz w:val="28"/>
          <w:szCs w:val="28"/>
        </w:rPr>
        <w:t>[</w:t>
      </w:r>
      <w:proofErr w:type="spellStart"/>
      <w:r>
        <w:rPr>
          <w:sz w:val="28"/>
          <w:szCs w:val="28"/>
        </w:rPr>
        <w:t>ing</w:t>
      </w:r>
      <w:proofErr w:type="spellEnd"/>
      <w:r>
        <w:rPr>
          <w:sz w:val="28"/>
          <w:szCs w:val="28"/>
        </w:rPr>
        <w:t>]</w:t>
      </w:r>
      <w:r w:rsidRPr="000C5807">
        <w:rPr>
          <w:sz w:val="28"/>
          <w:szCs w:val="28"/>
        </w:rPr>
        <w:t xml:space="preserve"> evidentiary support after a reasonable opportunity for further investigation or discovery</w:t>
      </w:r>
      <w:r>
        <w:rPr>
          <w:sz w:val="28"/>
          <w:szCs w:val="28"/>
        </w:rPr>
        <w:t xml:space="preserve">.”  As it did with these proposals in the CCJR petition, the State Bar opposes the Petition’s </w:t>
      </w:r>
      <w:r w:rsidRPr="007875CA">
        <w:rPr>
          <w:sz w:val="28"/>
          <w:szCs w:val="28"/>
        </w:rPr>
        <w:t>proposed amendments to Rule 11</w:t>
      </w:r>
      <w:r>
        <w:rPr>
          <w:sz w:val="28"/>
          <w:szCs w:val="28"/>
        </w:rPr>
        <w:t xml:space="preserve"> for multiple reasons</w:t>
      </w:r>
      <w:r w:rsidRPr="007875CA">
        <w:rPr>
          <w:sz w:val="28"/>
          <w:szCs w:val="28"/>
        </w:rPr>
        <w:t>.</w:t>
      </w:r>
    </w:p>
    <w:p w:rsidR="00E92FE2" w:rsidRDefault="00E92FE2" w:rsidP="00E92FE2">
      <w:pPr>
        <w:widowControl w:val="0"/>
        <w:autoSpaceDE w:val="0"/>
        <w:autoSpaceDN w:val="0"/>
        <w:adjustRightInd w:val="0"/>
        <w:spacing w:line="480" w:lineRule="auto"/>
        <w:ind w:firstLine="720"/>
        <w:jc w:val="both"/>
        <w:rPr>
          <w:sz w:val="28"/>
          <w:szCs w:val="28"/>
        </w:rPr>
      </w:pPr>
      <w:r>
        <w:rPr>
          <w:sz w:val="28"/>
          <w:szCs w:val="28"/>
        </w:rPr>
        <w:t xml:space="preserve">First, the proposed amendments have been considered multiple times by this Court in the past few years, and the State Bar does not believe that the current Petition offers a basis for the Court to so quickly turn </w:t>
      </w:r>
      <w:r w:rsidRPr="00A14578">
        <w:rPr>
          <w:sz w:val="28"/>
          <w:szCs w:val="28"/>
        </w:rPr>
        <w:t>away from several years of well-considered proposals that culminated in this Court’s January 1, 2017, amendments to Rule 11.</w:t>
      </w:r>
    </w:p>
    <w:p w:rsidR="00E92FE2" w:rsidRDefault="00E92FE2" w:rsidP="00E92FE2">
      <w:pPr>
        <w:widowControl w:val="0"/>
        <w:autoSpaceDE w:val="0"/>
        <w:autoSpaceDN w:val="0"/>
        <w:adjustRightInd w:val="0"/>
        <w:spacing w:line="480" w:lineRule="auto"/>
        <w:ind w:firstLine="720"/>
        <w:jc w:val="both"/>
        <w:rPr>
          <w:sz w:val="28"/>
          <w:szCs w:val="28"/>
        </w:rPr>
      </w:pPr>
      <w:r>
        <w:rPr>
          <w:sz w:val="28"/>
          <w:szCs w:val="28"/>
        </w:rPr>
        <w:t xml:space="preserve">Second, the proposed amendments to </w:t>
      </w:r>
      <w:r w:rsidRPr="007875CA">
        <w:rPr>
          <w:sz w:val="28"/>
          <w:szCs w:val="28"/>
        </w:rPr>
        <w:t>Rule 11 w</w:t>
      </w:r>
      <w:r>
        <w:rPr>
          <w:sz w:val="28"/>
          <w:szCs w:val="28"/>
        </w:rPr>
        <w:t>ould move our rule further away from the language and principles of federal Rule 11, and this when our Rule w</w:t>
      </w:r>
      <w:r w:rsidRPr="007875CA">
        <w:rPr>
          <w:sz w:val="28"/>
          <w:szCs w:val="28"/>
        </w:rPr>
        <w:t>as</w:t>
      </w:r>
      <w:r>
        <w:rPr>
          <w:sz w:val="28"/>
          <w:szCs w:val="28"/>
        </w:rPr>
        <w:t xml:space="preserve"> amended by the Court</w:t>
      </w:r>
      <w:r w:rsidRPr="007875CA">
        <w:rPr>
          <w:sz w:val="28"/>
          <w:szCs w:val="28"/>
        </w:rPr>
        <w:t xml:space="preserve"> </w:t>
      </w:r>
      <w:r>
        <w:rPr>
          <w:sz w:val="28"/>
          <w:szCs w:val="28"/>
        </w:rPr>
        <w:t>less than two years ago so as</w:t>
      </w:r>
      <w:r w:rsidRPr="007875CA">
        <w:rPr>
          <w:sz w:val="28"/>
          <w:szCs w:val="28"/>
        </w:rPr>
        <w:t xml:space="preserve"> to bring it into greater harmony with the </w:t>
      </w:r>
      <w:r>
        <w:rPr>
          <w:sz w:val="28"/>
          <w:szCs w:val="28"/>
        </w:rPr>
        <w:t>f</w:t>
      </w:r>
      <w:r w:rsidRPr="007875CA">
        <w:rPr>
          <w:sz w:val="28"/>
          <w:szCs w:val="28"/>
        </w:rPr>
        <w:t xml:space="preserve">ederal </w:t>
      </w:r>
      <w:r>
        <w:rPr>
          <w:sz w:val="28"/>
          <w:szCs w:val="28"/>
        </w:rPr>
        <w:t>r</w:t>
      </w:r>
      <w:r w:rsidRPr="007875CA">
        <w:rPr>
          <w:sz w:val="28"/>
          <w:szCs w:val="28"/>
        </w:rPr>
        <w:t>ule.  </w:t>
      </w:r>
      <w:r>
        <w:rPr>
          <w:sz w:val="28"/>
          <w:szCs w:val="28"/>
        </w:rPr>
        <w:t>As noted above, this Court just a few years ago directed that Arizona’s rules</w:t>
      </w:r>
      <w:r w:rsidRPr="00A14578">
        <w:rPr>
          <w:sz w:val="28"/>
          <w:szCs w:val="28"/>
        </w:rPr>
        <w:t xml:space="preserve"> </w:t>
      </w:r>
      <w:r>
        <w:rPr>
          <w:sz w:val="28"/>
          <w:szCs w:val="28"/>
        </w:rPr>
        <w:t>should</w:t>
      </w:r>
      <w:r w:rsidRPr="00A14578">
        <w:rPr>
          <w:sz w:val="28"/>
          <w:szCs w:val="28"/>
        </w:rPr>
        <w:t xml:space="preserve"> avoid unintended variation</w:t>
      </w:r>
      <w:r>
        <w:rPr>
          <w:sz w:val="28"/>
          <w:szCs w:val="28"/>
        </w:rPr>
        <w:t>s</w:t>
      </w:r>
      <w:r w:rsidRPr="00A14578">
        <w:rPr>
          <w:sz w:val="28"/>
          <w:szCs w:val="28"/>
        </w:rPr>
        <w:t xml:space="preserve"> from language in counterpart federal rules</w:t>
      </w:r>
      <w:r>
        <w:rPr>
          <w:sz w:val="28"/>
          <w:szCs w:val="28"/>
        </w:rPr>
        <w:t xml:space="preserve">.  Such consistency with the federal rules gives greater guidance to litigants and the courts in interpreting the rules and also helps discourage forum shopping between state and federal court.  The State Bar does not believe there is a justification for Arizona’s Rule 11 to vary from the federal rule as proposed </w:t>
      </w:r>
      <w:r>
        <w:rPr>
          <w:sz w:val="28"/>
          <w:szCs w:val="28"/>
        </w:rPr>
        <w:lastRenderedPageBreak/>
        <w:t xml:space="preserve">by the Petition.  While the Petition discusses </w:t>
      </w:r>
      <w:r w:rsidRPr="001F615F">
        <w:rPr>
          <w:sz w:val="28"/>
          <w:szCs w:val="28"/>
        </w:rPr>
        <w:t>a May 1991 report of a Federal Judicial Center study</w:t>
      </w:r>
      <w:r>
        <w:rPr>
          <w:sz w:val="28"/>
          <w:szCs w:val="28"/>
        </w:rPr>
        <w:t xml:space="preserve"> showing judges to be supportive of the old federal Rule 11 and its provision for mandatory sanctions, more recent discussion on this issue exists.  Namely, in 2015, the Committee on Rules of Practice and Procedure of the Judicial Conference of the United States stated the following in opposition to a congressional proposal to mandate Rule 11 sanctions in federal courts:</w:t>
      </w:r>
    </w:p>
    <w:p w:rsidR="00E92FE2" w:rsidRDefault="00E92FE2" w:rsidP="00E92FE2">
      <w:pPr>
        <w:widowControl w:val="0"/>
        <w:autoSpaceDE w:val="0"/>
        <w:autoSpaceDN w:val="0"/>
        <w:adjustRightInd w:val="0"/>
        <w:spacing w:after="240" w:line="240" w:lineRule="auto"/>
        <w:ind w:left="720" w:right="720"/>
        <w:jc w:val="both"/>
        <w:rPr>
          <w:sz w:val="28"/>
          <w:szCs w:val="28"/>
        </w:rPr>
      </w:pPr>
      <w:r>
        <w:rPr>
          <w:sz w:val="28"/>
          <w:szCs w:val="28"/>
        </w:rPr>
        <w:t>The amended rule has produced a marked decline in Rule 11 satellite litigation without any noticeable increase in frivolous filings.  In June 1995, the Federal Judicial Center conducted a survey of 1,130 lawyers and 148 judges on the effects of the 1993 amendments.  The Center found general satisfaction with the amended rule, and that a majority of the responding judges and lawyers did not favor a return to mandatory sanctions when the rule is violated.</w:t>
      </w:r>
    </w:p>
    <w:p w:rsidR="00E92FE2" w:rsidRPr="007875CA" w:rsidRDefault="00E92FE2" w:rsidP="00E92FE2">
      <w:pPr>
        <w:widowControl w:val="0"/>
        <w:autoSpaceDE w:val="0"/>
        <w:autoSpaceDN w:val="0"/>
        <w:adjustRightInd w:val="0"/>
        <w:spacing w:after="240" w:line="240" w:lineRule="auto"/>
        <w:ind w:left="720" w:right="720"/>
        <w:jc w:val="both"/>
        <w:rPr>
          <w:sz w:val="28"/>
          <w:szCs w:val="28"/>
        </w:rPr>
      </w:pPr>
      <w:r>
        <w:rPr>
          <w:sz w:val="28"/>
          <w:szCs w:val="28"/>
        </w:rPr>
        <w:t>In 2005, the Federal Judicial Center surveyed federal trial judges to get a clearer picture of how the revised Rule 11 was operating….  The study showed that judges on the front lines – those who must contend with frivolous litigation and apply Rule 11 – strongly believe that the current rule works well.</w:t>
      </w:r>
    </w:p>
    <w:p w:rsidR="00E92FE2" w:rsidRDefault="00E92FE2" w:rsidP="00E92FE2">
      <w:pPr>
        <w:widowControl w:val="0"/>
        <w:autoSpaceDE w:val="0"/>
        <w:autoSpaceDN w:val="0"/>
        <w:adjustRightInd w:val="0"/>
        <w:spacing w:line="480" w:lineRule="auto"/>
        <w:jc w:val="both"/>
        <w:rPr>
          <w:sz w:val="28"/>
          <w:szCs w:val="28"/>
        </w:rPr>
      </w:pPr>
      <w:r w:rsidRPr="007B4BDA">
        <w:rPr>
          <w:sz w:val="28"/>
          <w:szCs w:val="28"/>
        </w:rPr>
        <w:t>C</w:t>
      </w:r>
      <w:r>
        <w:rPr>
          <w:sz w:val="28"/>
          <w:szCs w:val="28"/>
        </w:rPr>
        <w:t xml:space="preserve">ommittee on Rules of Practice and Procedure of the Judicial Conference of the </w:t>
      </w:r>
      <w:r w:rsidRPr="007B4BDA">
        <w:rPr>
          <w:sz w:val="28"/>
          <w:szCs w:val="28"/>
        </w:rPr>
        <w:t>U.S., L</w:t>
      </w:r>
      <w:r>
        <w:rPr>
          <w:sz w:val="28"/>
          <w:szCs w:val="28"/>
        </w:rPr>
        <w:t xml:space="preserve">etter to Bob </w:t>
      </w:r>
      <w:proofErr w:type="spellStart"/>
      <w:r>
        <w:rPr>
          <w:sz w:val="28"/>
          <w:szCs w:val="28"/>
        </w:rPr>
        <w:t>Goodlatte</w:t>
      </w:r>
      <w:proofErr w:type="spellEnd"/>
      <w:r>
        <w:rPr>
          <w:sz w:val="28"/>
          <w:szCs w:val="28"/>
        </w:rPr>
        <w:t xml:space="preserve"> </w:t>
      </w:r>
      <w:r w:rsidRPr="007B4BDA">
        <w:rPr>
          <w:sz w:val="28"/>
          <w:szCs w:val="28"/>
        </w:rPr>
        <w:t>(</w:t>
      </w:r>
      <w:r>
        <w:rPr>
          <w:sz w:val="28"/>
          <w:szCs w:val="28"/>
        </w:rPr>
        <w:t xml:space="preserve">Apr. 13, </w:t>
      </w:r>
      <w:r w:rsidRPr="007B4BDA">
        <w:rPr>
          <w:sz w:val="28"/>
          <w:szCs w:val="28"/>
        </w:rPr>
        <w:t>2015),</w:t>
      </w:r>
      <w:r>
        <w:rPr>
          <w:sz w:val="28"/>
          <w:szCs w:val="28"/>
        </w:rPr>
        <w:t xml:space="preserve"> at p.3, found at </w:t>
      </w:r>
      <w:r w:rsidRPr="00E0762B">
        <w:rPr>
          <w:sz w:val="28"/>
          <w:szCs w:val="28"/>
        </w:rPr>
        <w:t>https://www.atj.org/wp-content/uploads/2015/04/Judicial-Conference-Letter.pdf (</w:t>
      </w:r>
      <w:r>
        <w:rPr>
          <w:sz w:val="28"/>
          <w:szCs w:val="28"/>
        </w:rPr>
        <w:t>2005 survey was of 278 federal district court judges and showed that 80% found Rule 11 to be “just right as it now stands,” 87% preferring it to the pre-1993 version, 91% opposing mandatory sanctions, and 85% believing that groundless litigation had not grown since the 1993 amendment to Rule 11).</w:t>
      </w:r>
    </w:p>
    <w:p w:rsidR="00E92FE2" w:rsidRPr="007875CA" w:rsidRDefault="00E92FE2" w:rsidP="00E92FE2">
      <w:pPr>
        <w:widowControl w:val="0"/>
        <w:autoSpaceDE w:val="0"/>
        <w:autoSpaceDN w:val="0"/>
        <w:adjustRightInd w:val="0"/>
        <w:spacing w:line="480" w:lineRule="auto"/>
        <w:ind w:firstLine="720"/>
        <w:jc w:val="both"/>
        <w:rPr>
          <w:sz w:val="28"/>
          <w:szCs w:val="28"/>
        </w:rPr>
      </w:pPr>
      <w:r>
        <w:rPr>
          <w:sz w:val="28"/>
          <w:szCs w:val="28"/>
        </w:rPr>
        <w:lastRenderedPageBreak/>
        <w:t xml:space="preserve">Third, the proposed amendments to Rule 11 should be rejected </w:t>
      </w:r>
      <w:r w:rsidRPr="007875CA">
        <w:rPr>
          <w:sz w:val="28"/>
          <w:szCs w:val="28"/>
        </w:rPr>
        <w:t>be</w:t>
      </w:r>
      <w:r>
        <w:rPr>
          <w:sz w:val="28"/>
          <w:szCs w:val="28"/>
        </w:rPr>
        <w:t xml:space="preserve">cause they would move Arizona out of the majority and into the small minority of states (10 out of 50) mandating rule 11 sanctions.  And not only would we move into the minority, we would be ignoring the trend of states moving over the last 25 years to the federal language of discretionary Rule 11 sanctions.  </w:t>
      </w:r>
      <w:r w:rsidRPr="006A6F89">
        <w:rPr>
          <w:i/>
          <w:sz w:val="28"/>
          <w:szCs w:val="28"/>
        </w:rPr>
        <w:t>See, e.g.</w:t>
      </w:r>
      <w:r>
        <w:rPr>
          <w:sz w:val="28"/>
          <w:szCs w:val="28"/>
        </w:rPr>
        <w:t xml:space="preserve">, UTAH R. CIV. P. 11 (amended in 1997 to conform to 1993 amendments to federal rule 11); Amendment to </w:t>
      </w:r>
      <w:r w:rsidRPr="00753B15">
        <w:rPr>
          <w:smallCaps/>
          <w:sz w:val="28"/>
          <w:szCs w:val="28"/>
        </w:rPr>
        <w:t>Wash. S. Ct. Civ. R</w:t>
      </w:r>
      <w:r w:rsidRPr="00753B15">
        <w:rPr>
          <w:caps/>
          <w:sz w:val="28"/>
          <w:szCs w:val="28"/>
        </w:rPr>
        <w:t>.</w:t>
      </w:r>
      <w:r>
        <w:rPr>
          <w:sz w:val="28"/>
          <w:szCs w:val="28"/>
        </w:rPr>
        <w:t xml:space="preserve"> 11, 122 Wash. 2d 1102 (1993) (conforming to 1993 federal amendments to rule 11).  In fact, the 10 states still mandating rule 11 sanctions do so through use of the old vernacular “shall” rather than the more modern usage of “must.”  There is no good reason for Arizona to ignore the trend and move back into the minority regarding Rule 11 sanctions, especially in the absence of any evidence that the move on January 1, 2017, to the word “</w:t>
      </w:r>
      <w:proofErr w:type="gramStart"/>
      <w:r>
        <w:rPr>
          <w:sz w:val="28"/>
          <w:szCs w:val="28"/>
        </w:rPr>
        <w:t>may</w:t>
      </w:r>
      <w:proofErr w:type="gramEnd"/>
      <w:r>
        <w:rPr>
          <w:sz w:val="28"/>
          <w:szCs w:val="28"/>
        </w:rPr>
        <w:t>” in Rule 11(c) has led to any increase in frivolous court filings.</w:t>
      </w:r>
    </w:p>
    <w:p w:rsidR="00E92FE2" w:rsidRDefault="00E92FE2" w:rsidP="00E92FE2">
      <w:pPr>
        <w:widowControl w:val="0"/>
        <w:autoSpaceDE w:val="0"/>
        <w:autoSpaceDN w:val="0"/>
        <w:adjustRightInd w:val="0"/>
        <w:spacing w:line="480" w:lineRule="auto"/>
        <w:ind w:firstLine="720"/>
        <w:jc w:val="both"/>
        <w:rPr>
          <w:sz w:val="28"/>
          <w:szCs w:val="28"/>
        </w:rPr>
      </w:pPr>
      <w:r>
        <w:rPr>
          <w:sz w:val="28"/>
          <w:szCs w:val="28"/>
        </w:rPr>
        <w:t>Fourth, the Petition’s argument that “colorable” and “well grounded in fact” are more consistent with existing Arizona case law than “</w:t>
      </w:r>
      <w:proofErr w:type="spellStart"/>
      <w:r>
        <w:rPr>
          <w:sz w:val="28"/>
          <w:szCs w:val="28"/>
        </w:rPr>
        <w:t>nonfrivolous</w:t>
      </w:r>
      <w:proofErr w:type="spellEnd"/>
      <w:r>
        <w:rPr>
          <w:sz w:val="28"/>
          <w:szCs w:val="28"/>
        </w:rPr>
        <w:t xml:space="preserve">” </w:t>
      </w:r>
      <w:r w:rsidRPr="00FD6FB6">
        <w:rPr>
          <w:sz w:val="28"/>
          <w:szCs w:val="28"/>
        </w:rPr>
        <w:t xml:space="preserve">and having “evidentiary support” or “likely </w:t>
      </w:r>
      <w:proofErr w:type="spellStart"/>
      <w:r w:rsidRPr="00FD6FB6">
        <w:rPr>
          <w:sz w:val="28"/>
          <w:szCs w:val="28"/>
        </w:rPr>
        <w:t>hav</w:t>
      </w:r>
      <w:proofErr w:type="spellEnd"/>
      <w:r w:rsidRPr="00FD6FB6">
        <w:rPr>
          <w:sz w:val="28"/>
          <w:szCs w:val="28"/>
        </w:rPr>
        <w:t>[</w:t>
      </w:r>
      <w:proofErr w:type="spellStart"/>
      <w:r w:rsidRPr="00FD6FB6">
        <w:rPr>
          <w:sz w:val="28"/>
          <w:szCs w:val="28"/>
        </w:rPr>
        <w:t>ing</w:t>
      </w:r>
      <w:proofErr w:type="spellEnd"/>
      <w:r w:rsidRPr="00FD6FB6">
        <w:rPr>
          <w:sz w:val="28"/>
          <w:szCs w:val="28"/>
        </w:rPr>
        <w:t>] evidentiary support after a reasonable opportunity for further investigation or discovery”</w:t>
      </w:r>
      <w:r>
        <w:rPr>
          <w:sz w:val="28"/>
          <w:szCs w:val="28"/>
        </w:rPr>
        <w:t xml:space="preserve"> is belied by case law cited in the Petition.  For example, </w:t>
      </w:r>
      <w:r w:rsidRPr="00FD6FB6">
        <w:rPr>
          <w:i/>
          <w:sz w:val="28"/>
          <w:szCs w:val="28"/>
        </w:rPr>
        <w:t>Boone v. Superior Court</w:t>
      </w:r>
      <w:r w:rsidRPr="00FD6FB6">
        <w:rPr>
          <w:sz w:val="28"/>
          <w:szCs w:val="28"/>
        </w:rPr>
        <w:t xml:space="preserve">, </w:t>
      </w:r>
      <w:r>
        <w:rPr>
          <w:sz w:val="28"/>
          <w:szCs w:val="28"/>
        </w:rPr>
        <w:t>145 Ariz. 235</w:t>
      </w:r>
      <w:r w:rsidRPr="00FD6FB6">
        <w:rPr>
          <w:sz w:val="28"/>
          <w:szCs w:val="28"/>
        </w:rPr>
        <w:t xml:space="preserve"> (1985)</w:t>
      </w:r>
      <w:r>
        <w:rPr>
          <w:sz w:val="28"/>
          <w:szCs w:val="28"/>
        </w:rPr>
        <w:t>, cited by the Petition in support of the use of the word “colorable,” while using that word in its discussion actually states the standard as being that Rule 11 “</w:t>
      </w:r>
      <w:r w:rsidRPr="00AE1FDC">
        <w:rPr>
          <w:sz w:val="28"/>
          <w:szCs w:val="28"/>
        </w:rPr>
        <w:t xml:space="preserve">is violated by the filing </w:t>
      </w:r>
      <w:r w:rsidRPr="00AE1FDC">
        <w:rPr>
          <w:sz w:val="28"/>
          <w:szCs w:val="28"/>
        </w:rPr>
        <w:lastRenderedPageBreak/>
        <w:t>of a pleading</w:t>
      </w:r>
      <w:r>
        <w:rPr>
          <w:sz w:val="28"/>
          <w:szCs w:val="28"/>
        </w:rPr>
        <w:t xml:space="preserve"> </w:t>
      </w:r>
      <w:r w:rsidRPr="00AE1FDC">
        <w:rPr>
          <w:sz w:val="28"/>
          <w:szCs w:val="28"/>
        </w:rPr>
        <w:t>when the party or counsel knew, or should have known</w:t>
      </w:r>
      <w:r>
        <w:rPr>
          <w:sz w:val="28"/>
          <w:szCs w:val="28"/>
        </w:rPr>
        <w:t xml:space="preserve"> </w:t>
      </w:r>
      <w:r w:rsidRPr="00AE1FDC">
        <w:rPr>
          <w:sz w:val="28"/>
          <w:szCs w:val="28"/>
        </w:rPr>
        <w:t>by such investigation of fact and law as was reasonable</w:t>
      </w:r>
      <w:r>
        <w:rPr>
          <w:sz w:val="28"/>
          <w:szCs w:val="28"/>
        </w:rPr>
        <w:t xml:space="preserve"> </w:t>
      </w:r>
      <w:r w:rsidRPr="00AE1FDC">
        <w:rPr>
          <w:sz w:val="28"/>
          <w:szCs w:val="28"/>
        </w:rPr>
        <w:t>and feasible under all the circumstances, that the claim</w:t>
      </w:r>
      <w:r>
        <w:rPr>
          <w:sz w:val="28"/>
          <w:szCs w:val="28"/>
        </w:rPr>
        <w:t xml:space="preserve"> </w:t>
      </w:r>
      <w:r w:rsidRPr="00AE1FDC">
        <w:rPr>
          <w:sz w:val="28"/>
          <w:szCs w:val="28"/>
        </w:rPr>
        <w:t xml:space="preserve">or defense was insubstantial, groundless, </w:t>
      </w:r>
      <w:r w:rsidRPr="00AE1FDC">
        <w:rPr>
          <w:b/>
          <w:sz w:val="28"/>
          <w:szCs w:val="28"/>
        </w:rPr>
        <w:t>frivolous</w:t>
      </w:r>
      <w:r w:rsidRPr="00AE1FDC">
        <w:rPr>
          <w:sz w:val="28"/>
          <w:szCs w:val="28"/>
        </w:rPr>
        <w:t>, or</w:t>
      </w:r>
      <w:r>
        <w:rPr>
          <w:sz w:val="28"/>
          <w:szCs w:val="28"/>
        </w:rPr>
        <w:t xml:space="preserve"> </w:t>
      </w:r>
      <w:r w:rsidRPr="00AE1FDC">
        <w:rPr>
          <w:sz w:val="28"/>
          <w:szCs w:val="28"/>
        </w:rPr>
        <w:t>otherwise unjustified.</w:t>
      </w:r>
      <w:r>
        <w:rPr>
          <w:sz w:val="28"/>
          <w:szCs w:val="28"/>
        </w:rPr>
        <w:t xml:space="preserve">”  </w:t>
      </w:r>
      <w:r w:rsidRPr="00AE1FDC">
        <w:rPr>
          <w:i/>
          <w:sz w:val="28"/>
          <w:szCs w:val="28"/>
        </w:rPr>
        <w:t>Id.</w:t>
      </w:r>
      <w:r>
        <w:rPr>
          <w:sz w:val="28"/>
          <w:szCs w:val="28"/>
        </w:rPr>
        <w:t xml:space="preserve"> at 241 (emphasis added).  Thus, </w:t>
      </w:r>
      <w:r w:rsidRPr="00AE1FDC">
        <w:rPr>
          <w:i/>
          <w:sz w:val="28"/>
          <w:szCs w:val="28"/>
        </w:rPr>
        <w:t>Boone</w:t>
      </w:r>
      <w:r>
        <w:rPr>
          <w:sz w:val="28"/>
          <w:szCs w:val="28"/>
        </w:rPr>
        <w:t xml:space="preserve"> is in fact consistent with the current “</w:t>
      </w:r>
      <w:proofErr w:type="spellStart"/>
      <w:r>
        <w:rPr>
          <w:sz w:val="28"/>
          <w:szCs w:val="28"/>
        </w:rPr>
        <w:t>nonfrivolous</w:t>
      </w:r>
      <w:proofErr w:type="spellEnd"/>
      <w:r>
        <w:rPr>
          <w:sz w:val="28"/>
          <w:szCs w:val="28"/>
        </w:rPr>
        <w:t>” language.</w:t>
      </w:r>
      <w:r>
        <w:rPr>
          <w:rStyle w:val="FootnoteReference"/>
          <w:sz w:val="28"/>
          <w:szCs w:val="28"/>
        </w:rPr>
        <w:footnoteReference w:id="2"/>
      </w:r>
      <w:r>
        <w:rPr>
          <w:sz w:val="28"/>
          <w:szCs w:val="28"/>
        </w:rPr>
        <w:t xml:space="preserve">  Likewise, the current language in 11(b) regarding evidentiary support is consistent with the case law.  </w:t>
      </w:r>
      <w:r w:rsidRPr="0000104A">
        <w:rPr>
          <w:i/>
          <w:sz w:val="28"/>
          <w:szCs w:val="28"/>
        </w:rPr>
        <w:t>Boone</w:t>
      </w:r>
      <w:r>
        <w:rPr>
          <w:sz w:val="28"/>
          <w:szCs w:val="28"/>
        </w:rPr>
        <w:t>, 145 Ariz. at 240 (stating that the “</w:t>
      </w:r>
      <w:r w:rsidRPr="0000104A">
        <w:rPr>
          <w:sz w:val="28"/>
          <w:szCs w:val="28"/>
        </w:rPr>
        <w:t>question is whether</w:t>
      </w:r>
      <w:r>
        <w:rPr>
          <w:sz w:val="28"/>
          <w:szCs w:val="28"/>
        </w:rPr>
        <w:t xml:space="preserve"> </w:t>
      </w:r>
      <w:r w:rsidRPr="0000104A">
        <w:rPr>
          <w:sz w:val="28"/>
          <w:szCs w:val="28"/>
        </w:rPr>
        <w:t>a reasonable attorney could have</w:t>
      </w:r>
      <w:r>
        <w:rPr>
          <w:sz w:val="28"/>
          <w:szCs w:val="28"/>
        </w:rPr>
        <w:t xml:space="preserve"> </w:t>
      </w:r>
      <w:r w:rsidRPr="0000104A">
        <w:rPr>
          <w:sz w:val="28"/>
          <w:szCs w:val="28"/>
        </w:rPr>
        <w:t>concluded that facts supporting the</w:t>
      </w:r>
      <w:r>
        <w:rPr>
          <w:sz w:val="28"/>
          <w:szCs w:val="28"/>
        </w:rPr>
        <w:t xml:space="preserve"> </w:t>
      </w:r>
      <w:r w:rsidRPr="0000104A">
        <w:rPr>
          <w:sz w:val="28"/>
          <w:szCs w:val="28"/>
        </w:rPr>
        <w:t xml:space="preserve">claim </w:t>
      </w:r>
      <w:r w:rsidRPr="0000104A">
        <w:rPr>
          <w:i/>
          <w:iCs/>
          <w:sz w:val="28"/>
          <w:szCs w:val="28"/>
        </w:rPr>
        <w:t xml:space="preserve">might be established, </w:t>
      </w:r>
      <w:r w:rsidRPr="0000104A">
        <w:rPr>
          <w:sz w:val="28"/>
          <w:szCs w:val="28"/>
        </w:rPr>
        <w:t>not</w:t>
      </w:r>
      <w:r>
        <w:rPr>
          <w:sz w:val="28"/>
          <w:szCs w:val="28"/>
        </w:rPr>
        <w:t xml:space="preserve"> </w:t>
      </w:r>
      <w:r w:rsidRPr="0000104A">
        <w:rPr>
          <w:sz w:val="28"/>
          <w:szCs w:val="28"/>
        </w:rPr>
        <w:t xml:space="preserve">whether such facts actually </w:t>
      </w:r>
      <w:r w:rsidRPr="0000104A">
        <w:rPr>
          <w:i/>
          <w:iCs/>
          <w:sz w:val="28"/>
          <w:szCs w:val="28"/>
        </w:rPr>
        <w:t>had been</w:t>
      </w:r>
      <w:r>
        <w:rPr>
          <w:i/>
          <w:iCs/>
          <w:sz w:val="28"/>
          <w:szCs w:val="28"/>
        </w:rPr>
        <w:t xml:space="preserve"> </w:t>
      </w:r>
      <w:r w:rsidRPr="0000104A">
        <w:rPr>
          <w:i/>
          <w:iCs/>
          <w:sz w:val="28"/>
          <w:szCs w:val="28"/>
        </w:rPr>
        <w:t>established</w:t>
      </w:r>
      <w:r>
        <w:rPr>
          <w:sz w:val="28"/>
          <w:szCs w:val="28"/>
        </w:rPr>
        <w:t xml:space="preserve">” (quoting </w:t>
      </w:r>
      <w:r w:rsidRPr="0000104A">
        <w:rPr>
          <w:sz w:val="28"/>
          <w:szCs w:val="28"/>
        </w:rPr>
        <w:t xml:space="preserve">Olson &amp; McConnell, </w:t>
      </w:r>
      <w:r w:rsidRPr="0000104A">
        <w:rPr>
          <w:i/>
          <w:iCs/>
          <w:sz w:val="28"/>
          <w:szCs w:val="28"/>
        </w:rPr>
        <w:t>Deterring and Defeating Frivolous</w:t>
      </w:r>
      <w:r>
        <w:rPr>
          <w:i/>
          <w:iCs/>
          <w:sz w:val="28"/>
          <w:szCs w:val="28"/>
        </w:rPr>
        <w:t xml:space="preserve"> </w:t>
      </w:r>
      <w:r w:rsidRPr="0000104A">
        <w:rPr>
          <w:i/>
          <w:iCs/>
          <w:sz w:val="28"/>
          <w:szCs w:val="28"/>
        </w:rPr>
        <w:t xml:space="preserve">and Abusive Litigation, </w:t>
      </w:r>
      <w:r w:rsidRPr="0000104A">
        <w:rPr>
          <w:sz w:val="28"/>
          <w:szCs w:val="28"/>
        </w:rPr>
        <w:t>For The Defense 16 (Defense Res.</w:t>
      </w:r>
      <w:r>
        <w:rPr>
          <w:sz w:val="28"/>
          <w:szCs w:val="28"/>
        </w:rPr>
        <w:t xml:space="preserve"> Inst., Jan. 1985))); </w:t>
      </w:r>
      <w:r>
        <w:rPr>
          <w:i/>
          <w:sz w:val="28"/>
          <w:szCs w:val="28"/>
        </w:rPr>
        <w:t xml:space="preserve">see also, e.g., </w:t>
      </w:r>
      <w:r w:rsidRPr="00167CDF">
        <w:rPr>
          <w:i/>
          <w:sz w:val="28"/>
          <w:szCs w:val="28"/>
        </w:rPr>
        <w:t>Osborn</w:t>
      </w:r>
      <w:r>
        <w:rPr>
          <w:i/>
          <w:sz w:val="28"/>
          <w:szCs w:val="28"/>
        </w:rPr>
        <w:t xml:space="preserve">e v. </w:t>
      </w:r>
      <w:proofErr w:type="spellStart"/>
      <w:r>
        <w:rPr>
          <w:i/>
          <w:sz w:val="28"/>
          <w:szCs w:val="28"/>
        </w:rPr>
        <w:t>Hyams</w:t>
      </w:r>
      <w:proofErr w:type="spellEnd"/>
      <w:r>
        <w:rPr>
          <w:sz w:val="28"/>
          <w:szCs w:val="28"/>
        </w:rPr>
        <w:t>,</w:t>
      </w:r>
      <w:r w:rsidRPr="00167CDF">
        <w:rPr>
          <w:sz w:val="24"/>
          <w:szCs w:val="24"/>
        </w:rPr>
        <w:t xml:space="preserve"> </w:t>
      </w:r>
      <w:r w:rsidRPr="00167CDF">
        <w:rPr>
          <w:sz w:val="28"/>
          <w:szCs w:val="28"/>
        </w:rPr>
        <w:t>2016 WL 595584</w:t>
      </w:r>
      <w:r>
        <w:rPr>
          <w:sz w:val="28"/>
          <w:szCs w:val="28"/>
        </w:rPr>
        <w:t xml:space="preserve">9, at *6-7 (App. Oct. 13, 2016) (applying </w:t>
      </w:r>
      <w:r w:rsidRPr="00167CDF">
        <w:rPr>
          <w:i/>
          <w:sz w:val="28"/>
          <w:szCs w:val="28"/>
        </w:rPr>
        <w:t>Boone</w:t>
      </w:r>
      <w:r>
        <w:rPr>
          <w:sz w:val="28"/>
          <w:szCs w:val="28"/>
        </w:rPr>
        <w:t xml:space="preserve"> standard).</w:t>
      </w:r>
    </w:p>
    <w:p w:rsidR="00E92FE2" w:rsidRDefault="00E92FE2" w:rsidP="00E92FE2">
      <w:pPr>
        <w:widowControl w:val="0"/>
        <w:autoSpaceDE w:val="0"/>
        <w:autoSpaceDN w:val="0"/>
        <w:adjustRightInd w:val="0"/>
        <w:spacing w:line="480" w:lineRule="auto"/>
        <w:ind w:firstLine="720"/>
        <w:jc w:val="both"/>
        <w:rPr>
          <w:sz w:val="28"/>
          <w:szCs w:val="28"/>
        </w:rPr>
      </w:pPr>
      <w:r>
        <w:rPr>
          <w:sz w:val="28"/>
          <w:szCs w:val="28"/>
        </w:rPr>
        <w:t>Fifth, the State Bar does not believe that encouraging increased usage of Rule 11 will</w:t>
      </w:r>
      <w:r w:rsidRPr="007875CA">
        <w:rPr>
          <w:sz w:val="28"/>
          <w:szCs w:val="28"/>
        </w:rPr>
        <w:t xml:space="preserve"> make litigation speedier or less expensive, but contrarily, </w:t>
      </w:r>
      <w:r>
        <w:rPr>
          <w:sz w:val="28"/>
          <w:szCs w:val="28"/>
        </w:rPr>
        <w:t xml:space="preserve">that it will </w:t>
      </w:r>
      <w:r w:rsidRPr="007875CA">
        <w:rPr>
          <w:sz w:val="28"/>
          <w:szCs w:val="28"/>
        </w:rPr>
        <w:t>tend to make i</w:t>
      </w:r>
      <w:r>
        <w:rPr>
          <w:sz w:val="28"/>
          <w:szCs w:val="28"/>
        </w:rPr>
        <w:t>t slower, costlier</w:t>
      </w:r>
      <w:r w:rsidRPr="007875CA">
        <w:rPr>
          <w:sz w:val="28"/>
          <w:szCs w:val="28"/>
        </w:rPr>
        <w:t>, more retributive, and harder to settle.</w:t>
      </w:r>
      <w:r>
        <w:rPr>
          <w:sz w:val="28"/>
          <w:szCs w:val="28"/>
        </w:rPr>
        <w:t xml:space="preserve">  </w:t>
      </w:r>
      <w:r w:rsidRPr="00ED5EDF">
        <w:rPr>
          <w:i/>
          <w:sz w:val="28"/>
          <w:szCs w:val="28"/>
        </w:rPr>
        <w:t>See, e.g.</w:t>
      </w:r>
      <w:r>
        <w:rPr>
          <w:sz w:val="28"/>
          <w:szCs w:val="28"/>
        </w:rPr>
        <w:t xml:space="preserve">, </w:t>
      </w:r>
      <w:r w:rsidRPr="005634DF">
        <w:rPr>
          <w:sz w:val="28"/>
          <w:szCs w:val="28"/>
        </w:rPr>
        <w:t xml:space="preserve">Edward D. Cavanagh, </w:t>
      </w:r>
      <w:r w:rsidRPr="005634DF">
        <w:rPr>
          <w:i/>
          <w:sz w:val="28"/>
          <w:szCs w:val="28"/>
        </w:rPr>
        <w:t>Mandating Rule 11 Sanctions: Here We Go Again</w:t>
      </w:r>
      <w:r>
        <w:rPr>
          <w:sz w:val="28"/>
          <w:szCs w:val="28"/>
        </w:rPr>
        <w:t xml:space="preserve">, 74 </w:t>
      </w:r>
      <w:r w:rsidRPr="005634DF">
        <w:rPr>
          <w:smallCaps/>
          <w:sz w:val="28"/>
          <w:szCs w:val="28"/>
        </w:rPr>
        <w:t>Wash. &amp; Lee L. Rev</w:t>
      </w:r>
      <w:r>
        <w:rPr>
          <w:smallCaps/>
          <w:sz w:val="28"/>
          <w:szCs w:val="28"/>
        </w:rPr>
        <w:t>. Online</w:t>
      </w:r>
      <w:r>
        <w:rPr>
          <w:sz w:val="28"/>
          <w:szCs w:val="28"/>
        </w:rPr>
        <w:t xml:space="preserve"> </w:t>
      </w:r>
      <w:r w:rsidRPr="005634DF">
        <w:rPr>
          <w:sz w:val="28"/>
          <w:szCs w:val="28"/>
        </w:rPr>
        <w:t>31</w:t>
      </w:r>
      <w:r>
        <w:rPr>
          <w:sz w:val="28"/>
          <w:szCs w:val="28"/>
        </w:rPr>
        <w:t>, 39-40</w:t>
      </w:r>
      <w:r w:rsidRPr="005634DF">
        <w:rPr>
          <w:sz w:val="28"/>
          <w:szCs w:val="28"/>
        </w:rPr>
        <w:t xml:space="preserve"> (2017)</w:t>
      </w:r>
      <w:r>
        <w:rPr>
          <w:sz w:val="28"/>
          <w:szCs w:val="28"/>
        </w:rPr>
        <w:t xml:space="preserve"> (“</w:t>
      </w:r>
      <w:r w:rsidRPr="005634DF">
        <w:rPr>
          <w:sz w:val="28"/>
          <w:szCs w:val="28"/>
        </w:rPr>
        <w:t>Ma</w:t>
      </w:r>
      <w:r>
        <w:rPr>
          <w:sz w:val="28"/>
          <w:szCs w:val="28"/>
        </w:rPr>
        <w:t>ndatory sanctions will increase—</w:t>
      </w:r>
      <w:r w:rsidRPr="005634DF">
        <w:rPr>
          <w:sz w:val="28"/>
          <w:szCs w:val="28"/>
        </w:rPr>
        <w:t>not decrease—</w:t>
      </w:r>
      <w:r w:rsidRPr="005634DF">
        <w:rPr>
          <w:sz w:val="28"/>
          <w:szCs w:val="28"/>
        </w:rPr>
        <w:lastRenderedPageBreak/>
        <w:t>litigation</w:t>
      </w:r>
      <w:r>
        <w:rPr>
          <w:sz w:val="28"/>
          <w:szCs w:val="28"/>
        </w:rPr>
        <w:t xml:space="preserve"> </w:t>
      </w:r>
      <w:r w:rsidRPr="005634DF">
        <w:rPr>
          <w:sz w:val="28"/>
          <w:szCs w:val="28"/>
        </w:rPr>
        <w:t xml:space="preserve">costs. The decade of experience under the </w:t>
      </w:r>
      <w:r w:rsidRPr="005634DF">
        <w:rPr>
          <w:bCs/>
          <w:sz w:val="28"/>
          <w:szCs w:val="28"/>
        </w:rPr>
        <w:t>1983</w:t>
      </w:r>
      <w:r w:rsidRPr="005634DF">
        <w:rPr>
          <w:b/>
          <w:bCs/>
          <w:sz w:val="28"/>
          <w:szCs w:val="28"/>
        </w:rPr>
        <w:t xml:space="preserve"> </w:t>
      </w:r>
      <w:r w:rsidRPr="005634DF">
        <w:rPr>
          <w:sz w:val="28"/>
          <w:szCs w:val="28"/>
        </w:rPr>
        <w:t>version of Rule 11</w:t>
      </w:r>
      <w:r>
        <w:rPr>
          <w:sz w:val="28"/>
          <w:szCs w:val="28"/>
        </w:rPr>
        <w:t xml:space="preserve"> </w:t>
      </w:r>
      <w:r w:rsidRPr="005634DF">
        <w:rPr>
          <w:sz w:val="28"/>
          <w:szCs w:val="28"/>
        </w:rPr>
        <w:t>amply demonstrates that mandatory sanctions promote satellite</w:t>
      </w:r>
      <w:r>
        <w:rPr>
          <w:sz w:val="28"/>
          <w:szCs w:val="28"/>
        </w:rPr>
        <w:t xml:space="preserve"> </w:t>
      </w:r>
      <w:r w:rsidRPr="005634DF">
        <w:rPr>
          <w:sz w:val="28"/>
          <w:szCs w:val="28"/>
        </w:rPr>
        <w:t>litigation on the issue of whether Rule 11 has been violated.</w:t>
      </w:r>
      <w:r>
        <w:rPr>
          <w:sz w:val="28"/>
          <w:szCs w:val="28"/>
        </w:rPr>
        <w:t xml:space="preserve">  </w:t>
      </w:r>
      <w:r w:rsidRPr="005634DF">
        <w:rPr>
          <w:sz w:val="28"/>
          <w:szCs w:val="28"/>
        </w:rPr>
        <w:t>Rule 11 motions take time and cost money to prepare, litigate,</w:t>
      </w:r>
      <w:r>
        <w:rPr>
          <w:sz w:val="28"/>
          <w:szCs w:val="28"/>
        </w:rPr>
        <w:t xml:space="preserve"> </w:t>
      </w:r>
      <w:r w:rsidRPr="005634DF">
        <w:rPr>
          <w:sz w:val="28"/>
          <w:szCs w:val="28"/>
        </w:rPr>
        <w:t>and adjudicate. These motions thus add to the overall costs of</w:t>
      </w:r>
      <w:r>
        <w:rPr>
          <w:sz w:val="28"/>
          <w:szCs w:val="28"/>
        </w:rPr>
        <w:t xml:space="preserve"> </w:t>
      </w:r>
      <w:r w:rsidRPr="005634DF">
        <w:rPr>
          <w:sz w:val="28"/>
          <w:szCs w:val="28"/>
        </w:rPr>
        <w:t>litigation and delay the resolution of a given controversy on the</w:t>
      </w:r>
      <w:r>
        <w:rPr>
          <w:sz w:val="28"/>
          <w:szCs w:val="28"/>
        </w:rPr>
        <w:t xml:space="preserve"> merits…   </w:t>
      </w:r>
      <w:r w:rsidRPr="005634DF">
        <w:rPr>
          <w:sz w:val="28"/>
          <w:szCs w:val="28"/>
        </w:rPr>
        <w:t>Once a Rule 11 motion is made, incentives among</w:t>
      </w:r>
      <w:r>
        <w:rPr>
          <w:sz w:val="28"/>
          <w:szCs w:val="28"/>
        </w:rPr>
        <w:t xml:space="preserve"> </w:t>
      </w:r>
      <w:r w:rsidRPr="005634DF">
        <w:rPr>
          <w:sz w:val="28"/>
          <w:szCs w:val="28"/>
        </w:rPr>
        <w:t xml:space="preserve">adversaries to cooperate, or even behave </w:t>
      </w:r>
      <w:r w:rsidRPr="005634DF">
        <w:rPr>
          <w:bCs/>
          <w:sz w:val="28"/>
          <w:szCs w:val="28"/>
        </w:rPr>
        <w:t>civilly</w:t>
      </w:r>
      <w:r w:rsidRPr="005634DF">
        <w:rPr>
          <w:b/>
          <w:bCs/>
          <w:sz w:val="28"/>
          <w:szCs w:val="28"/>
        </w:rPr>
        <w:t xml:space="preserve">, </w:t>
      </w:r>
      <w:r w:rsidRPr="005634DF">
        <w:rPr>
          <w:sz w:val="28"/>
          <w:szCs w:val="28"/>
        </w:rPr>
        <w:t>diminish</w:t>
      </w:r>
      <w:r>
        <w:rPr>
          <w:sz w:val="28"/>
          <w:szCs w:val="28"/>
        </w:rPr>
        <w:t xml:space="preserve"> </w:t>
      </w:r>
      <w:r w:rsidRPr="005634DF">
        <w:rPr>
          <w:sz w:val="28"/>
          <w:szCs w:val="28"/>
        </w:rPr>
        <w:t>significantly; that, in itself, can impede the progress of the</w:t>
      </w:r>
      <w:r>
        <w:rPr>
          <w:sz w:val="28"/>
          <w:szCs w:val="28"/>
        </w:rPr>
        <w:t xml:space="preserve"> </w:t>
      </w:r>
      <w:r w:rsidRPr="005634DF">
        <w:rPr>
          <w:sz w:val="28"/>
          <w:szCs w:val="28"/>
        </w:rPr>
        <w:t>litigation.</w:t>
      </w:r>
      <w:r>
        <w:rPr>
          <w:sz w:val="28"/>
          <w:szCs w:val="28"/>
        </w:rPr>
        <w:t xml:space="preserve">”); </w:t>
      </w:r>
      <w:r w:rsidRPr="005634DF">
        <w:rPr>
          <w:i/>
          <w:sz w:val="28"/>
          <w:szCs w:val="28"/>
        </w:rPr>
        <w:t>see also</w:t>
      </w:r>
      <w:r>
        <w:rPr>
          <w:sz w:val="28"/>
          <w:szCs w:val="28"/>
        </w:rPr>
        <w:t xml:space="preserve"> </w:t>
      </w:r>
      <w:r w:rsidRPr="00D8097C">
        <w:rPr>
          <w:sz w:val="28"/>
          <w:szCs w:val="28"/>
        </w:rPr>
        <w:t xml:space="preserve">Committee on Rules of Practice and Procedure of the Judicial Conference of the U.S., Letter to Bob </w:t>
      </w:r>
      <w:proofErr w:type="spellStart"/>
      <w:r w:rsidRPr="00D8097C">
        <w:rPr>
          <w:sz w:val="28"/>
          <w:szCs w:val="28"/>
        </w:rPr>
        <w:t>Goodlatte</w:t>
      </w:r>
      <w:proofErr w:type="spellEnd"/>
      <w:r w:rsidRPr="00D8097C">
        <w:rPr>
          <w:sz w:val="28"/>
          <w:szCs w:val="28"/>
        </w:rPr>
        <w:t>, at p.</w:t>
      </w:r>
      <w:r>
        <w:rPr>
          <w:sz w:val="28"/>
          <w:szCs w:val="28"/>
        </w:rPr>
        <w:t>2</w:t>
      </w:r>
      <w:r w:rsidRPr="00D8097C">
        <w:rPr>
          <w:sz w:val="28"/>
          <w:szCs w:val="28"/>
        </w:rPr>
        <w:t xml:space="preserve"> </w:t>
      </w:r>
      <w:r>
        <w:rPr>
          <w:sz w:val="28"/>
          <w:szCs w:val="28"/>
        </w:rPr>
        <w:t>(pre-1993 federal rule 11 “generated wasteful satellite litigation that had little to do with the merits of cases”).</w:t>
      </w:r>
    </w:p>
    <w:p w:rsidR="00E92FE2" w:rsidRPr="007875CA" w:rsidRDefault="00E92FE2" w:rsidP="00E92FE2">
      <w:pPr>
        <w:widowControl w:val="0"/>
        <w:autoSpaceDE w:val="0"/>
        <w:autoSpaceDN w:val="0"/>
        <w:adjustRightInd w:val="0"/>
        <w:spacing w:line="480" w:lineRule="auto"/>
        <w:ind w:firstLine="720"/>
        <w:jc w:val="both"/>
        <w:rPr>
          <w:sz w:val="28"/>
          <w:szCs w:val="28"/>
        </w:rPr>
      </w:pPr>
      <w:r>
        <w:rPr>
          <w:sz w:val="28"/>
          <w:szCs w:val="28"/>
        </w:rPr>
        <w:t>For these reasons – and others discussed in the prior petitions and comments filed with the Court on these issues over the last three years – the Court should again reject the proposed changes to Rule 11.</w:t>
      </w:r>
    </w:p>
    <w:p w:rsidR="00E92FE2" w:rsidRPr="007875CA" w:rsidRDefault="00E92FE2" w:rsidP="00E92FE2">
      <w:pPr>
        <w:pStyle w:val="Heading1"/>
        <w:keepLines/>
        <w:tabs>
          <w:tab w:val="num" w:pos="720"/>
        </w:tabs>
        <w:spacing w:line="480" w:lineRule="auto"/>
        <w:jc w:val="both"/>
        <w:rPr>
          <w:sz w:val="28"/>
          <w:szCs w:val="28"/>
        </w:rPr>
      </w:pPr>
      <w:r w:rsidRPr="007875CA">
        <w:rPr>
          <w:sz w:val="28"/>
          <w:szCs w:val="28"/>
        </w:rPr>
        <w:t>II.</w:t>
      </w:r>
      <w:r w:rsidRPr="007875CA">
        <w:rPr>
          <w:sz w:val="28"/>
          <w:szCs w:val="28"/>
        </w:rPr>
        <w:tab/>
        <w:t xml:space="preserve">The </w:t>
      </w:r>
      <w:r>
        <w:rPr>
          <w:sz w:val="28"/>
          <w:szCs w:val="28"/>
        </w:rPr>
        <w:t xml:space="preserve">Petition’s </w:t>
      </w:r>
      <w:r w:rsidRPr="007875CA">
        <w:rPr>
          <w:sz w:val="28"/>
          <w:szCs w:val="28"/>
        </w:rPr>
        <w:t>Propose</w:t>
      </w:r>
      <w:r>
        <w:rPr>
          <w:sz w:val="28"/>
          <w:szCs w:val="28"/>
        </w:rPr>
        <w:t>d Addition of Rule 26(b</w:t>
      </w:r>
      <w:proofErr w:type="gramStart"/>
      <w:r>
        <w:rPr>
          <w:sz w:val="28"/>
          <w:szCs w:val="28"/>
        </w:rPr>
        <w:t>)(</w:t>
      </w:r>
      <w:proofErr w:type="gramEnd"/>
      <w:r>
        <w:rPr>
          <w:sz w:val="28"/>
          <w:szCs w:val="28"/>
        </w:rPr>
        <w:t>2)(D)</w:t>
      </w:r>
    </w:p>
    <w:p w:rsidR="00E92FE2" w:rsidRDefault="00E92FE2" w:rsidP="00E92FE2">
      <w:pPr>
        <w:pStyle w:val="Style13ptJustifiedFirstline05LinespacingDouble"/>
        <w:spacing w:line="480" w:lineRule="auto"/>
        <w:rPr>
          <w:sz w:val="28"/>
          <w:szCs w:val="28"/>
        </w:rPr>
      </w:pPr>
      <w:r>
        <w:rPr>
          <w:sz w:val="28"/>
          <w:szCs w:val="28"/>
        </w:rPr>
        <w:t>The Petition asks the Court to add a provision in Rule 26(b)(2)(D) requiring courts to “</w:t>
      </w:r>
      <w:r w:rsidRPr="002E6284">
        <w:rPr>
          <w:sz w:val="28"/>
          <w:szCs w:val="28"/>
        </w:rPr>
        <w:t xml:space="preserve">enforce any mutually and freely negotiated </w:t>
      </w:r>
      <w:proofErr w:type="spellStart"/>
      <w:r w:rsidRPr="002E6284">
        <w:rPr>
          <w:sz w:val="28"/>
          <w:szCs w:val="28"/>
        </w:rPr>
        <w:t>prelitig</w:t>
      </w:r>
      <w:bookmarkStart w:id="2" w:name="_GoBack"/>
      <w:bookmarkEnd w:id="2"/>
      <w:r w:rsidRPr="002E6284">
        <w:rPr>
          <w:sz w:val="28"/>
          <w:szCs w:val="28"/>
        </w:rPr>
        <w:t>ation</w:t>
      </w:r>
      <w:proofErr w:type="spellEnd"/>
      <w:r>
        <w:rPr>
          <w:sz w:val="28"/>
          <w:szCs w:val="28"/>
        </w:rPr>
        <w:t xml:space="preserve"> </w:t>
      </w:r>
      <w:r w:rsidRPr="002E6284">
        <w:rPr>
          <w:sz w:val="28"/>
          <w:szCs w:val="28"/>
        </w:rPr>
        <w:t>contract between business</w:t>
      </w:r>
      <w:r>
        <w:rPr>
          <w:sz w:val="28"/>
          <w:szCs w:val="28"/>
        </w:rPr>
        <w:t xml:space="preserve"> </w:t>
      </w:r>
      <w:r w:rsidRPr="002E6284">
        <w:rPr>
          <w:sz w:val="28"/>
          <w:szCs w:val="28"/>
        </w:rPr>
        <w:t>organizations (as defined in Experimental Rule</w:t>
      </w:r>
      <w:r>
        <w:rPr>
          <w:sz w:val="28"/>
          <w:szCs w:val="28"/>
        </w:rPr>
        <w:t xml:space="preserve"> 8.1(a)(3))</w:t>
      </w:r>
      <w:r w:rsidRPr="002E6284">
        <w:rPr>
          <w:sz w:val="28"/>
          <w:szCs w:val="28"/>
        </w:rPr>
        <w:t xml:space="preserve"> limiting the obligations of the</w:t>
      </w:r>
      <w:r>
        <w:rPr>
          <w:sz w:val="28"/>
          <w:szCs w:val="28"/>
        </w:rPr>
        <w:t xml:space="preserve"> </w:t>
      </w:r>
      <w:r w:rsidRPr="002E6284">
        <w:rPr>
          <w:sz w:val="28"/>
          <w:szCs w:val="28"/>
        </w:rPr>
        <w:t>contracting parties to preserve information, or to</w:t>
      </w:r>
      <w:r>
        <w:rPr>
          <w:sz w:val="28"/>
          <w:szCs w:val="28"/>
        </w:rPr>
        <w:t xml:space="preserve"> </w:t>
      </w:r>
      <w:r w:rsidRPr="002E6284">
        <w:rPr>
          <w:sz w:val="28"/>
          <w:szCs w:val="28"/>
        </w:rPr>
        <w:t>provide disclosure or discovery.</w:t>
      </w:r>
      <w:r>
        <w:rPr>
          <w:sz w:val="28"/>
          <w:szCs w:val="28"/>
        </w:rPr>
        <w:t>”  The Petition argues that this provision “would ‘</w:t>
      </w:r>
      <w:r w:rsidRPr="002E6284">
        <w:rPr>
          <w:sz w:val="28"/>
          <w:szCs w:val="28"/>
        </w:rPr>
        <w:t>enhance predictability in this</w:t>
      </w:r>
      <w:r>
        <w:rPr>
          <w:sz w:val="28"/>
          <w:szCs w:val="28"/>
        </w:rPr>
        <w:t xml:space="preserve"> developing area of the law,’</w:t>
      </w:r>
      <w:r w:rsidRPr="002E6284">
        <w:rPr>
          <w:sz w:val="28"/>
          <w:szCs w:val="28"/>
        </w:rPr>
        <w:t xml:space="preserve"> in which it has become more </w:t>
      </w:r>
      <w:r w:rsidRPr="002E6284">
        <w:rPr>
          <w:sz w:val="28"/>
          <w:szCs w:val="28"/>
        </w:rPr>
        <w:lastRenderedPageBreak/>
        <w:t>common for</w:t>
      </w:r>
      <w:r>
        <w:rPr>
          <w:sz w:val="28"/>
          <w:szCs w:val="28"/>
        </w:rPr>
        <w:t xml:space="preserve"> </w:t>
      </w:r>
      <w:r w:rsidRPr="002E6284">
        <w:rPr>
          <w:sz w:val="28"/>
          <w:szCs w:val="28"/>
        </w:rPr>
        <w:t>business org</w:t>
      </w:r>
      <w:r>
        <w:rPr>
          <w:sz w:val="28"/>
          <w:szCs w:val="28"/>
        </w:rPr>
        <w:t>anizations, often those having ‘</w:t>
      </w:r>
      <w:r w:rsidRPr="002E6284">
        <w:rPr>
          <w:sz w:val="28"/>
          <w:szCs w:val="28"/>
        </w:rPr>
        <w:t>massive amounts of</w:t>
      </w:r>
      <w:r>
        <w:rPr>
          <w:sz w:val="28"/>
          <w:szCs w:val="28"/>
        </w:rPr>
        <w:t xml:space="preserve"> </w:t>
      </w:r>
      <w:r w:rsidRPr="002E6284">
        <w:rPr>
          <w:sz w:val="28"/>
          <w:szCs w:val="28"/>
        </w:rPr>
        <w:t>electronic data, to negotiate contract limits on their preservation and</w:t>
      </w:r>
      <w:r>
        <w:rPr>
          <w:sz w:val="28"/>
          <w:szCs w:val="28"/>
        </w:rPr>
        <w:t xml:space="preserve"> discovery obligations’</w:t>
      </w:r>
      <w:r w:rsidRPr="002E6284">
        <w:rPr>
          <w:sz w:val="28"/>
          <w:szCs w:val="28"/>
        </w:rPr>
        <w:t xml:space="preserve"> in advance.</w:t>
      </w:r>
      <w:r>
        <w:rPr>
          <w:sz w:val="28"/>
          <w:szCs w:val="28"/>
        </w:rPr>
        <w:t xml:space="preserve">”  Petition at 17 (quoting </w:t>
      </w:r>
      <w:r w:rsidRPr="002E6284">
        <w:rPr>
          <w:sz w:val="28"/>
          <w:szCs w:val="28"/>
        </w:rPr>
        <w:t>CCJR’s 10/1/16 Report</w:t>
      </w:r>
      <w:r>
        <w:rPr>
          <w:sz w:val="28"/>
          <w:szCs w:val="28"/>
        </w:rPr>
        <w:t>).  While these are worthy goals to seek to achieve, the State Bar continues to oppose the provision for a number of reasons.</w:t>
      </w:r>
    </w:p>
    <w:p w:rsidR="00E92FE2" w:rsidRDefault="00E92FE2" w:rsidP="00E92FE2">
      <w:pPr>
        <w:pStyle w:val="Style13ptJustifiedFirstline05LinespacingDouble"/>
        <w:spacing w:line="480" w:lineRule="auto"/>
        <w:rPr>
          <w:sz w:val="28"/>
          <w:szCs w:val="28"/>
        </w:rPr>
      </w:pPr>
      <w:r>
        <w:rPr>
          <w:sz w:val="28"/>
          <w:szCs w:val="28"/>
        </w:rPr>
        <w:t>While arguing that such contractual provisions have become common and that predictability regarding their enforceability is needed, the Petition fails to cite any decisions in Arizona or elsewhere enforcing or even analyzing such a contractual provision.  The lack of any such case law is particularly troubling given the potential problems raised by the proposed rule provision.  Namely:</w:t>
      </w:r>
    </w:p>
    <w:p w:rsidR="00E92FE2" w:rsidRDefault="00E92FE2" w:rsidP="00E92FE2">
      <w:pPr>
        <w:pStyle w:val="Style13ptJustifiedFirstline05LinespacingDouble"/>
        <w:numPr>
          <w:ilvl w:val="0"/>
          <w:numId w:val="15"/>
        </w:numPr>
        <w:spacing w:line="480" w:lineRule="auto"/>
        <w:ind w:left="0" w:firstLine="720"/>
        <w:rPr>
          <w:sz w:val="28"/>
          <w:szCs w:val="28"/>
        </w:rPr>
      </w:pPr>
      <w:r>
        <w:rPr>
          <w:sz w:val="28"/>
          <w:szCs w:val="28"/>
        </w:rPr>
        <w:t>The phrase “mutually and freely negotiated” is undefined in the proposed rule provision, or in any case law,</w:t>
      </w:r>
      <w:r>
        <w:rPr>
          <w:rStyle w:val="FootnoteReference"/>
          <w:sz w:val="28"/>
          <w:szCs w:val="28"/>
        </w:rPr>
        <w:footnoteReference w:id="3"/>
      </w:r>
      <w:r>
        <w:rPr>
          <w:sz w:val="28"/>
          <w:szCs w:val="28"/>
        </w:rPr>
        <w:t xml:space="preserve"> and is likely to lead to uncertainty and a rise in satellite litigation.  For example, does the phrase mean that the contract is not one of adhesion that the contractual provision is not unconscionable, that the parties actually jointly asked for and participated in the drafting of the provision, or something else?</w:t>
      </w:r>
    </w:p>
    <w:p w:rsidR="00E92FE2" w:rsidRPr="00496919" w:rsidRDefault="00E92FE2" w:rsidP="00E92FE2">
      <w:pPr>
        <w:pStyle w:val="Style13ptJustifiedFirstline05LinespacingDouble"/>
        <w:numPr>
          <w:ilvl w:val="0"/>
          <w:numId w:val="15"/>
        </w:numPr>
        <w:spacing w:line="480" w:lineRule="auto"/>
        <w:ind w:left="0" w:firstLine="720"/>
        <w:rPr>
          <w:sz w:val="28"/>
          <w:szCs w:val="28"/>
        </w:rPr>
      </w:pPr>
      <w:r w:rsidRPr="00496919">
        <w:rPr>
          <w:sz w:val="28"/>
          <w:szCs w:val="28"/>
        </w:rPr>
        <w:lastRenderedPageBreak/>
        <w:t xml:space="preserve">Another area of concern is the unclear scope of the Rule.  Will parties be exempt from Rule 26.1 disclosure requirements and Rules 33-36 because they have agreed to limit their obligations “to provide disclosure or discovery?”  And, what do those terms mean?  Will they be specifically defined in the contract between the parties?  Will the court be called on to interpret terms that are not defined by the Arizona Rules of Civil </w:t>
      </w:r>
      <w:proofErr w:type="gramStart"/>
      <w:r w:rsidRPr="00496919">
        <w:rPr>
          <w:sz w:val="28"/>
          <w:szCs w:val="28"/>
        </w:rPr>
        <w:t>Procedure.</w:t>
      </w:r>
      <w:proofErr w:type="gramEnd"/>
      <w:r w:rsidRPr="00496919">
        <w:rPr>
          <w:sz w:val="28"/>
          <w:szCs w:val="28"/>
        </w:rPr>
        <w:t xml:space="preserve">  </w:t>
      </w:r>
      <w:r>
        <w:rPr>
          <w:sz w:val="28"/>
          <w:szCs w:val="28"/>
        </w:rPr>
        <w:t>There is</w:t>
      </w:r>
      <w:r w:rsidRPr="00496919">
        <w:rPr>
          <w:sz w:val="28"/>
          <w:szCs w:val="28"/>
        </w:rPr>
        <w:t xml:space="preserve"> simply no frame of reference for answering any of these questions.</w:t>
      </w:r>
    </w:p>
    <w:p w:rsidR="00E92FE2" w:rsidRDefault="00E92FE2" w:rsidP="00E92FE2">
      <w:pPr>
        <w:pStyle w:val="Style13ptJustifiedFirstline05LinespacingDouble"/>
        <w:numPr>
          <w:ilvl w:val="0"/>
          <w:numId w:val="15"/>
        </w:numPr>
        <w:spacing w:line="480" w:lineRule="auto"/>
        <w:ind w:left="0" w:firstLine="720"/>
        <w:rPr>
          <w:sz w:val="28"/>
          <w:szCs w:val="28"/>
        </w:rPr>
      </w:pPr>
      <w:r>
        <w:rPr>
          <w:sz w:val="28"/>
          <w:szCs w:val="28"/>
        </w:rPr>
        <w:t>While seeking to limit the provision to “sophisticated” parties by confining mandated enforcement to contracts between “business organizations,” the term “business organizations” is broadly defined to include business entities no matter how small they might be, including even “</w:t>
      </w:r>
      <w:r w:rsidRPr="005B406E">
        <w:rPr>
          <w:sz w:val="28"/>
          <w:szCs w:val="28"/>
        </w:rPr>
        <w:t>sole proprietorship</w:t>
      </w:r>
      <w:r>
        <w:rPr>
          <w:sz w:val="28"/>
          <w:szCs w:val="28"/>
        </w:rPr>
        <w:t>[s].”  In light of that broad definition, it is not difficult to imagine situations involving starkly disparate negotiating power falling within the provision’s reach (e.g., a small business or sole proprietorship contracting with a company like Apple, Walmart, or Amazon).</w:t>
      </w:r>
    </w:p>
    <w:p w:rsidR="00E92FE2" w:rsidRDefault="00E92FE2" w:rsidP="00E92FE2">
      <w:pPr>
        <w:pStyle w:val="Style13ptJustifiedFirstline05LinespacingDouble"/>
        <w:numPr>
          <w:ilvl w:val="0"/>
          <w:numId w:val="15"/>
        </w:numPr>
        <w:spacing w:line="480" w:lineRule="auto"/>
        <w:ind w:left="0" w:firstLine="720"/>
        <w:rPr>
          <w:sz w:val="28"/>
          <w:szCs w:val="28"/>
        </w:rPr>
      </w:pPr>
      <w:r>
        <w:rPr>
          <w:sz w:val="28"/>
          <w:szCs w:val="28"/>
        </w:rPr>
        <w:t xml:space="preserve">In addition to its broad reach to any and all business entities no matter their size, the provision does not mandate that contractual limits on preservation and discovery obligations be mutual and identical for both contracting parties.  That is, there is nothing preventing a larger company with stronger bargaining power from </w:t>
      </w:r>
      <w:r>
        <w:rPr>
          <w:sz w:val="28"/>
          <w:szCs w:val="28"/>
        </w:rPr>
        <w:lastRenderedPageBreak/>
        <w:t>drafting such a provision so that it has more limited preservation and discovery obligations than a smaller company with which it contracts.</w:t>
      </w:r>
    </w:p>
    <w:p w:rsidR="00E92FE2" w:rsidRPr="00BF24F6" w:rsidRDefault="00E92FE2" w:rsidP="00E92FE2">
      <w:pPr>
        <w:pStyle w:val="Style13ptJustifiedFirstline05LinespacingDouble"/>
        <w:numPr>
          <w:ilvl w:val="0"/>
          <w:numId w:val="15"/>
        </w:numPr>
        <w:spacing w:line="480" w:lineRule="auto"/>
        <w:ind w:left="0" w:firstLine="720"/>
        <w:rPr>
          <w:sz w:val="28"/>
          <w:szCs w:val="28"/>
        </w:rPr>
      </w:pPr>
      <w:r w:rsidRPr="00BF24F6">
        <w:rPr>
          <w:sz w:val="28"/>
          <w:szCs w:val="28"/>
        </w:rPr>
        <w:t>The provision on its face would permit parties to destroy highly relevant evidence even after a lawsuit is filed, which would encourage parties to destroy evidence harmful to their</w:t>
      </w:r>
      <w:r>
        <w:rPr>
          <w:sz w:val="28"/>
          <w:szCs w:val="28"/>
        </w:rPr>
        <w:t xml:space="preserve"> litigation</w:t>
      </w:r>
      <w:r w:rsidRPr="00BF24F6">
        <w:rPr>
          <w:sz w:val="28"/>
          <w:szCs w:val="28"/>
        </w:rPr>
        <w:t xml:space="preserve"> position, an incentive wholly inconsistent with Rule 37(d) (</w:t>
      </w:r>
      <w:r>
        <w:rPr>
          <w:sz w:val="28"/>
          <w:szCs w:val="28"/>
        </w:rPr>
        <w:t>authoriz</w:t>
      </w:r>
      <w:r w:rsidRPr="00BF24F6">
        <w:rPr>
          <w:sz w:val="28"/>
          <w:szCs w:val="28"/>
        </w:rPr>
        <w:t xml:space="preserve">ing sanctions for a party’s failure “to make a timely disclosure of damaging or unfavorable information”) and with the judicial preference that cases be decided on their merits.  </w:t>
      </w:r>
      <w:r w:rsidRPr="00BF24F6">
        <w:rPr>
          <w:i/>
          <w:sz w:val="28"/>
          <w:szCs w:val="28"/>
        </w:rPr>
        <w:t>See, e.g.</w:t>
      </w:r>
      <w:r w:rsidRPr="00BF24F6">
        <w:rPr>
          <w:sz w:val="28"/>
          <w:szCs w:val="28"/>
        </w:rPr>
        <w:t xml:space="preserve">, </w:t>
      </w:r>
      <w:proofErr w:type="spellStart"/>
      <w:r w:rsidRPr="00BF24F6">
        <w:rPr>
          <w:i/>
          <w:sz w:val="28"/>
          <w:szCs w:val="28"/>
        </w:rPr>
        <w:t>Hilgeman</w:t>
      </w:r>
      <w:proofErr w:type="spellEnd"/>
      <w:r w:rsidRPr="00BF24F6">
        <w:rPr>
          <w:i/>
          <w:sz w:val="28"/>
          <w:szCs w:val="28"/>
        </w:rPr>
        <w:t xml:space="preserve"> v.  Am. Mortgage Sec., Inc.</w:t>
      </w:r>
      <w:r w:rsidRPr="00BF24F6">
        <w:rPr>
          <w:sz w:val="28"/>
          <w:szCs w:val="28"/>
        </w:rPr>
        <w:t xml:space="preserve">, 196 Ariz. 215, </w:t>
      </w:r>
      <w:r>
        <w:rPr>
          <w:sz w:val="28"/>
          <w:szCs w:val="28"/>
        </w:rPr>
        <w:t>218, ⁋ 7</w:t>
      </w:r>
      <w:r w:rsidRPr="00BF24F6">
        <w:rPr>
          <w:sz w:val="28"/>
          <w:szCs w:val="28"/>
        </w:rPr>
        <w:t xml:space="preserve"> (App. 2000).</w:t>
      </w:r>
    </w:p>
    <w:p w:rsidR="00E92FE2" w:rsidRDefault="00E92FE2" w:rsidP="00E92FE2">
      <w:pPr>
        <w:pStyle w:val="Style13ptJustifiedFirstline05LinespacingDouble"/>
        <w:spacing w:line="480" w:lineRule="auto"/>
        <w:rPr>
          <w:sz w:val="28"/>
          <w:szCs w:val="28"/>
        </w:rPr>
      </w:pPr>
      <w:r>
        <w:rPr>
          <w:sz w:val="28"/>
          <w:szCs w:val="28"/>
        </w:rPr>
        <w:t xml:space="preserve">Mandating the Superior Court to enforce such contractual provisions </w:t>
      </w:r>
      <w:r w:rsidRPr="00316A9B">
        <w:rPr>
          <w:sz w:val="28"/>
          <w:szCs w:val="28"/>
        </w:rPr>
        <w:t>in the face of these – and l</w:t>
      </w:r>
      <w:r>
        <w:rPr>
          <w:sz w:val="28"/>
          <w:szCs w:val="28"/>
        </w:rPr>
        <w:t>ikely other – problems, especially when their enforceability has never been litigated in this state or elsewhere, would be imprudent.  This is particularly true given the fact that the problems the Petition tries to solve with Rule 26(b</w:t>
      </w:r>
      <w:proofErr w:type="gramStart"/>
      <w:r>
        <w:rPr>
          <w:sz w:val="28"/>
          <w:szCs w:val="28"/>
        </w:rPr>
        <w:t>)(</w:t>
      </w:r>
      <w:proofErr w:type="gramEnd"/>
      <w:r>
        <w:rPr>
          <w:sz w:val="28"/>
          <w:szCs w:val="28"/>
        </w:rPr>
        <w:t xml:space="preserve">2)(D) can already be handled in other ways.  For example, with respect to preservation obligations, businesses are free to institute document retention policies in which they limit the amount of data they retain (e.g., automatic deletion of emails after a set amount of time, short retention cycles for back-up tapes, etc.); they only have an obligation to preserve relevant data once a lawsuit is commenced or reasonably anticipated (a term defined in Rule 37(g)(1)(B)), and the rules even give a company the ability to litigate the scope of its preservation obligations before a </w:t>
      </w:r>
      <w:r>
        <w:rPr>
          <w:sz w:val="28"/>
          <w:szCs w:val="28"/>
        </w:rPr>
        <w:lastRenderedPageBreak/>
        <w:t xml:space="preserve">lawsuit is filed. </w:t>
      </w:r>
      <w:r w:rsidRPr="001C46FA">
        <w:rPr>
          <w:i/>
          <w:sz w:val="28"/>
          <w:szCs w:val="28"/>
        </w:rPr>
        <w:t>See</w:t>
      </w:r>
      <w:r>
        <w:rPr>
          <w:sz w:val="28"/>
          <w:szCs w:val="28"/>
        </w:rPr>
        <w:t xml:space="preserve"> </w:t>
      </w:r>
      <w:r w:rsidRPr="001C46FA">
        <w:rPr>
          <w:smallCaps/>
          <w:sz w:val="28"/>
          <w:szCs w:val="28"/>
        </w:rPr>
        <w:t>Ariz. R. Civ. P</w:t>
      </w:r>
      <w:r>
        <w:rPr>
          <w:sz w:val="28"/>
          <w:szCs w:val="28"/>
        </w:rPr>
        <w:t>. 45.2.  And even then, one of the factors in determining whether reasonable preservation steps were taken includes “</w:t>
      </w:r>
      <w:r w:rsidRPr="0008090C">
        <w:rPr>
          <w:sz w:val="28"/>
          <w:szCs w:val="28"/>
        </w:rPr>
        <w:t>whether the information was lost as a result of the good-faith routine operation of an electronic information system or the good-faith and consistent application of a document retention policy</w:t>
      </w:r>
      <w:r>
        <w:rPr>
          <w:sz w:val="28"/>
          <w:szCs w:val="28"/>
        </w:rPr>
        <w:t xml:space="preserve">.”  </w:t>
      </w:r>
      <w:r w:rsidRPr="0008090C">
        <w:rPr>
          <w:smallCaps/>
          <w:sz w:val="28"/>
          <w:szCs w:val="28"/>
        </w:rPr>
        <w:t>Ariz. R. Civ. P</w:t>
      </w:r>
      <w:r>
        <w:rPr>
          <w:sz w:val="28"/>
          <w:szCs w:val="28"/>
        </w:rPr>
        <w:t>. 37(g</w:t>
      </w:r>
      <w:proofErr w:type="gramStart"/>
      <w:r>
        <w:rPr>
          <w:sz w:val="28"/>
          <w:szCs w:val="28"/>
        </w:rPr>
        <w:t>)(</w:t>
      </w:r>
      <w:proofErr w:type="gramEnd"/>
      <w:r>
        <w:rPr>
          <w:sz w:val="28"/>
          <w:szCs w:val="28"/>
        </w:rPr>
        <w:t>1)(C)(ii).  With respect to the scope of a company’s discovery and disclosure obligations, production is already limited to that which is “</w:t>
      </w:r>
      <w:r w:rsidRPr="009E63EB">
        <w:rPr>
          <w:sz w:val="28"/>
          <w:szCs w:val="28"/>
        </w:rPr>
        <w:t>proportional to the needs of the case</w:t>
      </w:r>
      <w:r>
        <w:rPr>
          <w:sz w:val="28"/>
          <w:szCs w:val="28"/>
        </w:rPr>
        <w:t xml:space="preserve">.”  </w:t>
      </w:r>
      <w:r w:rsidRPr="009E63EB">
        <w:rPr>
          <w:smallCaps/>
          <w:sz w:val="28"/>
          <w:szCs w:val="28"/>
        </w:rPr>
        <w:t>Ariz. R. Civ. P</w:t>
      </w:r>
      <w:r>
        <w:rPr>
          <w:sz w:val="28"/>
          <w:szCs w:val="28"/>
        </w:rPr>
        <w:t>. 26(b</w:t>
      </w:r>
      <w:proofErr w:type="gramStart"/>
      <w:r>
        <w:rPr>
          <w:sz w:val="28"/>
          <w:szCs w:val="28"/>
        </w:rPr>
        <w:t>)(</w:t>
      </w:r>
      <w:proofErr w:type="gramEnd"/>
      <w:r>
        <w:rPr>
          <w:sz w:val="28"/>
          <w:szCs w:val="28"/>
        </w:rPr>
        <w:t xml:space="preserve">1) &amp; 26.1(b) &amp; (c).  In addition, the court is empowered to shift the costs of production to the requesting party if appropriate.  </w:t>
      </w:r>
      <w:r w:rsidRPr="009E63EB">
        <w:rPr>
          <w:smallCaps/>
          <w:sz w:val="28"/>
          <w:szCs w:val="28"/>
        </w:rPr>
        <w:t>Ariz. R. Civ. P</w:t>
      </w:r>
      <w:r>
        <w:rPr>
          <w:sz w:val="28"/>
          <w:szCs w:val="28"/>
        </w:rPr>
        <w:t>. 16(d</w:t>
      </w:r>
      <w:proofErr w:type="gramStart"/>
      <w:r>
        <w:rPr>
          <w:sz w:val="28"/>
          <w:szCs w:val="28"/>
        </w:rPr>
        <w:t>)(</w:t>
      </w:r>
      <w:proofErr w:type="gramEnd"/>
      <w:r>
        <w:rPr>
          <w:sz w:val="28"/>
          <w:szCs w:val="28"/>
        </w:rPr>
        <w:t>3)(a) &amp; 26.1(c)(1).</w:t>
      </w:r>
    </w:p>
    <w:p w:rsidR="00E92FE2" w:rsidRDefault="00E92FE2" w:rsidP="00E92FE2">
      <w:pPr>
        <w:pStyle w:val="Style13ptJustifiedFirstline05LinespacingDouble"/>
        <w:spacing w:line="480" w:lineRule="auto"/>
        <w:rPr>
          <w:sz w:val="28"/>
          <w:szCs w:val="28"/>
        </w:rPr>
      </w:pPr>
      <w:r w:rsidRPr="00A97AC6">
        <w:rPr>
          <w:sz w:val="28"/>
          <w:szCs w:val="28"/>
        </w:rPr>
        <w:t>Finally, the Court should reject the requested addition of Rule 26(b</w:t>
      </w:r>
      <w:proofErr w:type="gramStart"/>
      <w:r w:rsidRPr="00A97AC6">
        <w:rPr>
          <w:sz w:val="28"/>
          <w:szCs w:val="28"/>
        </w:rPr>
        <w:t>)(</w:t>
      </w:r>
      <w:proofErr w:type="gramEnd"/>
      <w:r w:rsidRPr="00A97AC6">
        <w:rPr>
          <w:sz w:val="28"/>
          <w:szCs w:val="28"/>
        </w:rPr>
        <w:t>2)(D) because it is inconsistent with the longstanding principle in Arizona that the trial court is vested</w:t>
      </w:r>
      <w:r>
        <w:rPr>
          <w:sz w:val="28"/>
          <w:szCs w:val="28"/>
        </w:rPr>
        <w:t xml:space="preserve"> with “</w:t>
      </w:r>
      <w:r w:rsidRPr="00A97AC6">
        <w:rPr>
          <w:sz w:val="28"/>
          <w:szCs w:val="28"/>
        </w:rPr>
        <w:t>broad discretion in matters of discovery</w:t>
      </w:r>
      <w:r>
        <w:rPr>
          <w:sz w:val="28"/>
          <w:szCs w:val="28"/>
        </w:rPr>
        <w:t>.”</w:t>
      </w:r>
      <w:r w:rsidRPr="00A97AC6">
        <w:rPr>
          <w:sz w:val="28"/>
          <w:szCs w:val="28"/>
        </w:rPr>
        <w:t xml:space="preserve">  </w:t>
      </w:r>
      <w:r w:rsidRPr="00A97AC6">
        <w:rPr>
          <w:i/>
          <w:sz w:val="28"/>
          <w:szCs w:val="28"/>
        </w:rPr>
        <w:t>Lewis v. Ariz. Dep’t of Econ. Sec.</w:t>
      </w:r>
      <w:r w:rsidRPr="00A97AC6">
        <w:rPr>
          <w:sz w:val="28"/>
          <w:szCs w:val="28"/>
        </w:rPr>
        <w:t xml:space="preserve">, </w:t>
      </w:r>
      <w:r>
        <w:rPr>
          <w:sz w:val="28"/>
          <w:szCs w:val="28"/>
        </w:rPr>
        <w:t>186 Ariz. 610, 616 (App. 1996).</w:t>
      </w:r>
    </w:p>
    <w:p w:rsidR="00E92FE2" w:rsidRPr="00496919" w:rsidRDefault="00E92FE2" w:rsidP="00E92FE2">
      <w:pPr>
        <w:pStyle w:val="Style13ptJustifiedFirstline05LinespacingDouble"/>
        <w:spacing w:line="480" w:lineRule="auto"/>
        <w:rPr>
          <w:sz w:val="28"/>
          <w:szCs w:val="28"/>
        </w:rPr>
      </w:pPr>
      <w:r w:rsidRPr="00496919">
        <w:rPr>
          <w:sz w:val="28"/>
          <w:szCs w:val="28"/>
        </w:rPr>
        <w:t xml:space="preserve">Not only have Arizona courts repeatedly recognized the need for judicial discretion in case management, but the emphasis on the need for judicial discretion is expanding.  For example, </w:t>
      </w:r>
      <w:r>
        <w:rPr>
          <w:sz w:val="28"/>
          <w:szCs w:val="28"/>
        </w:rPr>
        <w:t xml:space="preserve">in 2017, </w:t>
      </w:r>
      <w:r w:rsidRPr="00496919">
        <w:rPr>
          <w:sz w:val="28"/>
          <w:szCs w:val="28"/>
        </w:rPr>
        <w:t>Rule 26(b</w:t>
      </w:r>
      <w:proofErr w:type="gramStart"/>
      <w:r w:rsidRPr="00496919">
        <w:rPr>
          <w:sz w:val="28"/>
          <w:szCs w:val="28"/>
        </w:rPr>
        <w:t>)(</w:t>
      </w:r>
      <w:proofErr w:type="gramEnd"/>
      <w:r w:rsidRPr="00496919">
        <w:rPr>
          <w:sz w:val="28"/>
          <w:szCs w:val="28"/>
        </w:rPr>
        <w:t xml:space="preserve">1)(A) was amended </w:t>
      </w:r>
      <w:r>
        <w:rPr>
          <w:sz w:val="28"/>
          <w:szCs w:val="28"/>
        </w:rPr>
        <w:t>to require the c</w:t>
      </w:r>
      <w:r w:rsidRPr="00496919">
        <w:rPr>
          <w:sz w:val="28"/>
          <w:szCs w:val="28"/>
        </w:rPr>
        <w:t xml:space="preserve">ourt to consider proportionality in exercising its discretion in determining the scope of discovery.  </w:t>
      </w:r>
      <w:r>
        <w:rPr>
          <w:sz w:val="28"/>
          <w:szCs w:val="28"/>
        </w:rPr>
        <w:t xml:space="preserve">And </w:t>
      </w:r>
      <w:r w:rsidRPr="00496919">
        <w:rPr>
          <w:sz w:val="28"/>
          <w:szCs w:val="28"/>
        </w:rPr>
        <w:t>Rule 37(h) was modified to allow the court to “make any order to require or prohibit disclosure or discovery to achieve proportionality under Rule 26(b</w:t>
      </w:r>
      <w:proofErr w:type="gramStart"/>
      <w:r w:rsidRPr="00496919">
        <w:rPr>
          <w:sz w:val="28"/>
          <w:szCs w:val="28"/>
        </w:rPr>
        <w:t>)(</w:t>
      </w:r>
      <w:proofErr w:type="gramEnd"/>
      <w:r w:rsidRPr="00496919">
        <w:rPr>
          <w:sz w:val="28"/>
          <w:szCs w:val="28"/>
        </w:rPr>
        <w:t>1).”</w:t>
      </w:r>
    </w:p>
    <w:p w:rsidR="00E92FE2" w:rsidRPr="00496919" w:rsidRDefault="00E92FE2" w:rsidP="00E92FE2">
      <w:pPr>
        <w:pStyle w:val="Style13ptJustifiedFirstline05LinespacingDouble"/>
        <w:spacing w:line="480" w:lineRule="auto"/>
        <w:rPr>
          <w:sz w:val="28"/>
          <w:szCs w:val="28"/>
        </w:rPr>
      </w:pPr>
      <w:r w:rsidRPr="00496919">
        <w:rPr>
          <w:sz w:val="28"/>
          <w:szCs w:val="28"/>
        </w:rPr>
        <w:lastRenderedPageBreak/>
        <w:t>Further, such discretion is fundamental to fulfilling the goals of the commercial court.  As outlined by the Business Court Advisory Committee, the mandate of the commercial court includes “process[</w:t>
      </w:r>
      <w:proofErr w:type="spellStart"/>
      <w:r w:rsidRPr="00496919">
        <w:rPr>
          <w:sz w:val="28"/>
          <w:szCs w:val="28"/>
        </w:rPr>
        <w:t>ing</w:t>
      </w:r>
      <w:proofErr w:type="spellEnd"/>
      <w:r w:rsidRPr="00496919">
        <w:rPr>
          <w:sz w:val="28"/>
          <w:szCs w:val="28"/>
        </w:rPr>
        <w:t>] commercial cases efficiently and reducing litigation costs.”  The Committee also observed that “the success of a business court is ultimately dependent, first, on the quality of the judges who are assigned to the court, and, second, on early and active judicial case management.”  Business Court Advisory Committee Report to the Arizona Judicial Council December 11, 2014.</w:t>
      </w:r>
    </w:p>
    <w:p w:rsidR="00E92FE2" w:rsidRPr="00496919" w:rsidRDefault="00E92FE2" w:rsidP="00E92FE2">
      <w:pPr>
        <w:pStyle w:val="Style13ptJustifiedFirstline05LinespacingDouble"/>
        <w:spacing w:line="480" w:lineRule="auto"/>
        <w:rPr>
          <w:sz w:val="28"/>
          <w:szCs w:val="28"/>
        </w:rPr>
      </w:pPr>
      <w:r w:rsidRPr="00496919">
        <w:rPr>
          <w:sz w:val="28"/>
          <w:szCs w:val="28"/>
        </w:rPr>
        <w:t xml:space="preserve">If one party to litigation were to challenge whether a </w:t>
      </w:r>
      <w:proofErr w:type="spellStart"/>
      <w:r w:rsidRPr="00496919">
        <w:rPr>
          <w:sz w:val="28"/>
          <w:szCs w:val="28"/>
        </w:rPr>
        <w:t>prelitigation</w:t>
      </w:r>
      <w:proofErr w:type="spellEnd"/>
      <w:r w:rsidRPr="00496919">
        <w:rPr>
          <w:sz w:val="28"/>
          <w:szCs w:val="28"/>
        </w:rPr>
        <w:t xml:space="preserve"> contract limiting their preservation and discovery obligations was “mutually and freely negotiated,” </w:t>
      </w:r>
      <w:r>
        <w:rPr>
          <w:sz w:val="28"/>
          <w:szCs w:val="28"/>
        </w:rPr>
        <w:t xml:space="preserve">proposed </w:t>
      </w:r>
      <w:r w:rsidRPr="00496919">
        <w:rPr>
          <w:sz w:val="28"/>
          <w:szCs w:val="28"/>
        </w:rPr>
        <w:t>Rule 26(b</w:t>
      </w:r>
      <w:proofErr w:type="gramStart"/>
      <w:r w:rsidRPr="00496919">
        <w:rPr>
          <w:sz w:val="28"/>
          <w:szCs w:val="28"/>
        </w:rPr>
        <w:t>)(</w:t>
      </w:r>
      <w:proofErr w:type="gramEnd"/>
      <w:r w:rsidRPr="00496919">
        <w:rPr>
          <w:sz w:val="28"/>
          <w:szCs w:val="28"/>
        </w:rPr>
        <w:t>2)(D), by its terms, would require the Court to adjudicate the issue—perhaps even holding an evidentiary hearing—which would result in extensive delays</w:t>
      </w:r>
      <w:r>
        <w:rPr>
          <w:sz w:val="28"/>
          <w:szCs w:val="28"/>
        </w:rPr>
        <w:t xml:space="preserve"> and increased costs, the polar</w:t>
      </w:r>
      <w:r w:rsidRPr="00496919">
        <w:rPr>
          <w:sz w:val="28"/>
          <w:szCs w:val="28"/>
        </w:rPr>
        <w:t xml:space="preserve"> opposite of the increasing focus on the need to control costs and expedite litigation. </w:t>
      </w:r>
    </w:p>
    <w:p w:rsidR="00E92FE2" w:rsidRDefault="00E92FE2" w:rsidP="00C23C70">
      <w:pPr>
        <w:spacing w:line="480" w:lineRule="auto"/>
        <w:jc w:val="both"/>
        <w:rPr>
          <w:sz w:val="28"/>
          <w:szCs w:val="28"/>
        </w:rPr>
      </w:pPr>
      <w:r w:rsidRPr="00496919">
        <w:rPr>
          <w:sz w:val="28"/>
          <w:szCs w:val="28"/>
        </w:rPr>
        <w:tab/>
        <w:t>It is one thing to contract out of the judicial system entirely as a means of dispute resolution—</w:t>
      </w:r>
      <w:r w:rsidRPr="00496919">
        <w:rPr>
          <w:i/>
          <w:sz w:val="28"/>
          <w:szCs w:val="28"/>
        </w:rPr>
        <w:t>i.e.,</w:t>
      </w:r>
      <w:r w:rsidRPr="00496919">
        <w:rPr>
          <w:sz w:val="28"/>
          <w:szCs w:val="28"/>
        </w:rPr>
        <w:t xml:space="preserve"> through private arbitration provisions—it is quite another to require a court to allow parties to essentially draft their own discovery and disclosure rules, which will deprive judges of the long-recognized discretion accorded to them to manage their cases and achieve the goals of proportionality, cost limitation</w:t>
      </w:r>
      <w:r>
        <w:rPr>
          <w:sz w:val="28"/>
          <w:szCs w:val="28"/>
        </w:rPr>
        <w:t>,</w:t>
      </w:r>
      <w:r w:rsidRPr="00496919">
        <w:rPr>
          <w:sz w:val="28"/>
          <w:szCs w:val="28"/>
        </w:rPr>
        <w:t xml:space="preserve"> and expeditious resolution of cases. </w:t>
      </w:r>
    </w:p>
    <w:p w:rsidR="00E92FE2" w:rsidRDefault="00E92FE2" w:rsidP="00E92FE2">
      <w:pPr>
        <w:pStyle w:val="Heading1"/>
        <w:keepLines/>
        <w:tabs>
          <w:tab w:val="num" w:pos="720"/>
        </w:tabs>
        <w:spacing w:line="480" w:lineRule="exact"/>
        <w:rPr>
          <w:sz w:val="28"/>
          <w:szCs w:val="28"/>
        </w:rPr>
      </w:pPr>
      <w:r w:rsidRPr="007875CA">
        <w:rPr>
          <w:sz w:val="28"/>
          <w:szCs w:val="28"/>
        </w:rPr>
        <w:lastRenderedPageBreak/>
        <w:t>CONCLUSION</w:t>
      </w:r>
    </w:p>
    <w:p w:rsidR="00E92FE2" w:rsidRPr="007875CA" w:rsidRDefault="00E92FE2" w:rsidP="00E92FE2">
      <w:pPr>
        <w:keepNext/>
        <w:keepLines/>
      </w:pPr>
    </w:p>
    <w:p w:rsidR="00E92FE2" w:rsidRPr="007875CA" w:rsidRDefault="00E92FE2" w:rsidP="00E92FE2">
      <w:pPr>
        <w:pStyle w:val="Style13ptJustifiedFirstline05LinespacingDouble"/>
        <w:spacing w:line="480" w:lineRule="auto"/>
        <w:rPr>
          <w:sz w:val="28"/>
          <w:szCs w:val="28"/>
        </w:rPr>
      </w:pPr>
      <w:r>
        <w:rPr>
          <w:sz w:val="28"/>
          <w:szCs w:val="28"/>
        </w:rPr>
        <w:t>As it did a year ago, t</w:t>
      </w:r>
      <w:r w:rsidRPr="007875CA">
        <w:rPr>
          <w:sz w:val="28"/>
          <w:szCs w:val="28"/>
        </w:rPr>
        <w:t xml:space="preserve">he State Bar </w:t>
      </w:r>
      <w:r>
        <w:rPr>
          <w:sz w:val="28"/>
          <w:szCs w:val="28"/>
        </w:rPr>
        <w:t>continues to oppose the proposed amendments to Rule 11 and the proposed addition of Rule 26(b)(2)(D)</w:t>
      </w:r>
      <w:r w:rsidRPr="007875CA">
        <w:rPr>
          <w:sz w:val="28"/>
          <w:szCs w:val="28"/>
        </w:rPr>
        <w:t xml:space="preserve">. </w:t>
      </w:r>
      <w:r>
        <w:rPr>
          <w:sz w:val="28"/>
          <w:szCs w:val="28"/>
        </w:rPr>
        <w:t xml:space="preserve"> For the reasons discussed above, the Court should reject the proposed amendments.</w:t>
      </w:r>
    </w:p>
    <w:p w:rsidR="00E92FE2" w:rsidRPr="007875CA" w:rsidRDefault="00E92FE2" w:rsidP="00E92FE2">
      <w:pPr>
        <w:pStyle w:val="Body"/>
        <w:widowControl w:val="0"/>
        <w:tabs>
          <w:tab w:val="left" w:pos="720"/>
        </w:tabs>
        <w:ind w:firstLine="0"/>
        <w:rPr>
          <w:sz w:val="28"/>
          <w:szCs w:val="28"/>
        </w:rPr>
      </w:pPr>
      <w:r w:rsidRPr="007875CA">
        <w:rPr>
          <w:sz w:val="28"/>
          <w:szCs w:val="28"/>
        </w:rPr>
        <w:t xml:space="preserve"> RESPECTFULLY SUBMITTED this ____day of_________________</w:t>
      </w:r>
      <w:r>
        <w:rPr>
          <w:sz w:val="28"/>
          <w:szCs w:val="28"/>
        </w:rPr>
        <w:t>___, 2018</w:t>
      </w:r>
      <w:r w:rsidRPr="007875CA">
        <w:rPr>
          <w:sz w:val="28"/>
          <w:szCs w:val="28"/>
        </w:rPr>
        <w:t>.</w:t>
      </w:r>
    </w:p>
    <w:p w:rsidR="00E92FE2" w:rsidRPr="007875CA" w:rsidRDefault="00E92FE2" w:rsidP="00E92FE2">
      <w:pPr>
        <w:pStyle w:val="Body"/>
        <w:widowControl w:val="0"/>
        <w:tabs>
          <w:tab w:val="left" w:pos="720"/>
        </w:tabs>
        <w:ind w:firstLine="0"/>
        <w:rPr>
          <w:sz w:val="28"/>
          <w:szCs w:val="28"/>
        </w:rPr>
      </w:pPr>
    </w:p>
    <w:p w:rsidR="00E92FE2" w:rsidRPr="007875CA" w:rsidRDefault="00E92FE2" w:rsidP="00E92FE2">
      <w:pPr>
        <w:widowControl w:val="0"/>
        <w:autoSpaceDE w:val="0"/>
        <w:autoSpaceDN w:val="0"/>
        <w:adjustRightInd w:val="0"/>
        <w:spacing w:line="240" w:lineRule="auto"/>
        <w:rPr>
          <w:color w:val="18376A"/>
          <w:sz w:val="28"/>
          <w:szCs w:val="28"/>
        </w:rPr>
      </w:pPr>
      <w:r w:rsidRPr="007875CA">
        <w:rPr>
          <w:color w:val="18376A"/>
          <w:sz w:val="28"/>
          <w:szCs w:val="28"/>
        </w:rPr>
        <w:t> </w:t>
      </w:r>
    </w:p>
    <w:p w:rsidR="00E92FE2" w:rsidRPr="007875CA" w:rsidRDefault="00E92FE2" w:rsidP="00E92FE2">
      <w:pPr>
        <w:widowControl w:val="0"/>
        <w:autoSpaceDE w:val="0"/>
        <w:autoSpaceDN w:val="0"/>
        <w:adjustRightInd w:val="0"/>
        <w:spacing w:line="240" w:lineRule="auto"/>
        <w:rPr>
          <w:sz w:val="28"/>
          <w:szCs w:val="28"/>
        </w:rPr>
      </w:pPr>
    </w:p>
    <w:p w:rsidR="00E92FE2" w:rsidRPr="007875CA" w:rsidRDefault="00E92FE2" w:rsidP="00E92FE2">
      <w:pPr>
        <w:pStyle w:val="PleadingSignature"/>
        <w:keepNext w:val="0"/>
        <w:keepLines w:val="0"/>
        <w:pBdr>
          <w:top w:val="single" w:sz="4" w:space="1" w:color="auto"/>
        </w:pBdr>
        <w:spacing w:line="240" w:lineRule="auto"/>
        <w:ind w:left="5070"/>
        <w:rPr>
          <w:sz w:val="28"/>
          <w:szCs w:val="28"/>
        </w:rPr>
      </w:pPr>
      <w:r w:rsidRPr="007875CA">
        <w:rPr>
          <w:sz w:val="28"/>
          <w:szCs w:val="28"/>
        </w:rPr>
        <w:t>Lisa M. Panahi</w:t>
      </w:r>
    </w:p>
    <w:p w:rsidR="00E92FE2" w:rsidRPr="007875CA" w:rsidRDefault="00E92FE2" w:rsidP="00E92FE2">
      <w:pPr>
        <w:pStyle w:val="PleadingSignature"/>
        <w:keepNext w:val="0"/>
        <w:keepLines w:val="0"/>
        <w:spacing w:line="240" w:lineRule="auto"/>
        <w:ind w:left="5070"/>
        <w:rPr>
          <w:sz w:val="28"/>
          <w:szCs w:val="28"/>
        </w:rPr>
      </w:pPr>
      <w:r w:rsidRPr="007875CA">
        <w:rPr>
          <w:sz w:val="28"/>
          <w:szCs w:val="28"/>
        </w:rPr>
        <w:t>General Counsel</w:t>
      </w:r>
    </w:p>
    <w:p w:rsidR="00E92FE2" w:rsidRPr="007875CA" w:rsidRDefault="00E92FE2" w:rsidP="00E92FE2">
      <w:pPr>
        <w:pStyle w:val="PleadingSignature"/>
        <w:keepNext w:val="0"/>
        <w:keepLines w:val="0"/>
        <w:spacing w:line="240" w:lineRule="auto"/>
        <w:rPr>
          <w:sz w:val="28"/>
          <w:szCs w:val="28"/>
        </w:rPr>
      </w:pPr>
    </w:p>
    <w:p w:rsidR="00E92FE2" w:rsidRPr="007875CA" w:rsidRDefault="00E92FE2" w:rsidP="00E92FE2">
      <w:pPr>
        <w:widowControl w:val="0"/>
        <w:spacing w:line="240" w:lineRule="auto"/>
        <w:ind w:right="4140"/>
        <w:rPr>
          <w:sz w:val="28"/>
          <w:szCs w:val="28"/>
        </w:rPr>
      </w:pPr>
      <w:r w:rsidRPr="007875CA">
        <w:rPr>
          <w:sz w:val="28"/>
          <w:szCs w:val="28"/>
        </w:rPr>
        <w:t>Electronic copy filed with the</w:t>
      </w:r>
    </w:p>
    <w:p w:rsidR="00E92FE2" w:rsidRPr="007875CA" w:rsidRDefault="00E92FE2" w:rsidP="00E92FE2">
      <w:pPr>
        <w:spacing w:line="240" w:lineRule="auto"/>
        <w:ind w:right="4140"/>
        <w:rPr>
          <w:sz w:val="28"/>
          <w:szCs w:val="28"/>
        </w:rPr>
      </w:pPr>
      <w:r w:rsidRPr="007875CA">
        <w:rPr>
          <w:sz w:val="28"/>
          <w:szCs w:val="28"/>
        </w:rPr>
        <w:t>Clerk of the Arizona Supreme Court</w:t>
      </w:r>
    </w:p>
    <w:p w:rsidR="00E92FE2" w:rsidRDefault="00E92FE2" w:rsidP="00E92FE2">
      <w:pPr>
        <w:tabs>
          <w:tab w:val="left" w:pos="4836"/>
        </w:tabs>
        <w:spacing w:line="240" w:lineRule="auto"/>
        <w:ind w:right="3870"/>
        <w:rPr>
          <w:sz w:val="28"/>
          <w:szCs w:val="28"/>
        </w:rPr>
      </w:pPr>
      <w:proofErr w:type="gramStart"/>
      <w:r w:rsidRPr="007875CA">
        <w:rPr>
          <w:sz w:val="28"/>
          <w:szCs w:val="28"/>
        </w:rPr>
        <w:t>this</w:t>
      </w:r>
      <w:proofErr w:type="gramEnd"/>
      <w:r w:rsidRPr="007875CA">
        <w:rPr>
          <w:sz w:val="28"/>
          <w:szCs w:val="28"/>
        </w:rPr>
        <w:t xml:space="preserve"> _____ </w:t>
      </w:r>
      <w:r>
        <w:rPr>
          <w:sz w:val="28"/>
          <w:szCs w:val="28"/>
        </w:rPr>
        <w:t>day of ___________________, 2018</w:t>
      </w:r>
      <w:r w:rsidRPr="007875CA">
        <w:rPr>
          <w:sz w:val="28"/>
          <w:szCs w:val="28"/>
        </w:rPr>
        <w:t>.</w:t>
      </w:r>
    </w:p>
    <w:p w:rsidR="00E92FE2" w:rsidRPr="007875CA" w:rsidRDefault="00E92FE2" w:rsidP="00E92FE2">
      <w:pPr>
        <w:tabs>
          <w:tab w:val="left" w:pos="4836"/>
        </w:tabs>
        <w:spacing w:line="240" w:lineRule="auto"/>
        <w:ind w:right="3870"/>
        <w:rPr>
          <w:sz w:val="28"/>
          <w:szCs w:val="28"/>
        </w:rPr>
      </w:pPr>
    </w:p>
    <w:p w:rsidR="00E92FE2" w:rsidRPr="007875CA" w:rsidRDefault="00E92FE2" w:rsidP="00E92FE2">
      <w:pPr>
        <w:spacing w:line="240" w:lineRule="auto"/>
        <w:ind w:right="4572"/>
        <w:rPr>
          <w:sz w:val="28"/>
          <w:szCs w:val="28"/>
        </w:rPr>
      </w:pPr>
    </w:p>
    <w:p w:rsidR="00E92FE2" w:rsidRPr="007875CA" w:rsidRDefault="00E92FE2" w:rsidP="00E92FE2">
      <w:pPr>
        <w:spacing w:line="240" w:lineRule="auto"/>
        <w:ind w:right="4572"/>
        <w:rPr>
          <w:sz w:val="28"/>
          <w:szCs w:val="28"/>
        </w:rPr>
      </w:pPr>
      <w:proofErr w:type="gramStart"/>
      <w:r w:rsidRPr="007875CA">
        <w:rPr>
          <w:sz w:val="28"/>
          <w:szCs w:val="28"/>
        </w:rPr>
        <w:t>by</w:t>
      </w:r>
      <w:proofErr w:type="gramEnd"/>
      <w:r w:rsidRPr="007875CA">
        <w:rPr>
          <w:sz w:val="28"/>
          <w:szCs w:val="28"/>
        </w:rPr>
        <w:t xml:space="preserve">: _______________________________ </w:t>
      </w:r>
    </w:p>
    <w:p w:rsidR="000F7A7F" w:rsidRPr="000F7A7F" w:rsidRDefault="000F7A7F" w:rsidP="000F7C13">
      <w:pPr>
        <w:pStyle w:val="Body"/>
        <w:widowControl w:val="0"/>
        <w:tabs>
          <w:tab w:val="left" w:pos="720"/>
        </w:tabs>
        <w:ind w:firstLine="0"/>
        <w:rPr>
          <w:szCs w:val="26"/>
        </w:rPr>
      </w:pP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512453">
          <w:rPr>
            <w:noProof/>
            <w:sz w:val="26"/>
            <w:szCs w:val="26"/>
          </w:rPr>
          <w:t>17</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E92FE2" w:rsidRPr="009565C1" w:rsidRDefault="00E92FE2" w:rsidP="00E92FE2">
      <w:pPr>
        <w:pStyle w:val="FootnoteText"/>
        <w:rPr>
          <w:sz w:val="28"/>
          <w:szCs w:val="28"/>
        </w:rPr>
      </w:pPr>
      <w:r w:rsidRPr="009565C1">
        <w:rPr>
          <w:rStyle w:val="FootnoteReference"/>
          <w:sz w:val="28"/>
          <w:szCs w:val="28"/>
        </w:rPr>
        <w:footnoteRef/>
      </w:r>
      <w:r w:rsidRPr="009565C1">
        <w:rPr>
          <w:sz w:val="28"/>
          <w:szCs w:val="28"/>
        </w:rPr>
        <w:t xml:space="preserve"> The Chamber had a representative on the CCJR.</w:t>
      </w:r>
    </w:p>
  </w:footnote>
  <w:footnote w:id="2">
    <w:p w:rsidR="00E92FE2" w:rsidRPr="009565C1" w:rsidRDefault="00E92FE2" w:rsidP="00E92FE2">
      <w:pPr>
        <w:pStyle w:val="FootnoteText"/>
        <w:jc w:val="both"/>
        <w:rPr>
          <w:sz w:val="28"/>
          <w:szCs w:val="28"/>
        </w:rPr>
      </w:pPr>
      <w:r w:rsidRPr="009565C1">
        <w:rPr>
          <w:rStyle w:val="FootnoteReference"/>
          <w:sz w:val="28"/>
          <w:szCs w:val="28"/>
        </w:rPr>
        <w:footnoteRef/>
      </w:r>
      <w:r w:rsidRPr="009565C1">
        <w:rPr>
          <w:sz w:val="28"/>
          <w:szCs w:val="28"/>
        </w:rPr>
        <w:t xml:space="preserve"> The Petition’s argument that “the term ‘</w:t>
      </w:r>
      <w:proofErr w:type="spellStart"/>
      <w:r w:rsidRPr="009565C1">
        <w:rPr>
          <w:sz w:val="28"/>
          <w:szCs w:val="28"/>
        </w:rPr>
        <w:t>nonfrivolous</w:t>
      </w:r>
      <w:proofErr w:type="spellEnd"/>
      <w:r w:rsidRPr="009565C1">
        <w:rPr>
          <w:sz w:val="28"/>
          <w:szCs w:val="28"/>
        </w:rPr>
        <w:t>’ still does not appear in any Arizona civil Rule 11 case” ignores the fact that the term “frivolous” does commonly appear and has formed part of the Rule 11 standard.</w:t>
      </w:r>
    </w:p>
  </w:footnote>
  <w:footnote w:id="3">
    <w:p w:rsidR="00E92FE2" w:rsidRPr="009565C1" w:rsidRDefault="00E92FE2" w:rsidP="00E92FE2">
      <w:pPr>
        <w:pStyle w:val="FootnoteText"/>
        <w:jc w:val="both"/>
        <w:rPr>
          <w:sz w:val="28"/>
          <w:szCs w:val="28"/>
        </w:rPr>
      </w:pPr>
      <w:r w:rsidRPr="009565C1">
        <w:rPr>
          <w:rStyle w:val="FootnoteReference"/>
          <w:sz w:val="28"/>
          <w:szCs w:val="28"/>
        </w:rPr>
        <w:footnoteRef/>
      </w:r>
      <w:r w:rsidRPr="009565C1">
        <w:rPr>
          <w:sz w:val="28"/>
          <w:szCs w:val="28"/>
        </w:rPr>
        <w:t xml:space="preserve"> Based on a Westlaw search, the phrase does not appear in a single published decision in any state or federal court, let alone in Arizona.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A4E17"/>
    <w:multiLevelType w:val="hybridMultilevel"/>
    <w:tmpl w:val="FBAEC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9"/>
  </w:num>
  <w:num w:numId="12">
    <w:abstractNumId w:val="5"/>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12453"/>
    <w:rsid w:val="00520F93"/>
    <w:rsid w:val="00566856"/>
    <w:rsid w:val="005A21B0"/>
    <w:rsid w:val="005B5161"/>
    <w:rsid w:val="005D6AD4"/>
    <w:rsid w:val="006338C1"/>
    <w:rsid w:val="00636F5E"/>
    <w:rsid w:val="00665CCF"/>
    <w:rsid w:val="006666D1"/>
    <w:rsid w:val="006721EC"/>
    <w:rsid w:val="006766BF"/>
    <w:rsid w:val="00692391"/>
    <w:rsid w:val="006932BA"/>
    <w:rsid w:val="006B11F3"/>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23C70"/>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2FE2"/>
    <w:rsid w:val="00E950B5"/>
    <w:rsid w:val="00F05879"/>
    <w:rsid w:val="00F06F5B"/>
    <w:rsid w:val="00F11431"/>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Style13ptJustifiedFirstline05LinespacingExactly2">
    <w:name w:val="Style 13 pt Justified First line:  0.5&quot; Line spacing:  Exactly 2..."/>
    <w:basedOn w:val="Normal"/>
    <w:rsid w:val="00E92FE2"/>
    <w:pPr>
      <w:spacing w:line="480" w:lineRule="exact"/>
      <w:ind w:firstLine="720"/>
      <w:jc w:val="both"/>
    </w:pPr>
    <w:rPr>
      <w:sz w:val="26"/>
    </w:rPr>
  </w:style>
  <w:style w:type="paragraph" w:customStyle="1" w:styleId="Style13ptJustifiedFirstline05LinespacingDouble">
    <w:name w:val="Style 13 pt Justified First line:  0.5&quot; Line spacing:  Double"/>
    <w:basedOn w:val="Normal"/>
    <w:link w:val="Style13ptJustifiedFirstline05LinespacingDoubleChar"/>
    <w:rsid w:val="00E92FE2"/>
    <w:pPr>
      <w:spacing w:line="480" w:lineRule="exact"/>
      <w:ind w:firstLine="720"/>
      <w:jc w:val="both"/>
    </w:pPr>
    <w:rPr>
      <w:sz w:val="26"/>
    </w:rPr>
  </w:style>
  <w:style w:type="character" w:customStyle="1" w:styleId="Style13ptJustifiedFirstline05LinespacingDoubleChar">
    <w:name w:val="Style 13 pt Justified First line:  0.5&quot; Line spacing:  Double Char"/>
    <w:basedOn w:val="DefaultParagraphFont"/>
    <w:link w:val="Style13ptJustifiedFirstline05LinespacingDouble"/>
    <w:rsid w:val="00E92FE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9339-4444-4621-A3C2-895E3CDD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35</TotalTime>
  <Pages>17</Pages>
  <Words>3865</Words>
  <Characters>20300</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2014-04-30T16:27:00Z</cp:lastPrinted>
  <dcterms:created xsi:type="dcterms:W3CDTF">2018-05-09T20:40:00Z</dcterms:created>
  <dcterms:modified xsi:type="dcterms:W3CDTF">2018-05-17T18:13:00Z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