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BD16A0" w:rsidRDefault="00352347" w:rsidP="00735659">
            <w:pPr>
              <w:pStyle w:val="FirmInformation"/>
              <w:spacing w:line="240" w:lineRule="auto"/>
              <w:rPr>
                <w:sz w:val="28"/>
                <w:szCs w:val="28"/>
              </w:rPr>
            </w:pPr>
            <w:r>
              <w:rPr>
                <w:sz w:val="28"/>
                <w:szCs w:val="28"/>
              </w:rPr>
              <w:t>(602) 340-7236</w:t>
            </w:r>
          </w:p>
          <w:p w:rsidR="006F63FD" w:rsidRPr="00735659" w:rsidRDefault="00361C9D" w:rsidP="00735659">
            <w:pPr>
              <w:pStyle w:val="FirmInformation"/>
              <w:spacing w:line="240" w:lineRule="auto"/>
              <w:rPr>
                <w:sz w:val="28"/>
                <w:szCs w:val="28"/>
              </w:rPr>
            </w:pPr>
            <w:r>
              <w:rPr>
                <w:sz w:val="28"/>
                <w:szCs w:val="28"/>
              </w:rPr>
              <w:br/>
            </w:r>
          </w:p>
        </w:tc>
        <w:tc>
          <w:tcPr>
            <w:tcW w:w="4200" w:type="dxa"/>
          </w:tcPr>
          <w:p w:rsidR="00357F4D" w:rsidRPr="000F7A7F" w:rsidRDefault="00357F4D" w:rsidP="00000C35">
            <w:pPr>
              <w:ind w:left="113" w:right="113"/>
              <w:rPr>
                <w:sz w:val="26"/>
                <w:szCs w:val="26"/>
              </w:rPr>
            </w:pPr>
          </w:p>
        </w:tc>
      </w:tr>
    </w:tbl>
    <w:bookmarkEnd w:id="0"/>
    <w:p w:rsidR="000C48A9"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p w:rsidR="00BD16A0" w:rsidRPr="006F63FD" w:rsidRDefault="00BD16A0" w:rsidP="00000C35">
      <w:pPr>
        <w:pStyle w:val="Court"/>
        <w:spacing w:line="240" w:lineRule="auto"/>
        <w:rPr>
          <w:b/>
          <w:sz w:val="28"/>
          <w:szCs w:val="28"/>
        </w:rPr>
      </w:pP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Default="00E67511" w:rsidP="00361C9D">
            <w:pPr>
              <w:pStyle w:val="Caption"/>
              <w:spacing w:before="240" w:line="260" w:lineRule="exact"/>
              <w:rPr>
                <w:b/>
                <w:sz w:val="28"/>
                <w:szCs w:val="28"/>
              </w:rPr>
            </w:pPr>
            <w:r w:rsidRPr="00732169">
              <w:rPr>
                <w:b/>
                <w:sz w:val="28"/>
                <w:szCs w:val="28"/>
              </w:rPr>
              <w:t xml:space="preserve">PETITION TO </w:t>
            </w:r>
            <w:r w:rsidR="00361C9D">
              <w:rPr>
                <w:b/>
                <w:sz w:val="28"/>
                <w:szCs w:val="28"/>
              </w:rPr>
              <w:t>AMEND RULES 38 AND 39 OF THE ARIZONA RULES OF SUPREME COURT</w:t>
            </w:r>
          </w:p>
          <w:p w:rsidR="00BD16A0" w:rsidRPr="00BD16A0" w:rsidRDefault="00BD16A0" w:rsidP="00BD16A0"/>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18</w:t>
            </w:r>
            <w:r w:rsidR="00F850BE">
              <w:rPr>
                <w:sz w:val="28"/>
                <w:szCs w:val="28"/>
              </w:rPr>
              <w:t>-</w:t>
            </w:r>
            <w:r w:rsidR="00361C9D">
              <w:rPr>
                <w:sz w:val="28"/>
                <w:szCs w:val="28"/>
              </w:rPr>
              <w:t>0013</w:t>
            </w:r>
          </w:p>
          <w:p w:rsidR="000367C0" w:rsidRDefault="007E3CCB" w:rsidP="000F7A7F">
            <w:pPr>
              <w:pStyle w:val="Caption"/>
              <w:tabs>
                <w:tab w:val="left" w:pos="1238"/>
              </w:tabs>
              <w:spacing w:line="260" w:lineRule="exact"/>
              <w:ind w:right="115"/>
              <w:jc w:val="center"/>
              <w:rPr>
                <w:b/>
                <w:sz w:val="28"/>
                <w:szCs w:val="28"/>
              </w:rPr>
            </w:pPr>
            <w:r w:rsidRPr="00361C9D">
              <w:rPr>
                <w:b/>
                <w:sz w:val="28"/>
                <w:szCs w:val="28"/>
              </w:rPr>
              <w:t>COMMENT</w:t>
            </w:r>
            <w:r w:rsidR="00361C9D" w:rsidRPr="00361C9D">
              <w:rPr>
                <w:b/>
                <w:sz w:val="28"/>
                <w:szCs w:val="28"/>
              </w:rPr>
              <w:t xml:space="preserve"> OF THE </w:t>
            </w:r>
          </w:p>
          <w:p w:rsidR="00357F4D" w:rsidRPr="00361C9D" w:rsidRDefault="00361C9D" w:rsidP="000F7A7F">
            <w:pPr>
              <w:pStyle w:val="Caption"/>
              <w:tabs>
                <w:tab w:val="left" w:pos="1238"/>
              </w:tabs>
              <w:spacing w:line="260" w:lineRule="exact"/>
              <w:ind w:right="115"/>
              <w:jc w:val="center"/>
              <w:rPr>
                <w:b/>
                <w:sz w:val="28"/>
                <w:szCs w:val="28"/>
              </w:rPr>
            </w:pPr>
            <w:r w:rsidRPr="00361C9D">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361C9D" w:rsidRPr="00361C9D" w:rsidRDefault="00361C9D" w:rsidP="00361C9D">
      <w:pPr>
        <w:widowControl w:val="0"/>
        <w:spacing w:line="480" w:lineRule="auto"/>
        <w:jc w:val="both"/>
        <w:rPr>
          <w:sz w:val="28"/>
          <w:szCs w:val="28"/>
        </w:rPr>
      </w:pPr>
      <w:r w:rsidRPr="00361C9D">
        <w:rPr>
          <w:sz w:val="28"/>
          <w:szCs w:val="28"/>
        </w:rPr>
        <w:tab/>
        <w:t>Pursuant to Rule 28(D) of the Arizona Rules of Supreme Court, the State Bar of Arizona (the “State Bar”) hereby submits the following as its Comment to the above-captioned Petition.</w:t>
      </w:r>
    </w:p>
    <w:p w:rsidR="00361C9D" w:rsidRPr="00361C9D" w:rsidRDefault="00361C9D" w:rsidP="00361C9D">
      <w:pPr>
        <w:widowControl w:val="0"/>
        <w:spacing w:line="480" w:lineRule="auto"/>
        <w:jc w:val="both"/>
        <w:rPr>
          <w:sz w:val="28"/>
          <w:szCs w:val="28"/>
        </w:rPr>
      </w:pPr>
      <w:r w:rsidRPr="00361C9D">
        <w:rPr>
          <w:sz w:val="28"/>
          <w:szCs w:val="28"/>
        </w:rPr>
        <w:tab/>
        <w:t>The Petition requests several changes to Rules 38 and 39 that would:</w:t>
      </w:r>
    </w:p>
    <w:p w:rsidR="00361C9D" w:rsidRPr="00361C9D" w:rsidRDefault="00361C9D" w:rsidP="00361C9D">
      <w:pPr>
        <w:widowControl w:val="0"/>
        <w:numPr>
          <w:ilvl w:val="0"/>
          <w:numId w:val="15"/>
        </w:numPr>
        <w:overflowPunct w:val="0"/>
        <w:autoSpaceDE w:val="0"/>
        <w:autoSpaceDN w:val="0"/>
        <w:adjustRightInd w:val="0"/>
        <w:spacing w:line="480" w:lineRule="auto"/>
        <w:jc w:val="both"/>
        <w:textAlignment w:val="baseline"/>
        <w:rPr>
          <w:sz w:val="28"/>
          <w:szCs w:val="28"/>
        </w:rPr>
      </w:pPr>
      <w:r w:rsidRPr="00361C9D">
        <w:rPr>
          <w:sz w:val="28"/>
          <w:szCs w:val="28"/>
        </w:rPr>
        <w:t>Provide admission to licensed attorneys in other jurisdictions to practice in Arizona for the limited purpose of representing a federally recognized Indian Tribe in Indian Child Welfare Act proceedings;</w:t>
      </w:r>
    </w:p>
    <w:p w:rsidR="00361C9D" w:rsidRPr="00361C9D" w:rsidRDefault="00361C9D" w:rsidP="00361C9D">
      <w:pPr>
        <w:widowControl w:val="0"/>
        <w:numPr>
          <w:ilvl w:val="0"/>
          <w:numId w:val="15"/>
        </w:numPr>
        <w:overflowPunct w:val="0"/>
        <w:autoSpaceDE w:val="0"/>
        <w:autoSpaceDN w:val="0"/>
        <w:adjustRightInd w:val="0"/>
        <w:spacing w:line="480" w:lineRule="auto"/>
        <w:jc w:val="both"/>
        <w:textAlignment w:val="baseline"/>
        <w:rPr>
          <w:sz w:val="28"/>
          <w:szCs w:val="28"/>
        </w:rPr>
      </w:pPr>
      <w:r w:rsidRPr="00361C9D">
        <w:rPr>
          <w:sz w:val="28"/>
          <w:szCs w:val="28"/>
        </w:rPr>
        <w:t xml:space="preserve">Provide a longer admission period for attorneys in other jurisdictions to practice in Arizona for the limited purpose of representing a federally </w:t>
      </w:r>
      <w:r w:rsidRPr="00361C9D">
        <w:rPr>
          <w:sz w:val="28"/>
          <w:szCs w:val="28"/>
        </w:rPr>
        <w:lastRenderedPageBreak/>
        <w:t>recognized Indian Tribe in Indian Child Welfare Act proceedings;</w:t>
      </w:r>
    </w:p>
    <w:p w:rsidR="00361C9D" w:rsidRPr="00361C9D" w:rsidRDefault="00361C9D" w:rsidP="00361C9D">
      <w:pPr>
        <w:widowControl w:val="0"/>
        <w:numPr>
          <w:ilvl w:val="0"/>
          <w:numId w:val="15"/>
        </w:numPr>
        <w:overflowPunct w:val="0"/>
        <w:autoSpaceDE w:val="0"/>
        <w:autoSpaceDN w:val="0"/>
        <w:adjustRightInd w:val="0"/>
        <w:spacing w:line="480" w:lineRule="auto"/>
        <w:jc w:val="both"/>
        <w:textAlignment w:val="baseline"/>
        <w:rPr>
          <w:sz w:val="28"/>
          <w:szCs w:val="28"/>
        </w:rPr>
      </w:pPr>
      <w:r w:rsidRPr="00361C9D">
        <w:rPr>
          <w:sz w:val="28"/>
          <w:szCs w:val="28"/>
        </w:rPr>
        <w:t xml:space="preserve"> Remove the requirement for association with local counsel for attorneys admitted </w:t>
      </w:r>
      <w:r w:rsidRPr="00361C9D">
        <w:rPr>
          <w:i/>
          <w:sz w:val="28"/>
          <w:szCs w:val="28"/>
        </w:rPr>
        <w:t xml:space="preserve">pro </w:t>
      </w:r>
      <w:proofErr w:type="spellStart"/>
      <w:r w:rsidRPr="00361C9D">
        <w:rPr>
          <w:i/>
          <w:sz w:val="28"/>
          <w:szCs w:val="28"/>
        </w:rPr>
        <w:t>hac</w:t>
      </w:r>
      <w:proofErr w:type="spellEnd"/>
      <w:r w:rsidRPr="00361C9D">
        <w:rPr>
          <w:i/>
          <w:sz w:val="28"/>
          <w:szCs w:val="28"/>
        </w:rPr>
        <w:t xml:space="preserve"> vice</w:t>
      </w:r>
      <w:r w:rsidRPr="00361C9D">
        <w:rPr>
          <w:sz w:val="28"/>
          <w:szCs w:val="28"/>
        </w:rPr>
        <w:t xml:space="preserve"> when they are representing a federally recognized Indian Tribe in Indian Child Welfare Act proceedings; and</w:t>
      </w:r>
    </w:p>
    <w:p w:rsidR="00361C9D" w:rsidRPr="00361C9D" w:rsidRDefault="00361C9D" w:rsidP="00361C9D">
      <w:pPr>
        <w:widowControl w:val="0"/>
        <w:numPr>
          <w:ilvl w:val="0"/>
          <w:numId w:val="15"/>
        </w:numPr>
        <w:overflowPunct w:val="0"/>
        <w:autoSpaceDE w:val="0"/>
        <w:autoSpaceDN w:val="0"/>
        <w:adjustRightInd w:val="0"/>
        <w:spacing w:line="480" w:lineRule="auto"/>
        <w:jc w:val="both"/>
        <w:textAlignment w:val="baseline"/>
        <w:rPr>
          <w:sz w:val="28"/>
          <w:szCs w:val="28"/>
        </w:rPr>
      </w:pPr>
      <w:r w:rsidRPr="00361C9D">
        <w:rPr>
          <w:sz w:val="28"/>
          <w:szCs w:val="28"/>
        </w:rPr>
        <w:t xml:space="preserve">Remove the fee requirement for attorneys admitted </w:t>
      </w:r>
      <w:r w:rsidRPr="00361C9D">
        <w:rPr>
          <w:i/>
          <w:sz w:val="28"/>
          <w:szCs w:val="28"/>
        </w:rPr>
        <w:t xml:space="preserve">pro </w:t>
      </w:r>
      <w:proofErr w:type="spellStart"/>
      <w:r w:rsidRPr="00361C9D">
        <w:rPr>
          <w:i/>
          <w:sz w:val="28"/>
          <w:szCs w:val="28"/>
        </w:rPr>
        <w:t>hac</w:t>
      </w:r>
      <w:proofErr w:type="spellEnd"/>
      <w:r w:rsidRPr="00361C9D">
        <w:rPr>
          <w:i/>
          <w:sz w:val="28"/>
          <w:szCs w:val="28"/>
        </w:rPr>
        <w:t xml:space="preserve"> vice</w:t>
      </w:r>
      <w:r w:rsidRPr="00361C9D">
        <w:rPr>
          <w:sz w:val="28"/>
          <w:szCs w:val="28"/>
        </w:rPr>
        <w:t xml:space="preserve"> when they are representing a federally recognized Indian Tribe in Indian Child Welfare Act proceedings.</w:t>
      </w:r>
    </w:p>
    <w:p w:rsidR="00361C9D" w:rsidRPr="00361C9D" w:rsidRDefault="00361C9D" w:rsidP="00361C9D">
      <w:pPr>
        <w:widowControl w:val="0"/>
        <w:spacing w:line="480" w:lineRule="auto"/>
        <w:jc w:val="center"/>
        <w:rPr>
          <w:b/>
          <w:sz w:val="28"/>
          <w:szCs w:val="28"/>
        </w:rPr>
      </w:pPr>
      <w:r w:rsidRPr="00361C9D">
        <w:rPr>
          <w:b/>
          <w:sz w:val="28"/>
          <w:szCs w:val="28"/>
        </w:rPr>
        <w:t>DISCUSSION</w:t>
      </w:r>
    </w:p>
    <w:p w:rsidR="00361C9D" w:rsidRPr="00361C9D" w:rsidRDefault="00361C9D" w:rsidP="00361C9D">
      <w:pPr>
        <w:widowControl w:val="0"/>
        <w:spacing w:line="480" w:lineRule="auto"/>
        <w:jc w:val="both"/>
        <w:rPr>
          <w:sz w:val="28"/>
          <w:szCs w:val="28"/>
        </w:rPr>
      </w:pPr>
      <w:r w:rsidRPr="00361C9D">
        <w:rPr>
          <w:sz w:val="28"/>
          <w:szCs w:val="28"/>
        </w:rPr>
        <w:tab/>
        <w:t xml:space="preserve">Tribal interests articulated in the Indian Child Welfare Act (“ICWA”) are of the highest priority.  “The protection of the tribal interest in its children is at the core of the ICWA.” </w:t>
      </w:r>
      <w:r w:rsidRPr="00361C9D">
        <w:rPr>
          <w:i/>
          <w:sz w:val="28"/>
          <w:szCs w:val="28"/>
        </w:rPr>
        <w:t xml:space="preserve">Matter of Adoption of </w:t>
      </w:r>
      <w:proofErr w:type="spellStart"/>
      <w:r w:rsidRPr="00361C9D">
        <w:rPr>
          <w:i/>
          <w:sz w:val="28"/>
          <w:szCs w:val="28"/>
        </w:rPr>
        <w:t>Halloway</w:t>
      </w:r>
      <w:proofErr w:type="spellEnd"/>
      <w:r w:rsidRPr="00361C9D">
        <w:rPr>
          <w:sz w:val="28"/>
          <w:szCs w:val="28"/>
        </w:rPr>
        <w:t xml:space="preserve">, 732 P.2d 962, 969 (Utah 1986).  “The importance of tribal primacy in matters of child custody and adoption cannot be minimized, for the ICWA is grounded on the premise that tribal self-government is to be fostered and that few matters are of more central interest to a tribe seeking to preserve its identity and traditions than the determination of who will have the care and custody of its children.” </w:t>
      </w:r>
      <w:r w:rsidRPr="00361C9D">
        <w:rPr>
          <w:i/>
          <w:sz w:val="28"/>
          <w:szCs w:val="28"/>
        </w:rPr>
        <w:t>Id</w:t>
      </w:r>
      <w:r w:rsidRPr="00361C9D">
        <w:rPr>
          <w:sz w:val="28"/>
          <w:szCs w:val="28"/>
        </w:rPr>
        <w:t xml:space="preserve">. at 965.  “Tribal participation in state custody proceedings involving tribal children is essential to effectuating the purposes of the ICWA.” </w:t>
      </w:r>
      <w:r w:rsidRPr="00361C9D">
        <w:rPr>
          <w:i/>
          <w:sz w:val="28"/>
          <w:szCs w:val="28"/>
        </w:rPr>
        <w:t xml:space="preserve">In re </w:t>
      </w:r>
      <w:proofErr w:type="spellStart"/>
      <w:r w:rsidRPr="00361C9D">
        <w:rPr>
          <w:i/>
          <w:sz w:val="28"/>
          <w:szCs w:val="28"/>
        </w:rPr>
        <w:t>Shuey</w:t>
      </w:r>
      <w:proofErr w:type="spellEnd"/>
      <w:r w:rsidRPr="00361C9D">
        <w:rPr>
          <w:sz w:val="28"/>
          <w:szCs w:val="28"/>
        </w:rPr>
        <w:t xml:space="preserve">, 850 P.2d 378 (Or. Ct. App. 1993).  Economic and procedural barriers can essentially deny the right to tribal participation in ICWA matters. </w:t>
      </w:r>
      <w:r w:rsidRPr="00361C9D">
        <w:rPr>
          <w:i/>
          <w:sz w:val="28"/>
          <w:szCs w:val="28"/>
        </w:rPr>
        <w:t>See Id.</w:t>
      </w:r>
      <w:r w:rsidRPr="00361C9D">
        <w:rPr>
          <w:sz w:val="28"/>
          <w:szCs w:val="28"/>
        </w:rPr>
        <w:t xml:space="preserve"> at 379-80. </w:t>
      </w:r>
    </w:p>
    <w:p w:rsidR="00361C9D" w:rsidRPr="00361C9D" w:rsidRDefault="00361C9D" w:rsidP="00361C9D">
      <w:pPr>
        <w:widowControl w:val="0"/>
        <w:spacing w:line="480" w:lineRule="auto"/>
        <w:jc w:val="both"/>
        <w:rPr>
          <w:sz w:val="28"/>
          <w:szCs w:val="28"/>
        </w:rPr>
      </w:pPr>
      <w:r w:rsidRPr="00361C9D">
        <w:rPr>
          <w:sz w:val="28"/>
          <w:szCs w:val="28"/>
        </w:rPr>
        <w:lastRenderedPageBreak/>
        <w:tab/>
        <w:t xml:space="preserve">The Guidelines for Implementing the Indian Child Welfare Act, published by the U.S. Department of the Interior in December 2016, note the financial and procedural barrier </w:t>
      </w:r>
      <w:proofErr w:type="gramStart"/>
      <w:r w:rsidRPr="00361C9D">
        <w:rPr>
          <w:sz w:val="28"/>
          <w:szCs w:val="28"/>
        </w:rPr>
        <w:t>tribes</w:t>
      </w:r>
      <w:proofErr w:type="gramEnd"/>
      <w:r w:rsidRPr="00361C9D">
        <w:rPr>
          <w:sz w:val="28"/>
          <w:szCs w:val="28"/>
        </w:rPr>
        <w:t xml:space="preserve"> face in accessing state courts for ICWA proceedings.  The Department of the Interior “encourages all State courts to permit Tribal representatives to present before the court in ICWA proceedings regardless of whether they are attorneys or attorneys licensed in that State.” </w:t>
      </w:r>
      <w:r w:rsidRPr="00361C9D">
        <w:rPr>
          <w:i/>
          <w:sz w:val="28"/>
          <w:szCs w:val="28"/>
        </w:rPr>
        <w:t xml:space="preserve">Id. </w:t>
      </w:r>
      <w:r w:rsidRPr="00361C9D">
        <w:rPr>
          <w:sz w:val="28"/>
          <w:szCs w:val="28"/>
        </w:rPr>
        <w:t xml:space="preserve">at 8.  The Department of the Interior further notes that “a number of State courts have already done [so],” pointing to Florida, Nebraska, Iowa and Oregon. </w:t>
      </w:r>
      <w:r w:rsidRPr="00361C9D">
        <w:rPr>
          <w:i/>
          <w:sz w:val="28"/>
          <w:szCs w:val="28"/>
        </w:rPr>
        <w:t>Id.</w:t>
      </w:r>
      <w:r w:rsidR="004F5230">
        <w:rPr>
          <w:sz w:val="28"/>
          <w:szCs w:val="28"/>
        </w:rPr>
        <w:t xml:space="preserve"> </w:t>
      </w:r>
      <w:bookmarkStart w:id="2" w:name="_GoBack"/>
      <w:bookmarkEnd w:id="2"/>
      <w:r w:rsidR="004F5230">
        <w:rPr>
          <w:sz w:val="28"/>
          <w:szCs w:val="28"/>
        </w:rPr>
        <w:t xml:space="preserve">The </w:t>
      </w:r>
      <w:r w:rsidRPr="00361C9D">
        <w:rPr>
          <w:sz w:val="28"/>
          <w:szCs w:val="28"/>
        </w:rPr>
        <w:t>State Bar believes that the Petition appropriately removes barriers for attorneys who are not licensed in Arizona to appear before Arizona courts in ICWA proceedings. The proposed rule change would also provide procedural safeguards and oversight by the State Bar of Arizona and this Court, balancing the interests of access to Arizona courts and protection of</w:t>
      </w:r>
      <w:r w:rsidR="004F5230">
        <w:rPr>
          <w:sz w:val="28"/>
          <w:szCs w:val="28"/>
        </w:rPr>
        <w:t xml:space="preserve"> the public through oversight. </w:t>
      </w:r>
      <w:r w:rsidRPr="00361C9D">
        <w:rPr>
          <w:sz w:val="28"/>
          <w:szCs w:val="28"/>
        </w:rPr>
        <w:t xml:space="preserve">  </w:t>
      </w:r>
    </w:p>
    <w:p w:rsidR="00361C9D" w:rsidRPr="00361C9D" w:rsidRDefault="00361C9D" w:rsidP="00361C9D">
      <w:pPr>
        <w:widowControl w:val="0"/>
        <w:spacing w:line="480" w:lineRule="auto"/>
        <w:jc w:val="center"/>
        <w:rPr>
          <w:sz w:val="28"/>
          <w:szCs w:val="28"/>
        </w:rPr>
      </w:pPr>
      <w:r w:rsidRPr="00361C9D">
        <w:rPr>
          <w:b/>
          <w:sz w:val="28"/>
          <w:szCs w:val="28"/>
        </w:rPr>
        <w:t>CONCLUSION</w:t>
      </w:r>
    </w:p>
    <w:p w:rsidR="000F7A7F" w:rsidRPr="00361C9D" w:rsidRDefault="00361C9D" w:rsidP="00361C9D">
      <w:pPr>
        <w:widowControl w:val="0"/>
        <w:spacing w:line="480" w:lineRule="auto"/>
        <w:jc w:val="both"/>
        <w:rPr>
          <w:sz w:val="28"/>
          <w:szCs w:val="28"/>
        </w:rPr>
      </w:pPr>
      <w:r w:rsidRPr="00361C9D">
        <w:rPr>
          <w:sz w:val="28"/>
          <w:szCs w:val="28"/>
        </w:rPr>
        <w:tab/>
        <w:t>For the foregoing reasons, the State Bar of Arizona respectfully requests that the Petition be approved.</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692391">
        <w:rPr>
          <w:sz w:val="28"/>
          <w:szCs w:val="28"/>
        </w:rPr>
        <w:t>, 2018</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C52E56" w:rsidRDefault="000C48A9" w:rsidP="004331B2">
      <w:pPr>
        <w:widowControl w:val="0"/>
        <w:spacing w:line="240" w:lineRule="auto"/>
        <w:ind w:right="4140"/>
        <w:rPr>
          <w:sz w:val="28"/>
          <w:szCs w:val="28"/>
        </w:rPr>
      </w:pPr>
      <w:r w:rsidRPr="00C52E56">
        <w:rPr>
          <w:sz w:val="28"/>
          <w:szCs w:val="28"/>
        </w:rPr>
        <w:lastRenderedPageBreak/>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F7A7F" w:rsidRDefault="000C48A9" w:rsidP="00361C9D">
      <w:pPr>
        <w:tabs>
          <w:tab w:val="left" w:pos="4836"/>
        </w:tabs>
        <w:spacing w:line="240" w:lineRule="auto"/>
        <w:ind w:right="3870"/>
        <w:rPr>
          <w:sz w:val="28"/>
          <w:szCs w:val="28"/>
        </w:rPr>
      </w:pPr>
      <w:proofErr w:type="gramStart"/>
      <w:r w:rsidRPr="00C52E56">
        <w:rPr>
          <w:sz w:val="28"/>
          <w:szCs w:val="28"/>
        </w:rPr>
        <w:t>t</w:t>
      </w:r>
      <w:r w:rsidR="000F7A7F" w:rsidRPr="00C52E56">
        <w:rPr>
          <w:sz w:val="28"/>
          <w:szCs w:val="28"/>
        </w:rPr>
        <w:t>his</w:t>
      </w:r>
      <w:proofErr w:type="gramEnd"/>
      <w:r w:rsidR="000F7A7F" w:rsidRPr="00C52E56">
        <w:rPr>
          <w:sz w:val="28"/>
          <w:szCs w:val="28"/>
        </w:rPr>
        <w:t xml:space="preserve"> _____ day of ________________</w:t>
      </w:r>
      <w:r w:rsidR="006F63FD" w:rsidRPr="00C52E56">
        <w:rPr>
          <w:sz w:val="28"/>
          <w:szCs w:val="28"/>
        </w:rPr>
        <w:t xml:space="preserve">___, </w:t>
      </w:r>
      <w:r w:rsidR="00692391">
        <w:rPr>
          <w:sz w:val="28"/>
          <w:szCs w:val="28"/>
        </w:rPr>
        <w:t>2018</w:t>
      </w:r>
      <w:r w:rsidR="000F7A7F" w:rsidRPr="00C52E56">
        <w:rPr>
          <w:sz w:val="28"/>
          <w:szCs w:val="28"/>
        </w:rPr>
        <w:t>.</w:t>
      </w:r>
    </w:p>
    <w:p w:rsidR="00BD16A0" w:rsidRDefault="00BD16A0" w:rsidP="00361C9D">
      <w:pPr>
        <w:tabs>
          <w:tab w:val="left" w:pos="4836"/>
        </w:tabs>
        <w:spacing w:line="240" w:lineRule="auto"/>
        <w:ind w:right="3870"/>
        <w:rPr>
          <w:sz w:val="28"/>
          <w:szCs w:val="28"/>
        </w:rPr>
      </w:pPr>
    </w:p>
    <w:p w:rsidR="00BD16A0" w:rsidRPr="00C52E56" w:rsidRDefault="00BD16A0" w:rsidP="00361C9D">
      <w:pPr>
        <w:tabs>
          <w:tab w:val="left" w:pos="4836"/>
        </w:tabs>
        <w:spacing w:line="240" w:lineRule="auto"/>
        <w:ind w:right="3870"/>
        <w:rPr>
          <w:sz w:val="28"/>
          <w:szCs w:val="28"/>
        </w:rPr>
      </w:pPr>
    </w:p>
    <w:p w:rsidR="000C48A9" w:rsidRPr="00C52E56" w:rsidRDefault="000C48A9" w:rsidP="000C48A9">
      <w:pPr>
        <w:spacing w:line="240" w:lineRule="auto"/>
        <w:ind w:right="4572"/>
        <w:rPr>
          <w:sz w:val="28"/>
          <w:szCs w:val="28"/>
        </w:rPr>
      </w:pPr>
      <w:proofErr w:type="gramStart"/>
      <w:r w:rsidRPr="00C52E56">
        <w:rPr>
          <w:sz w:val="28"/>
          <w:szCs w:val="28"/>
        </w:rPr>
        <w:t>by</w:t>
      </w:r>
      <w:proofErr w:type="gramEnd"/>
      <w:r w:rsidRPr="00C52E56">
        <w:rPr>
          <w:sz w:val="28"/>
          <w:szCs w:val="28"/>
        </w:rPr>
        <w:t>: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4F5230">
          <w:rPr>
            <w:noProof/>
            <w:sz w:val="26"/>
            <w:szCs w:val="26"/>
          </w:rPr>
          <w:t>4</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A101D"/>
    <w:multiLevelType w:val="hybridMultilevel"/>
    <w:tmpl w:val="633EB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5"/>
  </w:num>
  <w:num w:numId="5">
    <w:abstractNumId w:val="7"/>
  </w:num>
  <w:num w:numId="6">
    <w:abstractNumId w:val="8"/>
  </w:num>
  <w:num w:numId="7">
    <w:abstractNumId w:val="1"/>
  </w:num>
  <w:num w:numId="8">
    <w:abstractNumId w:val="14"/>
  </w:num>
  <w:num w:numId="9">
    <w:abstractNumId w:val="9"/>
  </w:num>
  <w:num w:numId="10">
    <w:abstractNumId w:val="11"/>
  </w:num>
  <w:num w:numId="11">
    <w:abstractNumId w:val="10"/>
  </w:num>
  <w:num w:numId="12">
    <w:abstractNumId w:val="6"/>
  </w:num>
  <w:num w:numId="13">
    <w:abstractNumId w:val="2"/>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367C0"/>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61C9D"/>
    <w:rsid w:val="00377199"/>
    <w:rsid w:val="003A28AC"/>
    <w:rsid w:val="00407E2D"/>
    <w:rsid w:val="004331B2"/>
    <w:rsid w:val="00440E4C"/>
    <w:rsid w:val="00463734"/>
    <w:rsid w:val="00494BDF"/>
    <w:rsid w:val="004C3AE3"/>
    <w:rsid w:val="004F5230"/>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BD16A0"/>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C1E85-AF31-4257-A85B-77FF94EB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TotalTime>
  <Pages>4</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4</cp:revision>
  <cp:lastPrinted>2014-04-30T16:27:00Z</cp:lastPrinted>
  <dcterms:created xsi:type="dcterms:W3CDTF">2018-05-10T19:29:00Z</dcterms:created>
  <dcterms:modified xsi:type="dcterms:W3CDTF">2018-05-21T20:53:00Z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