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406B49" w:rsidRDefault="00406B49"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r w:rsidR="00B02B57">
              <w:rPr>
                <w:b/>
                <w:sz w:val="28"/>
                <w:szCs w:val="28"/>
              </w:rPr>
              <w:t xml:space="preserve">PETITION TO AMEND </w:t>
            </w:r>
            <w:r w:rsidR="00406B49">
              <w:rPr>
                <w:b/>
                <w:sz w:val="28"/>
                <w:szCs w:val="28"/>
              </w:rPr>
              <w:t>ER 8.4, RULE 42, ARIZONA RULES OF THE SUPREME COURT</w:t>
            </w:r>
          </w:p>
          <w:p w:rsidR="00406B49" w:rsidRPr="00240AD0" w:rsidRDefault="00406B49"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406B49" w:rsidRDefault="00406B4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264DAB">
              <w:rPr>
                <w:smallCaps/>
                <w:kern w:val="2"/>
                <w:sz w:val="28"/>
                <w:szCs w:val="28"/>
              </w:rPr>
              <w:t>-1</w:t>
            </w:r>
            <w:r w:rsidR="00406B49">
              <w:rPr>
                <w:smallCaps/>
                <w:kern w:val="2"/>
                <w:sz w:val="28"/>
                <w:szCs w:val="28"/>
              </w:rPr>
              <w:t>7-0032</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 xml:space="preserve">ition to Amend </w:t>
            </w:r>
            <w:r w:rsidR="00406B49">
              <w:rPr>
                <w:smallCaps/>
                <w:kern w:val="2"/>
                <w:sz w:val="28"/>
                <w:szCs w:val="28"/>
              </w:rPr>
              <w:t>ER 8.4, Rule 42, Arizona  Rules of The Supreme Court</w:t>
            </w:r>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A53755" w:rsidRDefault="00406B49" w:rsidP="003849BF">
      <w:pPr>
        <w:spacing w:line="480" w:lineRule="auto"/>
        <w:jc w:val="both"/>
        <w:rPr>
          <w:sz w:val="28"/>
          <w:szCs w:val="28"/>
        </w:rPr>
      </w:pPr>
      <w:r>
        <w:rPr>
          <w:sz w:val="28"/>
          <w:szCs w:val="28"/>
        </w:rPr>
        <w:tab/>
      </w:r>
      <w:r w:rsidRPr="00406B49">
        <w:rPr>
          <w:sz w:val="28"/>
          <w:szCs w:val="28"/>
        </w:rPr>
        <w:t xml:space="preserve">The Maricopa County Attorney hereby submits this </w:t>
      </w:r>
      <w:r>
        <w:rPr>
          <w:sz w:val="28"/>
          <w:szCs w:val="28"/>
        </w:rPr>
        <w:t>C</w:t>
      </w:r>
      <w:r w:rsidRPr="00406B49">
        <w:rPr>
          <w:sz w:val="28"/>
          <w:szCs w:val="28"/>
        </w:rPr>
        <w:t xml:space="preserve">omment </w:t>
      </w:r>
      <w:r>
        <w:rPr>
          <w:sz w:val="28"/>
          <w:szCs w:val="28"/>
        </w:rPr>
        <w:t>asking this Court to d</w:t>
      </w:r>
      <w:r w:rsidR="00F80A3B">
        <w:rPr>
          <w:sz w:val="28"/>
          <w:szCs w:val="28"/>
        </w:rPr>
        <w:t xml:space="preserve">eny the Petition to Amend ER 8.4 </w:t>
      </w:r>
      <w:r>
        <w:rPr>
          <w:sz w:val="28"/>
          <w:szCs w:val="28"/>
        </w:rPr>
        <w:t xml:space="preserve">because the overly broad language of the proposed change </w:t>
      </w:r>
      <w:r w:rsidR="003849BF">
        <w:rPr>
          <w:sz w:val="28"/>
          <w:szCs w:val="28"/>
        </w:rPr>
        <w:t xml:space="preserve">is unnecessary and it </w:t>
      </w:r>
      <w:r>
        <w:rPr>
          <w:sz w:val="28"/>
          <w:szCs w:val="28"/>
        </w:rPr>
        <w:t xml:space="preserve">infringes on </w:t>
      </w:r>
      <w:r w:rsidR="003849BF">
        <w:rPr>
          <w:sz w:val="28"/>
          <w:szCs w:val="28"/>
        </w:rPr>
        <w:t xml:space="preserve">a lawyer’s </w:t>
      </w:r>
      <w:r>
        <w:rPr>
          <w:sz w:val="28"/>
          <w:szCs w:val="28"/>
        </w:rPr>
        <w:t>protected speech</w:t>
      </w:r>
      <w:r w:rsidR="003849BF">
        <w:rPr>
          <w:sz w:val="28"/>
          <w:szCs w:val="28"/>
        </w:rPr>
        <w:t xml:space="preserve">.  </w:t>
      </w:r>
      <w:r w:rsidRPr="00406B49">
        <w:rPr>
          <w:sz w:val="28"/>
          <w:szCs w:val="28"/>
        </w:rPr>
        <w:t>The Petition to Amend ER 8.4</w:t>
      </w:r>
      <w:r w:rsidR="00F80A3B">
        <w:rPr>
          <w:sz w:val="28"/>
          <w:szCs w:val="28"/>
        </w:rPr>
        <w:t xml:space="preserve"> </w:t>
      </w:r>
      <w:r w:rsidRPr="00406B49">
        <w:rPr>
          <w:sz w:val="28"/>
          <w:szCs w:val="28"/>
        </w:rPr>
        <w:t xml:space="preserve">is based on the American Bar Association’s </w:t>
      </w:r>
      <w:r w:rsidR="00564E9D">
        <w:rPr>
          <w:sz w:val="28"/>
          <w:szCs w:val="28"/>
        </w:rPr>
        <w:t xml:space="preserve">(ABA) </w:t>
      </w:r>
      <w:r w:rsidRPr="00406B49">
        <w:rPr>
          <w:sz w:val="28"/>
          <w:szCs w:val="28"/>
        </w:rPr>
        <w:t>amendment to Model Rule 8.4(g) in 2016.  Since that time, the revised Model Rule 8.4(g)</w:t>
      </w:r>
      <w:r w:rsidR="00702468">
        <w:rPr>
          <w:sz w:val="28"/>
          <w:szCs w:val="28"/>
        </w:rPr>
        <w:t xml:space="preserve"> has been criticized on a numerous grounds.</w:t>
      </w:r>
      <w:r w:rsidR="00A53755" w:rsidRPr="00A53755">
        <w:rPr>
          <w:rStyle w:val="FootnoteReference"/>
          <w:sz w:val="28"/>
          <w:szCs w:val="28"/>
          <w:vertAlign w:val="superscript"/>
        </w:rPr>
        <w:footnoteReference w:id="1"/>
      </w:r>
      <w:r w:rsidRPr="00406B49">
        <w:rPr>
          <w:sz w:val="28"/>
          <w:szCs w:val="28"/>
        </w:rPr>
        <w:t xml:space="preserve">  The expansive and vague language threatens to infringe on speech protected by the First Amendment, leads to viewpoint discrimination, and fails to provide attorneys with adequate notice as to </w:t>
      </w:r>
      <w:r w:rsidR="00616DFB">
        <w:rPr>
          <w:sz w:val="28"/>
          <w:szCs w:val="28"/>
        </w:rPr>
        <w:lastRenderedPageBreak/>
        <w:t xml:space="preserve">precisely </w:t>
      </w:r>
      <w:r w:rsidRPr="00406B49">
        <w:rPr>
          <w:sz w:val="28"/>
          <w:szCs w:val="28"/>
        </w:rPr>
        <w:t>what behavior is prohibited.</w:t>
      </w:r>
      <w:r w:rsidRPr="00406B49">
        <w:rPr>
          <w:rStyle w:val="FootnoteReference"/>
          <w:sz w:val="28"/>
          <w:szCs w:val="28"/>
          <w:vertAlign w:val="superscript"/>
        </w:rPr>
        <w:footnoteReference w:id="2"/>
      </w:r>
      <w:r w:rsidR="00616DFB">
        <w:rPr>
          <w:sz w:val="28"/>
          <w:szCs w:val="28"/>
          <w:vertAlign w:val="superscript"/>
        </w:rPr>
        <w:t xml:space="preserve"> </w:t>
      </w:r>
      <w:r w:rsidR="00616DFB">
        <w:rPr>
          <w:sz w:val="28"/>
          <w:szCs w:val="28"/>
        </w:rPr>
        <w:t xml:space="preserve"> </w:t>
      </w:r>
    </w:p>
    <w:p w:rsidR="00A53755" w:rsidRDefault="00A53755" w:rsidP="00A53755">
      <w:pPr>
        <w:spacing w:line="480" w:lineRule="auto"/>
        <w:ind w:firstLine="720"/>
        <w:contextualSpacing/>
        <w:jc w:val="both"/>
        <w:rPr>
          <w:sz w:val="28"/>
          <w:szCs w:val="28"/>
        </w:rPr>
      </w:pPr>
      <w:r>
        <w:rPr>
          <w:sz w:val="28"/>
          <w:szCs w:val="28"/>
        </w:rPr>
        <w:t>Additionally, even if Petitioner had presented a proposal that satisfied free speech concerns, Petitioner has not provided any reason to change Arizona’s current rule.</w:t>
      </w:r>
      <w:r w:rsidR="00616DFB">
        <w:rPr>
          <w:sz w:val="28"/>
          <w:szCs w:val="28"/>
        </w:rPr>
        <w:t xml:space="preserve">  Although Petitioner cites statistics from EEOC reports and reports filed with UN Committees, Petitioner shows no specific problem </w:t>
      </w:r>
      <w:r w:rsidR="00564E9D">
        <w:rPr>
          <w:sz w:val="28"/>
          <w:szCs w:val="28"/>
        </w:rPr>
        <w:t>with Arizona lawyers</w:t>
      </w:r>
      <w:r w:rsidR="00616DFB">
        <w:rPr>
          <w:sz w:val="28"/>
          <w:szCs w:val="28"/>
        </w:rPr>
        <w:t xml:space="preserve"> that </w:t>
      </w:r>
      <w:r w:rsidR="00564E9D">
        <w:rPr>
          <w:sz w:val="28"/>
          <w:szCs w:val="28"/>
        </w:rPr>
        <w:t>adopting</w:t>
      </w:r>
      <w:r w:rsidR="00616DFB">
        <w:rPr>
          <w:sz w:val="28"/>
          <w:szCs w:val="28"/>
        </w:rPr>
        <w:t xml:space="preserve"> </w:t>
      </w:r>
      <w:r w:rsidR="00BF7191">
        <w:rPr>
          <w:sz w:val="28"/>
          <w:szCs w:val="28"/>
        </w:rPr>
        <w:t xml:space="preserve">the </w:t>
      </w:r>
      <w:r w:rsidR="00616DFB">
        <w:rPr>
          <w:sz w:val="28"/>
          <w:szCs w:val="28"/>
        </w:rPr>
        <w:t>ABA change would cure.  Indeed there are few conclusions that can be drawn</w:t>
      </w:r>
      <w:r w:rsidR="005413CC">
        <w:rPr>
          <w:sz w:val="28"/>
          <w:szCs w:val="28"/>
        </w:rPr>
        <w:t xml:space="preserve"> from the statistics provided </w:t>
      </w:r>
      <w:r w:rsidR="00616DFB">
        <w:rPr>
          <w:sz w:val="28"/>
          <w:szCs w:val="28"/>
        </w:rPr>
        <w:t>much less any conclusions about how grant</w:t>
      </w:r>
      <w:r w:rsidR="005413CC">
        <w:rPr>
          <w:sz w:val="28"/>
          <w:szCs w:val="28"/>
        </w:rPr>
        <w:t>ing</w:t>
      </w:r>
      <w:r w:rsidR="00616DFB">
        <w:rPr>
          <w:sz w:val="28"/>
          <w:szCs w:val="28"/>
        </w:rPr>
        <w:t xml:space="preserve"> the Petition </w:t>
      </w:r>
      <w:r w:rsidR="004D49CD">
        <w:rPr>
          <w:sz w:val="28"/>
          <w:szCs w:val="28"/>
        </w:rPr>
        <w:t>w</w:t>
      </w:r>
      <w:r w:rsidR="00616DFB">
        <w:rPr>
          <w:sz w:val="28"/>
          <w:szCs w:val="28"/>
        </w:rPr>
        <w:t xml:space="preserve">ould change them.  Some conclusions Petitioner draws are </w:t>
      </w:r>
      <w:r w:rsidR="005413CC">
        <w:rPr>
          <w:sz w:val="28"/>
          <w:szCs w:val="28"/>
        </w:rPr>
        <w:t xml:space="preserve">themselves </w:t>
      </w:r>
      <w:r w:rsidR="00616DFB">
        <w:rPr>
          <w:sz w:val="28"/>
          <w:szCs w:val="28"/>
        </w:rPr>
        <w:t>peculiar – such as the conclusion that lawyers only cho</w:t>
      </w:r>
      <w:r w:rsidR="00F06B31">
        <w:rPr>
          <w:sz w:val="28"/>
          <w:szCs w:val="28"/>
        </w:rPr>
        <w:t>o</w:t>
      </w:r>
      <w:r w:rsidR="00616DFB">
        <w:rPr>
          <w:sz w:val="28"/>
          <w:szCs w:val="28"/>
        </w:rPr>
        <w:t>se to work in government, the judiciary, or other public service work because they are “relegated” to that (apparently undesirable) work by invidious discrimination. [See Petition at 3].</w:t>
      </w:r>
      <w:r w:rsidR="00D05488" w:rsidRPr="00D05488">
        <w:rPr>
          <w:rStyle w:val="FootnoteReference"/>
          <w:sz w:val="28"/>
          <w:szCs w:val="28"/>
          <w:vertAlign w:val="superscript"/>
        </w:rPr>
        <w:footnoteReference w:id="3"/>
      </w:r>
      <w:r w:rsidR="00616DFB">
        <w:rPr>
          <w:sz w:val="28"/>
          <w:szCs w:val="28"/>
        </w:rPr>
        <w:t xml:space="preserve">  </w:t>
      </w:r>
      <w:r w:rsidR="003A206E">
        <w:rPr>
          <w:sz w:val="28"/>
          <w:szCs w:val="28"/>
        </w:rPr>
        <w:t xml:space="preserve">Petitioner </w:t>
      </w:r>
      <w:r w:rsidR="00564E9D">
        <w:rPr>
          <w:sz w:val="28"/>
          <w:szCs w:val="28"/>
        </w:rPr>
        <w:t xml:space="preserve">neither gives examples involving Arizona lawyers nor offers any specific hypothetical situations that this rule change could correct.  </w:t>
      </w:r>
      <w:r w:rsidR="00E337E0">
        <w:rPr>
          <w:sz w:val="28"/>
          <w:szCs w:val="28"/>
        </w:rPr>
        <w:t>Petitioner’s citation to general nationwide statistics and bias studies fall</w:t>
      </w:r>
      <w:r w:rsidR="005413CC">
        <w:rPr>
          <w:sz w:val="28"/>
          <w:szCs w:val="28"/>
        </w:rPr>
        <w:t>s</w:t>
      </w:r>
      <w:r w:rsidR="00E337E0">
        <w:rPr>
          <w:sz w:val="28"/>
          <w:szCs w:val="28"/>
        </w:rPr>
        <w:t xml:space="preserve"> short of demonstrating any </w:t>
      </w:r>
      <w:r w:rsidR="00E337E0">
        <w:rPr>
          <w:sz w:val="28"/>
          <w:szCs w:val="28"/>
        </w:rPr>
        <w:lastRenderedPageBreak/>
        <w:t xml:space="preserve">problem in Arizona that needs to be or even can be corrected by the proposed changes.  </w:t>
      </w:r>
    </w:p>
    <w:p w:rsidR="00E337E0" w:rsidRDefault="00E337E0" w:rsidP="00A53755">
      <w:pPr>
        <w:spacing w:line="480" w:lineRule="auto"/>
        <w:ind w:firstLine="720"/>
        <w:contextualSpacing/>
        <w:jc w:val="both"/>
        <w:rPr>
          <w:sz w:val="28"/>
          <w:szCs w:val="28"/>
        </w:rPr>
      </w:pPr>
      <w:r>
        <w:rPr>
          <w:sz w:val="28"/>
          <w:szCs w:val="28"/>
        </w:rPr>
        <w:t>Arizona’s current ethical ru</w:t>
      </w:r>
      <w:r w:rsidR="00A122CA">
        <w:rPr>
          <w:sz w:val="28"/>
          <w:szCs w:val="28"/>
        </w:rPr>
        <w:t xml:space="preserve">les already adequately prohibit conduct that manifests </w:t>
      </w:r>
      <w:r w:rsidRPr="00A122CA">
        <w:rPr>
          <w:sz w:val="28"/>
          <w:szCs w:val="28"/>
        </w:rPr>
        <w:t xml:space="preserve">bias and prejudice </w:t>
      </w:r>
      <w:r>
        <w:rPr>
          <w:sz w:val="28"/>
          <w:szCs w:val="28"/>
        </w:rPr>
        <w:t xml:space="preserve">when it is prejudicial to the administration of justice.  This prohibition is sufficient for lawyer regulation.  The proposed </w:t>
      </w:r>
      <w:r w:rsidR="00D33866">
        <w:rPr>
          <w:sz w:val="28"/>
          <w:szCs w:val="28"/>
        </w:rPr>
        <w:t xml:space="preserve">rule </w:t>
      </w:r>
      <w:r>
        <w:rPr>
          <w:sz w:val="28"/>
          <w:szCs w:val="28"/>
        </w:rPr>
        <w:t xml:space="preserve">change </w:t>
      </w:r>
      <w:r w:rsidR="00D33866">
        <w:rPr>
          <w:sz w:val="28"/>
          <w:szCs w:val="28"/>
        </w:rPr>
        <w:t xml:space="preserve">does </w:t>
      </w:r>
      <w:r>
        <w:rPr>
          <w:sz w:val="28"/>
          <w:szCs w:val="28"/>
        </w:rPr>
        <w:t>attempt to place some limits on its reach by inserting the phrase “conduct related to the practice of law</w:t>
      </w:r>
      <w:r w:rsidR="00CE3DFA" w:rsidRPr="00CE3DFA">
        <w:rPr>
          <w:color w:val="FF0000"/>
          <w:sz w:val="28"/>
          <w:szCs w:val="28"/>
        </w:rPr>
        <w:t>.</w:t>
      </w:r>
      <w:r>
        <w:rPr>
          <w:sz w:val="28"/>
          <w:szCs w:val="28"/>
        </w:rPr>
        <w:t xml:space="preserve">” </w:t>
      </w:r>
      <w:r w:rsidR="00CE3DFA" w:rsidRPr="00610B2D">
        <w:rPr>
          <w:sz w:val="28"/>
          <w:szCs w:val="28"/>
        </w:rPr>
        <w:t xml:space="preserve">However, that phrase </w:t>
      </w:r>
      <w:r>
        <w:rPr>
          <w:sz w:val="28"/>
          <w:szCs w:val="28"/>
        </w:rPr>
        <w:t xml:space="preserve">is so broad and undefined that it could cover the vast majority of what any lawyer does </w:t>
      </w:r>
      <w:r w:rsidR="005413CC">
        <w:rPr>
          <w:sz w:val="28"/>
          <w:szCs w:val="28"/>
        </w:rPr>
        <w:t>in any given</w:t>
      </w:r>
      <w:r>
        <w:rPr>
          <w:sz w:val="28"/>
          <w:szCs w:val="28"/>
        </w:rPr>
        <w:t xml:space="preserve"> day.  Additionally, the proposed rule fails to define critical terms</w:t>
      </w:r>
      <w:r w:rsidR="005413CC">
        <w:rPr>
          <w:sz w:val="28"/>
          <w:szCs w:val="28"/>
        </w:rPr>
        <w:t xml:space="preserve"> (</w:t>
      </w:r>
      <w:r>
        <w:rPr>
          <w:sz w:val="28"/>
          <w:szCs w:val="28"/>
        </w:rPr>
        <w:t>certainly critical if you’re the one facing discipline</w:t>
      </w:r>
      <w:r w:rsidR="005413CC">
        <w:rPr>
          <w:sz w:val="28"/>
          <w:szCs w:val="28"/>
        </w:rPr>
        <w:t xml:space="preserve">) </w:t>
      </w:r>
      <w:r>
        <w:rPr>
          <w:sz w:val="28"/>
          <w:szCs w:val="28"/>
        </w:rPr>
        <w:t>like “harassment” and “discrimination.”</w:t>
      </w:r>
      <w:r w:rsidR="00564E9D" w:rsidRPr="00564E9D">
        <w:rPr>
          <w:rStyle w:val="FootnoteReference"/>
          <w:sz w:val="28"/>
          <w:szCs w:val="28"/>
          <w:vertAlign w:val="superscript"/>
        </w:rPr>
        <w:footnoteReference w:id="4"/>
      </w:r>
      <w:r w:rsidRPr="00564E9D">
        <w:rPr>
          <w:sz w:val="28"/>
          <w:szCs w:val="28"/>
          <w:vertAlign w:val="superscript"/>
        </w:rPr>
        <w:t xml:space="preserve"> </w:t>
      </w:r>
      <w:r>
        <w:rPr>
          <w:sz w:val="28"/>
          <w:szCs w:val="28"/>
        </w:rPr>
        <w:t xml:space="preserve"> </w:t>
      </w:r>
      <w:r w:rsidR="0073076C">
        <w:rPr>
          <w:sz w:val="28"/>
          <w:szCs w:val="28"/>
        </w:rPr>
        <w:t>Without defining its own terms, the proposed change apparently leaves to the judgment of the bar or the disciplinary authority to define prohibited conduct on a case by case basis provid</w:t>
      </w:r>
      <w:r w:rsidR="008E3730">
        <w:rPr>
          <w:sz w:val="28"/>
          <w:szCs w:val="28"/>
        </w:rPr>
        <w:t xml:space="preserve">ing </w:t>
      </w:r>
      <w:r w:rsidR="0073076C">
        <w:rPr>
          <w:sz w:val="28"/>
          <w:szCs w:val="28"/>
        </w:rPr>
        <w:t>little notice as to what is forbidden</w:t>
      </w:r>
      <w:r w:rsidR="008E3730">
        <w:rPr>
          <w:sz w:val="28"/>
          <w:szCs w:val="28"/>
        </w:rPr>
        <w:t xml:space="preserve">.  Worse, the undefined terms makes </w:t>
      </w:r>
      <w:r w:rsidR="0073076C">
        <w:rPr>
          <w:sz w:val="28"/>
          <w:szCs w:val="28"/>
        </w:rPr>
        <w:t>the forbidden conduct completely malleable based on the shifting opinions of the bar who brings the charges and the disciplinary authority who rules on them.</w:t>
      </w:r>
    </w:p>
    <w:p w:rsidR="0073076C" w:rsidRDefault="0073076C" w:rsidP="00A53755">
      <w:pPr>
        <w:spacing w:line="480" w:lineRule="auto"/>
        <w:ind w:firstLine="720"/>
        <w:contextualSpacing/>
        <w:jc w:val="both"/>
        <w:rPr>
          <w:sz w:val="28"/>
          <w:szCs w:val="28"/>
        </w:rPr>
      </w:pPr>
      <w:r>
        <w:rPr>
          <w:sz w:val="28"/>
          <w:szCs w:val="28"/>
        </w:rPr>
        <w:t xml:space="preserve">While Petitioner </w:t>
      </w:r>
      <w:r w:rsidR="008E3730">
        <w:rPr>
          <w:sz w:val="28"/>
          <w:szCs w:val="28"/>
        </w:rPr>
        <w:t xml:space="preserve">concludes by championing </w:t>
      </w:r>
      <w:r>
        <w:rPr>
          <w:sz w:val="28"/>
          <w:szCs w:val="28"/>
        </w:rPr>
        <w:t xml:space="preserve">“the Rule of Law” and the “American values of fairness and equality” [Petition at 12], the unnecessary rule change would significantly infringe on another equally important American value – the ability for our citizens – </w:t>
      </w:r>
      <w:r w:rsidR="008E3730">
        <w:rPr>
          <w:sz w:val="28"/>
          <w:szCs w:val="28"/>
        </w:rPr>
        <w:t>including</w:t>
      </w:r>
      <w:r>
        <w:rPr>
          <w:sz w:val="28"/>
          <w:szCs w:val="28"/>
        </w:rPr>
        <w:t xml:space="preserve"> lawyers – to say what they believe, even </w:t>
      </w:r>
      <w:r w:rsidR="008E3730">
        <w:rPr>
          <w:sz w:val="28"/>
          <w:szCs w:val="28"/>
        </w:rPr>
        <w:t xml:space="preserve">if </w:t>
      </w:r>
      <w:r>
        <w:rPr>
          <w:sz w:val="28"/>
          <w:szCs w:val="28"/>
        </w:rPr>
        <w:t xml:space="preserve">that belief </w:t>
      </w:r>
      <w:r w:rsidR="008E3730">
        <w:rPr>
          <w:sz w:val="28"/>
          <w:szCs w:val="28"/>
        </w:rPr>
        <w:t xml:space="preserve">is </w:t>
      </w:r>
      <w:r>
        <w:rPr>
          <w:sz w:val="28"/>
          <w:szCs w:val="28"/>
        </w:rPr>
        <w:t>offens</w:t>
      </w:r>
      <w:r w:rsidR="005413CC">
        <w:rPr>
          <w:sz w:val="28"/>
          <w:szCs w:val="28"/>
        </w:rPr>
        <w:t>ive</w:t>
      </w:r>
      <w:r>
        <w:rPr>
          <w:sz w:val="28"/>
          <w:szCs w:val="28"/>
        </w:rPr>
        <w:t xml:space="preserve"> </w:t>
      </w:r>
      <w:r w:rsidR="008E3730">
        <w:rPr>
          <w:sz w:val="28"/>
          <w:szCs w:val="28"/>
        </w:rPr>
        <w:t xml:space="preserve">to some.  </w:t>
      </w:r>
      <w:r w:rsidR="002B58BF">
        <w:rPr>
          <w:sz w:val="28"/>
          <w:szCs w:val="28"/>
        </w:rPr>
        <w:t xml:space="preserve">While there are </w:t>
      </w:r>
      <w:r>
        <w:rPr>
          <w:sz w:val="28"/>
          <w:szCs w:val="28"/>
        </w:rPr>
        <w:t>limits to th</w:t>
      </w:r>
      <w:r w:rsidR="002B58BF">
        <w:rPr>
          <w:sz w:val="28"/>
          <w:szCs w:val="28"/>
        </w:rPr>
        <w:t xml:space="preserve">e freedom of speech, </w:t>
      </w:r>
      <w:r>
        <w:rPr>
          <w:sz w:val="28"/>
          <w:szCs w:val="28"/>
        </w:rPr>
        <w:t xml:space="preserve">the current rule’s focus on actions that are prejudicial to the administration of justice strikes a reasonable balance.  </w:t>
      </w:r>
      <w:r w:rsidR="003849BF">
        <w:rPr>
          <w:sz w:val="28"/>
          <w:szCs w:val="28"/>
        </w:rPr>
        <w:t>The proposed rule change fails to strike any balance at all and is instead an attempt to eliminate speech we do not like.  For that reason alone, the Petition should be denied.</w:t>
      </w:r>
    </w:p>
    <w:p w:rsidR="005413CC" w:rsidRPr="00406B49" w:rsidRDefault="005413CC" w:rsidP="00B73631">
      <w:pPr>
        <w:spacing w:line="480" w:lineRule="auto"/>
        <w:ind w:left="1440" w:firstLine="720"/>
        <w:rPr>
          <w:rFonts w:cs="Arial"/>
          <w:sz w:val="28"/>
          <w:szCs w:val="28"/>
        </w:rPr>
      </w:pPr>
      <w:proofErr w:type="gramStart"/>
      <w:r w:rsidRPr="00406B49">
        <w:rPr>
          <w:rFonts w:cs="Arial"/>
          <w:sz w:val="28"/>
          <w:szCs w:val="28"/>
        </w:rPr>
        <w:t xml:space="preserve">Respectfully submitted this ___ day of </w:t>
      </w:r>
      <w:r w:rsidR="00A52920">
        <w:rPr>
          <w:rFonts w:cs="Arial"/>
          <w:sz w:val="28"/>
          <w:szCs w:val="28"/>
        </w:rPr>
        <w:t>May</w:t>
      </w:r>
      <w:r w:rsidRPr="00406B49">
        <w:rPr>
          <w:rFonts w:cs="Arial"/>
          <w:sz w:val="28"/>
          <w:szCs w:val="28"/>
        </w:rPr>
        <w:t>, 2018.</w:t>
      </w:r>
      <w:proofErr w:type="gramEnd"/>
    </w:p>
    <w:p w:rsidR="005413CC" w:rsidRPr="00406B49" w:rsidRDefault="005413CC" w:rsidP="005413CC">
      <w:pPr>
        <w:ind w:left="3600"/>
        <w:rPr>
          <w:rFonts w:eastAsia="PMingLiU" w:cs="Arial"/>
          <w:sz w:val="28"/>
          <w:szCs w:val="28"/>
        </w:rPr>
      </w:pPr>
      <w:r w:rsidRPr="00406B49">
        <w:rPr>
          <w:rFonts w:eastAsia="PMingLiU" w:cs="Arial"/>
          <w:sz w:val="28"/>
          <w:szCs w:val="28"/>
        </w:rPr>
        <w:t>WILLIAM</w:t>
      </w:r>
      <w:r w:rsidRPr="00406B49">
        <w:rPr>
          <w:rFonts w:eastAsia="PMingLiU" w:cs="Arial"/>
          <w:sz w:val="28"/>
          <w:szCs w:val="28"/>
        </w:rPr>
        <w:fldChar w:fldCharType="begin"/>
      </w:r>
      <w:r w:rsidRPr="00406B49">
        <w:rPr>
          <w:rFonts w:eastAsia="PMingLiU" w:cs="Arial"/>
          <w:sz w:val="28"/>
          <w:szCs w:val="28"/>
        </w:rPr>
        <w:instrText xml:space="preserve"> IF G &lt;&gt; "" " G" "" </w:instrText>
      </w:r>
      <w:r w:rsidRPr="00406B49">
        <w:rPr>
          <w:rFonts w:eastAsia="PMingLiU" w:cs="Arial"/>
          <w:sz w:val="28"/>
          <w:szCs w:val="28"/>
        </w:rPr>
        <w:fldChar w:fldCharType="separate"/>
      </w:r>
      <w:r w:rsidRPr="00406B49">
        <w:rPr>
          <w:rFonts w:eastAsia="PMingLiU" w:cs="Arial"/>
          <w:sz w:val="28"/>
          <w:szCs w:val="28"/>
        </w:rPr>
        <w:t xml:space="preserve"> G</w:t>
      </w:r>
      <w:r w:rsidRPr="00406B49">
        <w:rPr>
          <w:rFonts w:eastAsia="PMingLiU" w:cs="Arial"/>
          <w:sz w:val="28"/>
          <w:szCs w:val="28"/>
        </w:rPr>
        <w:fldChar w:fldCharType="end"/>
      </w:r>
      <w:r w:rsidRPr="00406B49">
        <w:rPr>
          <w:rFonts w:eastAsia="PMingLiU" w:cs="Arial"/>
          <w:sz w:val="28"/>
          <w:szCs w:val="28"/>
        </w:rPr>
        <w:t xml:space="preserve"> MONTGOMERY</w:t>
      </w:r>
      <w:r w:rsidRPr="00406B49">
        <w:rPr>
          <w:rFonts w:eastAsia="PMingLiU" w:cs="Arial"/>
          <w:sz w:val="28"/>
          <w:szCs w:val="28"/>
        </w:rPr>
        <w:fldChar w:fldCharType="begin"/>
      </w:r>
      <w:r w:rsidRPr="00406B49">
        <w:rPr>
          <w:rFonts w:eastAsia="PMingLiU" w:cs="Arial"/>
          <w:sz w:val="28"/>
          <w:szCs w:val="28"/>
        </w:rPr>
        <w:instrText xml:space="preserve"> IF "" &lt;&gt; "" ", " "" </w:instrText>
      </w:r>
      <w:r w:rsidRPr="00406B49">
        <w:rPr>
          <w:rFonts w:eastAsia="PMingLiU" w:cs="Arial"/>
          <w:sz w:val="28"/>
          <w:szCs w:val="28"/>
        </w:rPr>
        <w:fldChar w:fldCharType="end"/>
      </w:r>
    </w:p>
    <w:p w:rsidR="005413CC" w:rsidRPr="00406B49" w:rsidRDefault="005413CC" w:rsidP="005413CC">
      <w:pPr>
        <w:ind w:left="3600"/>
        <w:rPr>
          <w:rFonts w:cs="Arial"/>
          <w:sz w:val="28"/>
          <w:szCs w:val="28"/>
        </w:rPr>
      </w:pPr>
      <w:r w:rsidRPr="00406B49">
        <w:rPr>
          <w:rFonts w:eastAsia="PMingLiU" w:cs="Arial"/>
          <w:sz w:val="28"/>
          <w:szCs w:val="28"/>
        </w:rPr>
        <w:t>MARICOPA COUNTY ATTORNEY</w:t>
      </w:r>
    </w:p>
    <w:p w:rsidR="005413CC" w:rsidRPr="00406B49" w:rsidRDefault="005413CC" w:rsidP="005413CC">
      <w:pPr>
        <w:rPr>
          <w:rFonts w:cs="Arial"/>
          <w:sz w:val="28"/>
          <w:szCs w:val="28"/>
        </w:rPr>
      </w:pPr>
    </w:p>
    <w:p w:rsidR="005413CC" w:rsidRPr="00406B49" w:rsidRDefault="005413CC" w:rsidP="005413CC">
      <w:pPr>
        <w:rPr>
          <w:rFonts w:cs="Arial"/>
          <w:sz w:val="28"/>
          <w:szCs w:val="28"/>
        </w:rPr>
      </w:pPr>
    </w:p>
    <w:p w:rsidR="005413CC" w:rsidRPr="00406B49" w:rsidRDefault="005413CC" w:rsidP="005413CC">
      <w:pPr>
        <w:keepNext/>
        <w:keepLines/>
        <w:tabs>
          <w:tab w:val="left" w:pos="4140"/>
        </w:tabs>
        <w:ind w:left="4147" w:hanging="547"/>
        <w:rPr>
          <w:rFonts w:cs="Arial"/>
          <w:sz w:val="28"/>
          <w:szCs w:val="28"/>
          <w:u w:val="single"/>
        </w:rPr>
      </w:pPr>
      <w:r w:rsidRPr="00406B49">
        <w:rPr>
          <w:rFonts w:cs="Arial"/>
          <w:sz w:val="28"/>
          <w:szCs w:val="28"/>
        </w:rPr>
        <w:t>BY:</w:t>
      </w:r>
      <w:r w:rsidRPr="00406B49">
        <w:rPr>
          <w:rFonts w:cs="Arial"/>
          <w:sz w:val="28"/>
          <w:szCs w:val="28"/>
        </w:rPr>
        <w:tab/>
      </w:r>
      <w:r w:rsidR="00B02ABC">
        <w:rPr>
          <w:rFonts w:cs="Arial"/>
          <w:sz w:val="28"/>
          <w:szCs w:val="28"/>
        </w:rPr>
        <w:t>_________________________</w:t>
      </w:r>
      <w:bookmarkStart w:id="0" w:name="_GoBack"/>
      <w:bookmarkEnd w:id="0"/>
    </w:p>
    <w:p w:rsidR="005413CC" w:rsidRPr="00406B49" w:rsidRDefault="00B73631" w:rsidP="005413CC">
      <w:pPr>
        <w:ind w:left="4147"/>
        <w:rPr>
          <w:rFonts w:eastAsia="PMingLiU" w:cs="Arial"/>
          <w:sz w:val="28"/>
          <w:szCs w:val="28"/>
        </w:rPr>
      </w:pPr>
      <w:r w:rsidRPr="00406B49">
        <w:rPr>
          <w:rFonts w:eastAsia="Calibri" w:cs="Arial"/>
          <w:sz w:val="28"/>
          <w:szCs w:val="28"/>
        </w:rPr>
        <w:t>MARK C. FAULL</w:t>
      </w:r>
      <w:r w:rsidR="005413CC" w:rsidRPr="00406B49">
        <w:rPr>
          <w:rFonts w:eastAsia="PMingLiU" w:cs="Arial"/>
          <w:sz w:val="28"/>
          <w:szCs w:val="28"/>
        </w:rPr>
        <w:fldChar w:fldCharType="begin"/>
      </w:r>
      <w:r w:rsidR="005413CC" w:rsidRPr="00406B49">
        <w:rPr>
          <w:rFonts w:eastAsia="PMingLiU" w:cs="Arial"/>
          <w:sz w:val="28"/>
          <w:szCs w:val="28"/>
        </w:rPr>
        <w:instrText xml:space="preserve"> IF </w:instrText>
      </w:r>
      <w:r w:rsidR="005413CC" w:rsidRPr="00406B49">
        <w:rPr>
          <w:rFonts w:eastAsia="Calibri" w:cs="Arial"/>
          <w:noProof/>
          <w:sz w:val="28"/>
          <w:szCs w:val="28"/>
        </w:rPr>
        <w:instrText>""</w:instrText>
      </w:r>
      <w:r w:rsidR="005413CC" w:rsidRPr="00406B49">
        <w:rPr>
          <w:rFonts w:eastAsia="PMingLiU" w:cs="Arial"/>
          <w:sz w:val="28"/>
          <w:szCs w:val="28"/>
        </w:rPr>
        <w:instrText xml:space="preserve"> &lt;&gt; "" ", " "" </w:instrText>
      </w:r>
      <w:r w:rsidR="005413CC" w:rsidRPr="00406B49">
        <w:rPr>
          <w:rFonts w:eastAsia="PMingLiU" w:cs="Arial"/>
          <w:sz w:val="28"/>
          <w:szCs w:val="28"/>
        </w:rPr>
        <w:fldChar w:fldCharType="end"/>
      </w:r>
    </w:p>
    <w:p w:rsidR="005C060D" w:rsidRDefault="00B73631" w:rsidP="005413CC">
      <w:pPr>
        <w:ind w:left="4140"/>
        <w:rPr>
          <w:rFonts w:eastAsia="Calibri" w:cs="Arial"/>
          <w:sz w:val="28"/>
          <w:szCs w:val="28"/>
        </w:rPr>
        <w:sectPr w:rsidR="005C060D" w:rsidSect="008462A9">
          <w:headerReference w:type="default" r:id="rId9"/>
          <w:footerReference w:type="default" r:id="rId10"/>
          <w:endnotePr>
            <w:numFmt w:val="decimal"/>
          </w:endnotePr>
          <w:pgSz w:w="12240" w:h="15840"/>
          <w:pgMar w:top="-1440" w:right="1152" w:bottom="1260" w:left="1440" w:header="965" w:footer="648" w:gutter="0"/>
          <w:cols w:space="720"/>
          <w:noEndnote/>
          <w:docGrid w:linePitch="326"/>
        </w:sectPr>
      </w:pPr>
      <w:r w:rsidRPr="00406B49">
        <w:rPr>
          <w:rFonts w:eastAsia="Calibri" w:cs="Arial"/>
          <w:sz w:val="28"/>
          <w:szCs w:val="28"/>
        </w:rPr>
        <w:t>CHIEF DEPUTY</w:t>
      </w:r>
    </w:p>
    <w:p w:rsidR="005C060D" w:rsidRPr="00DD03A0" w:rsidRDefault="005C060D" w:rsidP="005C060D">
      <w:pPr>
        <w:jc w:val="center"/>
        <w:rPr>
          <w:rFonts w:eastAsia="Calibri" w:cs="Arial"/>
          <w:sz w:val="28"/>
          <w:szCs w:val="28"/>
          <w:u w:val="single"/>
        </w:rPr>
      </w:pPr>
      <w:r w:rsidRPr="00DD03A0">
        <w:rPr>
          <w:rFonts w:eastAsia="Calibri" w:cs="Arial"/>
          <w:sz w:val="28"/>
          <w:szCs w:val="28"/>
          <w:u w:val="single"/>
        </w:rPr>
        <w:t>APPENDIX</w:t>
      </w:r>
    </w:p>
    <w:p w:rsidR="005C060D" w:rsidRDefault="005C060D" w:rsidP="005C060D">
      <w:pPr>
        <w:jc w:val="center"/>
        <w:rPr>
          <w:rFonts w:eastAsia="Calibri" w:cs="Arial"/>
          <w:sz w:val="28"/>
          <w:szCs w:val="28"/>
        </w:rPr>
      </w:pPr>
    </w:p>
    <w:p w:rsidR="005C060D" w:rsidRDefault="005C060D" w:rsidP="005C060D">
      <w:pPr>
        <w:jc w:val="center"/>
        <w:rPr>
          <w:rFonts w:eastAsia="Calibri" w:cs="Arial"/>
          <w:sz w:val="28"/>
          <w:szCs w:val="28"/>
        </w:rPr>
      </w:pPr>
      <w:r>
        <w:rPr>
          <w:rFonts w:eastAsia="Calibri" w:cs="Arial"/>
          <w:sz w:val="28"/>
          <w:szCs w:val="28"/>
        </w:rPr>
        <w:t>Table of Contents</w:t>
      </w:r>
    </w:p>
    <w:p w:rsidR="005C060D" w:rsidRDefault="005C060D" w:rsidP="005C060D">
      <w:pPr>
        <w:jc w:val="center"/>
        <w:rPr>
          <w:rFonts w:eastAsia="Calibri" w:cs="Arial"/>
          <w:sz w:val="28"/>
          <w:szCs w:val="28"/>
        </w:rPr>
      </w:pPr>
    </w:p>
    <w:p w:rsidR="005C060D" w:rsidRDefault="00DD03A0" w:rsidP="005C060D">
      <w:pPr>
        <w:rPr>
          <w:sz w:val="28"/>
          <w:szCs w:val="28"/>
        </w:rPr>
      </w:pPr>
      <w:r w:rsidRPr="00DD03A0">
        <w:rPr>
          <w:sz w:val="28"/>
          <w:szCs w:val="28"/>
        </w:rPr>
        <w:t>Excerpts from</w:t>
      </w:r>
      <w:r>
        <w:rPr>
          <w:smallCaps/>
          <w:sz w:val="28"/>
          <w:szCs w:val="28"/>
        </w:rPr>
        <w:t xml:space="preserve"> </w:t>
      </w:r>
      <w:r w:rsidR="005C060D" w:rsidRPr="003849BF">
        <w:rPr>
          <w:smallCaps/>
          <w:sz w:val="28"/>
          <w:szCs w:val="28"/>
        </w:rPr>
        <w:t>Arizona Attorney</w:t>
      </w:r>
      <w:r>
        <w:rPr>
          <w:smallCaps/>
          <w:sz w:val="28"/>
          <w:szCs w:val="28"/>
        </w:rPr>
        <w:t>,</w:t>
      </w:r>
      <w:r w:rsidR="005C060D" w:rsidRPr="00A53755">
        <w:rPr>
          <w:sz w:val="28"/>
          <w:szCs w:val="28"/>
        </w:rPr>
        <w:t xml:space="preserve"> March 2017</w:t>
      </w:r>
      <w:r w:rsidR="005C060D">
        <w:rPr>
          <w:sz w:val="28"/>
          <w:szCs w:val="28"/>
        </w:rPr>
        <w:t xml:space="preserve">…………………………………… </w:t>
      </w:r>
      <w:r w:rsidR="00F11262">
        <w:rPr>
          <w:sz w:val="28"/>
          <w:szCs w:val="28"/>
        </w:rPr>
        <w:t>6</w:t>
      </w:r>
    </w:p>
    <w:p w:rsidR="005C060D" w:rsidRDefault="005C060D" w:rsidP="005C060D">
      <w:pPr>
        <w:rPr>
          <w:sz w:val="28"/>
          <w:szCs w:val="28"/>
        </w:rPr>
      </w:pPr>
    </w:p>
    <w:p w:rsidR="005C060D" w:rsidRDefault="00DD03A0" w:rsidP="005C060D">
      <w:pPr>
        <w:rPr>
          <w:sz w:val="28"/>
          <w:szCs w:val="28"/>
        </w:rPr>
      </w:pPr>
      <w:r>
        <w:rPr>
          <w:sz w:val="28"/>
          <w:szCs w:val="28"/>
        </w:rPr>
        <w:t xml:space="preserve">Opinion </w:t>
      </w:r>
      <w:r w:rsidR="005C060D">
        <w:rPr>
          <w:sz w:val="28"/>
          <w:szCs w:val="28"/>
        </w:rPr>
        <w:t>Letter</w:t>
      </w:r>
      <w:r>
        <w:rPr>
          <w:sz w:val="28"/>
          <w:szCs w:val="28"/>
        </w:rPr>
        <w:t xml:space="preserve">, </w:t>
      </w:r>
      <w:r w:rsidR="005C060D">
        <w:rPr>
          <w:sz w:val="28"/>
          <w:szCs w:val="28"/>
        </w:rPr>
        <w:t>Attorney General of South Carolina ………………………………</w:t>
      </w:r>
      <w:r>
        <w:rPr>
          <w:sz w:val="28"/>
          <w:szCs w:val="28"/>
        </w:rPr>
        <w:t>.</w:t>
      </w:r>
      <w:r w:rsidR="00F11262">
        <w:rPr>
          <w:sz w:val="28"/>
          <w:szCs w:val="28"/>
        </w:rPr>
        <w:t>. 8</w:t>
      </w:r>
    </w:p>
    <w:p w:rsidR="005C060D" w:rsidRDefault="005C060D" w:rsidP="005C060D">
      <w:pPr>
        <w:rPr>
          <w:sz w:val="28"/>
          <w:szCs w:val="28"/>
        </w:rPr>
      </w:pPr>
    </w:p>
    <w:p w:rsidR="005C060D" w:rsidRDefault="005C060D" w:rsidP="005C060D">
      <w:pPr>
        <w:rPr>
          <w:sz w:val="28"/>
          <w:szCs w:val="28"/>
        </w:rPr>
      </w:pPr>
      <w:r>
        <w:rPr>
          <w:sz w:val="28"/>
          <w:szCs w:val="28"/>
        </w:rPr>
        <w:t>Opinion No. KP-0123, Attorney General of Texas ………………………………</w:t>
      </w:r>
      <w:r w:rsidR="00F11262">
        <w:rPr>
          <w:sz w:val="28"/>
          <w:szCs w:val="28"/>
        </w:rPr>
        <w:t>…22</w:t>
      </w:r>
    </w:p>
    <w:p w:rsidR="005C060D" w:rsidRDefault="005C060D" w:rsidP="005C060D">
      <w:pPr>
        <w:rPr>
          <w:sz w:val="28"/>
          <w:szCs w:val="28"/>
        </w:rPr>
      </w:pPr>
    </w:p>
    <w:p w:rsidR="005C060D" w:rsidRDefault="005C060D" w:rsidP="005C060D">
      <w:pPr>
        <w:rPr>
          <w:sz w:val="28"/>
          <w:szCs w:val="28"/>
        </w:rPr>
      </w:pPr>
      <w:r>
        <w:rPr>
          <w:sz w:val="28"/>
          <w:szCs w:val="28"/>
        </w:rPr>
        <w:t>Opinion 17-0114, Attorney General of Louisiana………………………………</w:t>
      </w:r>
      <w:r w:rsidR="00F11262">
        <w:rPr>
          <w:sz w:val="28"/>
          <w:szCs w:val="28"/>
        </w:rPr>
        <w:t>…..</w:t>
      </w:r>
      <w:r>
        <w:rPr>
          <w:sz w:val="28"/>
          <w:szCs w:val="28"/>
        </w:rPr>
        <w:t>.</w:t>
      </w:r>
      <w:r w:rsidR="00F11262">
        <w:rPr>
          <w:sz w:val="28"/>
          <w:szCs w:val="28"/>
        </w:rPr>
        <w:t>30</w:t>
      </w:r>
    </w:p>
    <w:p w:rsidR="005C060D" w:rsidRDefault="005C060D" w:rsidP="005C060D">
      <w:pPr>
        <w:rPr>
          <w:sz w:val="28"/>
          <w:szCs w:val="28"/>
        </w:rPr>
      </w:pPr>
    </w:p>
    <w:p w:rsidR="005C060D" w:rsidRDefault="00DD03A0" w:rsidP="005C060D">
      <w:pPr>
        <w:rPr>
          <w:sz w:val="28"/>
          <w:szCs w:val="28"/>
        </w:rPr>
      </w:pPr>
      <w:r>
        <w:rPr>
          <w:sz w:val="28"/>
          <w:szCs w:val="28"/>
        </w:rPr>
        <w:t>Comment Letter, Attorney General of Tennessee……………………………</w:t>
      </w:r>
      <w:r w:rsidR="00F11262">
        <w:rPr>
          <w:sz w:val="28"/>
          <w:szCs w:val="28"/>
        </w:rPr>
        <w:t>…...…40</w:t>
      </w:r>
    </w:p>
    <w:p w:rsidR="00DD03A0" w:rsidRDefault="00DD03A0" w:rsidP="005C060D">
      <w:pPr>
        <w:rPr>
          <w:sz w:val="28"/>
          <w:szCs w:val="28"/>
        </w:rPr>
      </w:pPr>
    </w:p>
    <w:p w:rsidR="00DD03A0" w:rsidRDefault="00DD03A0" w:rsidP="005C060D">
      <w:pPr>
        <w:rPr>
          <w:sz w:val="28"/>
          <w:szCs w:val="28"/>
        </w:rPr>
      </w:pPr>
      <w:r>
        <w:rPr>
          <w:sz w:val="28"/>
          <w:szCs w:val="28"/>
        </w:rPr>
        <w:t>SJ15, Joint Resolution, Montana Legislature…………………………………</w:t>
      </w:r>
      <w:r w:rsidR="00F11262">
        <w:rPr>
          <w:sz w:val="28"/>
          <w:szCs w:val="28"/>
        </w:rPr>
        <w:t>……..52</w:t>
      </w:r>
    </w:p>
    <w:p w:rsidR="00DD03A0" w:rsidRDefault="00DD03A0" w:rsidP="005C060D">
      <w:pPr>
        <w:rPr>
          <w:rFonts w:eastAsia="Calibri" w:cs="Arial"/>
          <w:sz w:val="28"/>
          <w:szCs w:val="28"/>
        </w:rPr>
      </w:pPr>
    </w:p>
    <w:p w:rsidR="005C060D" w:rsidRPr="00406B49" w:rsidRDefault="005C060D" w:rsidP="005C060D">
      <w:pPr>
        <w:rPr>
          <w:rFonts w:eastAsia="Calibri" w:cs="Arial"/>
          <w:sz w:val="28"/>
          <w:szCs w:val="28"/>
        </w:rPr>
      </w:pPr>
    </w:p>
    <w:p w:rsidR="005413CC" w:rsidRDefault="005413CC" w:rsidP="00A53755">
      <w:pPr>
        <w:spacing w:line="480" w:lineRule="auto"/>
        <w:ind w:firstLine="720"/>
        <w:contextualSpacing/>
        <w:jc w:val="both"/>
        <w:rPr>
          <w:sz w:val="28"/>
          <w:szCs w:val="28"/>
        </w:rPr>
      </w:pPr>
    </w:p>
    <w:p w:rsidR="00942581" w:rsidRDefault="00942581" w:rsidP="00A53755">
      <w:pPr>
        <w:spacing w:line="480" w:lineRule="auto"/>
        <w:ind w:firstLine="720"/>
        <w:contextualSpacing/>
        <w:jc w:val="both"/>
        <w:rPr>
          <w:sz w:val="28"/>
          <w:szCs w:val="28"/>
        </w:rPr>
      </w:pPr>
    </w:p>
    <w:p w:rsidR="00942581" w:rsidRDefault="00942581" w:rsidP="005C060D">
      <w:pPr>
        <w:widowControl/>
        <w:rPr>
          <w:sz w:val="28"/>
          <w:szCs w:val="28"/>
        </w:rPr>
      </w:pPr>
    </w:p>
    <w:p w:rsidR="00942581" w:rsidRDefault="00942581" w:rsidP="00942581">
      <w:pPr>
        <w:spacing w:line="480" w:lineRule="auto"/>
        <w:ind w:firstLine="720"/>
        <w:contextualSpacing/>
        <w:jc w:val="center"/>
        <w:rPr>
          <w:sz w:val="28"/>
          <w:szCs w:val="28"/>
        </w:rPr>
      </w:pPr>
    </w:p>
    <w:sectPr w:rsidR="00942581">
      <w:headerReference w:type="default" r:id="rId11"/>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7BA" w:rsidRDefault="004607BA">
      <w:r>
        <w:separator/>
      </w:r>
    </w:p>
  </w:endnote>
  <w:endnote w:type="continuationSeparator" w:id="0">
    <w:p w:rsidR="004607BA" w:rsidRDefault="0046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Pr="004A7B53" w:rsidRDefault="00714098">
    <w:pPr>
      <w:framePr w:w="9937" w:wrap="notBeside" w:vAnchor="text" w:hAnchor="text" w:x="1" w:y="1"/>
      <w:jc w:val="center"/>
      <w:rPr>
        <w:sz w:val="28"/>
        <w:szCs w:val="28"/>
      </w:rPr>
    </w:pPr>
    <w:r w:rsidRPr="004A7B53">
      <w:rPr>
        <w:sz w:val="28"/>
        <w:szCs w:val="28"/>
      </w:rPr>
      <w:fldChar w:fldCharType="begin"/>
    </w:r>
    <w:r w:rsidRPr="004A7B53">
      <w:rPr>
        <w:sz w:val="28"/>
        <w:szCs w:val="28"/>
      </w:rPr>
      <w:instrText xml:space="preserve">PAGE </w:instrText>
    </w:r>
    <w:r w:rsidRPr="004A7B53">
      <w:rPr>
        <w:sz w:val="28"/>
        <w:szCs w:val="28"/>
      </w:rPr>
      <w:fldChar w:fldCharType="separate"/>
    </w:r>
    <w:r w:rsidR="00B02ABC">
      <w:rPr>
        <w:noProof/>
        <w:sz w:val="28"/>
        <w:szCs w:val="28"/>
      </w:rPr>
      <w:t>4</w:t>
    </w:r>
    <w:r w:rsidRPr="004A7B53">
      <w:rPr>
        <w:sz w:val="28"/>
        <w:szCs w:val="28"/>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7BA" w:rsidRDefault="004607BA">
      <w:r>
        <w:separator/>
      </w:r>
    </w:p>
  </w:footnote>
  <w:footnote w:type="continuationSeparator" w:id="0">
    <w:p w:rsidR="004607BA" w:rsidRDefault="004607BA">
      <w:r>
        <w:continuationSeparator/>
      </w:r>
    </w:p>
  </w:footnote>
  <w:footnote w:id="1">
    <w:p w:rsidR="00A53755" w:rsidRPr="00A53755" w:rsidRDefault="00A53755">
      <w:pPr>
        <w:pStyle w:val="FootnoteText"/>
        <w:rPr>
          <w:sz w:val="28"/>
          <w:szCs w:val="28"/>
        </w:rPr>
      </w:pPr>
      <w:r w:rsidRPr="00A53755">
        <w:rPr>
          <w:rStyle w:val="FootnoteReference"/>
          <w:sz w:val="28"/>
          <w:szCs w:val="28"/>
          <w:vertAlign w:val="superscript"/>
        </w:rPr>
        <w:footnoteRef/>
      </w:r>
      <w:r w:rsidRPr="00A53755">
        <w:rPr>
          <w:sz w:val="28"/>
          <w:szCs w:val="28"/>
        </w:rPr>
        <w:t xml:space="preserve"> </w:t>
      </w:r>
      <w:r w:rsidRPr="003849BF">
        <w:rPr>
          <w:i/>
          <w:sz w:val="28"/>
          <w:szCs w:val="28"/>
        </w:rPr>
        <w:t>See e.g.</w:t>
      </w:r>
      <w:r w:rsidRPr="00A53755">
        <w:rPr>
          <w:sz w:val="28"/>
          <w:szCs w:val="28"/>
        </w:rPr>
        <w:t xml:space="preserve">, </w:t>
      </w:r>
      <w:r w:rsidR="003849BF">
        <w:rPr>
          <w:sz w:val="28"/>
          <w:szCs w:val="28"/>
        </w:rPr>
        <w:t xml:space="preserve">Andrew Halaby and Briana Long, Letter to the Editor, </w:t>
      </w:r>
      <w:r w:rsidRPr="003849BF">
        <w:rPr>
          <w:smallCaps/>
          <w:sz w:val="28"/>
          <w:szCs w:val="28"/>
        </w:rPr>
        <w:t>Arizona Attorney</w:t>
      </w:r>
      <w:r w:rsidRPr="00A53755">
        <w:rPr>
          <w:sz w:val="28"/>
          <w:szCs w:val="28"/>
        </w:rPr>
        <w:t xml:space="preserve"> March 2017</w:t>
      </w:r>
      <w:r w:rsidR="003849BF">
        <w:rPr>
          <w:sz w:val="28"/>
          <w:szCs w:val="28"/>
        </w:rPr>
        <w:t xml:space="preserve">, at 12.  See </w:t>
      </w:r>
      <w:r w:rsidR="00F06B31">
        <w:rPr>
          <w:sz w:val="28"/>
          <w:szCs w:val="28"/>
        </w:rPr>
        <w:t>Appendix</w:t>
      </w:r>
      <w:r w:rsidR="003849BF">
        <w:rPr>
          <w:sz w:val="28"/>
          <w:szCs w:val="28"/>
        </w:rPr>
        <w:t>.</w:t>
      </w:r>
    </w:p>
  </w:footnote>
  <w:footnote w:id="2">
    <w:p w:rsidR="00406B49" w:rsidRPr="002641DA" w:rsidRDefault="00406B49" w:rsidP="00406B49">
      <w:pPr>
        <w:pStyle w:val="FootnoteText"/>
        <w:jc w:val="both"/>
        <w:rPr>
          <w:sz w:val="28"/>
          <w:szCs w:val="28"/>
        </w:rPr>
      </w:pPr>
      <w:r w:rsidRPr="002641DA">
        <w:rPr>
          <w:rStyle w:val="FootnoteReference"/>
          <w:sz w:val="28"/>
          <w:szCs w:val="28"/>
          <w:vertAlign w:val="superscript"/>
        </w:rPr>
        <w:footnoteRef/>
      </w:r>
      <w:r w:rsidRPr="002641DA">
        <w:rPr>
          <w:sz w:val="28"/>
          <w:szCs w:val="28"/>
          <w:vertAlign w:val="superscript"/>
        </w:rPr>
        <w:t xml:space="preserve"> </w:t>
      </w:r>
      <w:r w:rsidRPr="002641DA">
        <w:rPr>
          <w:sz w:val="28"/>
          <w:szCs w:val="28"/>
        </w:rPr>
        <w:t xml:space="preserve">The Attorneys General in South Carolina, Texas, Louisiana, and Tennessee have either opposed amendments to their state’s rules of professional conduct based on the ABA language or opined that the amendment would violate the Constitution. The Montana legislature also rejected the proposed amendment in a joint resolution.  See </w:t>
      </w:r>
      <w:r w:rsidR="00F06B31">
        <w:rPr>
          <w:sz w:val="28"/>
          <w:szCs w:val="28"/>
        </w:rPr>
        <w:t>Appendix</w:t>
      </w:r>
      <w:r w:rsidR="00A53755">
        <w:rPr>
          <w:sz w:val="28"/>
          <w:szCs w:val="28"/>
        </w:rPr>
        <w:t xml:space="preserve">.  </w:t>
      </w:r>
    </w:p>
    <w:p w:rsidR="00406B49" w:rsidRPr="002641DA" w:rsidRDefault="00406B49" w:rsidP="00406B49">
      <w:pPr>
        <w:pStyle w:val="FootnoteText"/>
        <w:rPr>
          <w:sz w:val="28"/>
          <w:szCs w:val="28"/>
        </w:rPr>
      </w:pPr>
    </w:p>
  </w:footnote>
  <w:footnote w:id="3">
    <w:p w:rsidR="00D05488" w:rsidRPr="00D05488" w:rsidRDefault="00D05488" w:rsidP="00D33866">
      <w:pPr>
        <w:pStyle w:val="FootnoteText"/>
        <w:jc w:val="both"/>
        <w:rPr>
          <w:sz w:val="28"/>
          <w:szCs w:val="28"/>
          <w:vertAlign w:val="superscript"/>
        </w:rPr>
      </w:pPr>
      <w:r w:rsidRPr="001F4207">
        <w:rPr>
          <w:rStyle w:val="FootnoteReference"/>
          <w:sz w:val="28"/>
          <w:szCs w:val="28"/>
          <w:vertAlign w:val="superscript"/>
        </w:rPr>
        <w:footnoteRef/>
      </w:r>
      <w:r w:rsidRPr="001F4207">
        <w:rPr>
          <w:sz w:val="28"/>
          <w:szCs w:val="28"/>
          <w:vertAlign w:val="superscript"/>
        </w:rPr>
        <w:t xml:space="preserve"> </w:t>
      </w:r>
      <w:r w:rsidR="004F7BC0">
        <w:rPr>
          <w:sz w:val="28"/>
          <w:szCs w:val="28"/>
        </w:rPr>
        <w:t xml:space="preserve">Several of the statistics presented discuss hiring rates and </w:t>
      </w:r>
      <w:r w:rsidR="00564E9D">
        <w:rPr>
          <w:sz w:val="28"/>
          <w:szCs w:val="28"/>
        </w:rPr>
        <w:t xml:space="preserve">the </w:t>
      </w:r>
      <w:r w:rsidR="00D33866">
        <w:rPr>
          <w:sz w:val="28"/>
          <w:szCs w:val="28"/>
        </w:rPr>
        <w:t>odds of becoming a partner in a law firm.  Even if we assume that this data supports a conclusion of bias in hiring or partnership selections, how would the proposed rule eliminate this bias?  Would this new rule subject law firms to discipline based on their hiring and partnership statistics?</w:t>
      </w:r>
    </w:p>
  </w:footnote>
  <w:footnote w:id="4">
    <w:p w:rsidR="00564E9D" w:rsidRPr="00564E9D" w:rsidRDefault="00564E9D" w:rsidP="006333E1">
      <w:pPr>
        <w:pStyle w:val="FootnoteText"/>
        <w:jc w:val="both"/>
        <w:rPr>
          <w:sz w:val="28"/>
          <w:szCs w:val="28"/>
        </w:rPr>
      </w:pPr>
      <w:r w:rsidRPr="00564E9D">
        <w:rPr>
          <w:rStyle w:val="FootnoteReference"/>
          <w:vertAlign w:val="superscript"/>
        </w:rPr>
        <w:footnoteRef/>
      </w:r>
      <w:r w:rsidRPr="00564E9D">
        <w:rPr>
          <w:vertAlign w:val="superscript"/>
        </w:rPr>
        <w:t xml:space="preserve"> </w:t>
      </w:r>
      <w:r>
        <w:rPr>
          <w:sz w:val="28"/>
          <w:szCs w:val="28"/>
        </w:rPr>
        <w:t xml:space="preserve">The Petition does not specifically ask this Court to adopt the </w:t>
      </w:r>
      <w:r w:rsidR="006333E1">
        <w:rPr>
          <w:sz w:val="28"/>
          <w:szCs w:val="28"/>
        </w:rPr>
        <w:t xml:space="preserve">ABA </w:t>
      </w:r>
      <w:r>
        <w:rPr>
          <w:sz w:val="28"/>
          <w:szCs w:val="28"/>
        </w:rPr>
        <w:t>comment</w:t>
      </w:r>
      <w:r w:rsidR="003A206E">
        <w:rPr>
          <w:sz w:val="28"/>
          <w:szCs w:val="28"/>
        </w:rPr>
        <w:t>s</w:t>
      </w:r>
      <w:r>
        <w:rPr>
          <w:sz w:val="28"/>
          <w:szCs w:val="28"/>
        </w:rPr>
        <w:t xml:space="preserve"> to this rule</w:t>
      </w:r>
      <w:r w:rsidR="006333E1">
        <w:rPr>
          <w:sz w:val="28"/>
          <w:szCs w:val="28"/>
        </w:rPr>
        <w:t xml:space="preserve">.  </w:t>
      </w:r>
      <w:r>
        <w:rPr>
          <w:sz w:val="28"/>
          <w:szCs w:val="28"/>
        </w:rPr>
        <w:t>Th</w:t>
      </w:r>
      <w:r w:rsidR="006333E1">
        <w:rPr>
          <w:sz w:val="28"/>
          <w:szCs w:val="28"/>
        </w:rPr>
        <w:t xml:space="preserve">e </w:t>
      </w:r>
      <w:r>
        <w:rPr>
          <w:sz w:val="28"/>
          <w:szCs w:val="28"/>
        </w:rPr>
        <w:t>comment</w:t>
      </w:r>
      <w:r w:rsidR="003A206E">
        <w:rPr>
          <w:sz w:val="28"/>
          <w:szCs w:val="28"/>
        </w:rPr>
        <w:t>s</w:t>
      </w:r>
      <w:r>
        <w:rPr>
          <w:sz w:val="28"/>
          <w:szCs w:val="28"/>
        </w:rPr>
        <w:t xml:space="preserve"> attempts to provide some definitions of these terms </w:t>
      </w:r>
      <w:r w:rsidR="006333E1">
        <w:rPr>
          <w:sz w:val="28"/>
          <w:szCs w:val="28"/>
        </w:rPr>
        <w:t xml:space="preserve">but those definitions </w:t>
      </w:r>
      <w:r>
        <w:rPr>
          <w:sz w:val="28"/>
          <w:szCs w:val="28"/>
        </w:rPr>
        <w:t xml:space="preserve">are even more concerning from a suppression of speech </w:t>
      </w:r>
      <w:r w:rsidR="003A206E">
        <w:rPr>
          <w:sz w:val="28"/>
          <w:szCs w:val="28"/>
        </w:rPr>
        <w:t xml:space="preserve">and overbreadth </w:t>
      </w:r>
      <w:r>
        <w:rPr>
          <w:sz w:val="28"/>
          <w:szCs w:val="28"/>
        </w:rPr>
        <w:t>perspective than the proposed rule itself.  Because Petitioner did not specifically request the addition of th</w:t>
      </w:r>
      <w:r w:rsidR="006333E1">
        <w:rPr>
          <w:sz w:val="28"/>
          <w:szCs w:val="28"/>
        </w:rPr>
        <w:t>e</w:t>
      </w:r>
      <w:r>
        <w:rPr>
          <w:sz w:val="28"/>
          <w:szCs w:val="28"/>
        </w:rPr>
        <w:t xml:space="preserve"> comment</w:t>
      </w:r>
      <w:r w:rsidR="003A206E">
        <w:rPr>
          <w:sz w:val="28"/>
          <w:szCs w:val="28"/>
        </w:rPr>
        <w:t>s</w:t>
      </w:r>
      <w:r w:rsidR="006333E1">
        <w:rPr>
          <w:sz w:val="28"/>
          <w:szCs w:val="28"/>
        </w:rPr>
        <w:t xml:space="preserve"> to our rules</w:t>
      </w:r>
      <w:r>
        <w:rPr>
          <w:sz w:val="28"/>
          <w:szCs w:val="28"/>
        </w:rPr>
        <w:t>, there is no point in discussing it further except to request addition</w:t>
      </w:r>
      <w:r w:rsidR="006333E1">
        <w:rPr>
          <w:sz w:val="28"/>
          <w:szCs w:val="28"/>
        </w:rPr>
        <w:t>al</w:t>
      </w:r>
      <w:r>
        <w:rPr>
          <w:sz w:val="28"/>
          <w:szCs w:val="28"/>
        </w:rPr>
        <w:t xml:space="preserve"> time for comment should the </w:t>
      </w:r>
      <w:r w:rsidR="00CC101F">
        <w:rPr>
          <w:sz w:val="28"/>
          <w:szCs w:val="28"/>
        </w:rPr>
        <w:t>C</w:t>
      </w:r>
      <w:r>
        <w:rPr>
          <w:sz w:val="28"/>
          <w:szCs w:val="28"/>
        </w:rPr>
        <w:t>ourt consider a</w:t>
      </w:r>
      <w:r w:rsidR="00CC101F">
        <w:rPr>
          <w:sz w:val="28"/>
          <w:szCs w:val="28"/>
        </w:rPr>
        <w:t>dding the ABA comment</w:t>
      </w:r>
      <w:r w:rsidR="003A206E">
        <w:rPr>
          <w:sz w:val="28"/>
          <w:szCs w:val="28"/>
        </w:rPr>
        <w:t>s</w:t>
      </w:r>
      <w:r w:rsidR="00CC101F">
        <w:rPr>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7F536E8A" wp14:editId="3EC4A0BD">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98A0A9"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18574F33" wp14:editId="68861784">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8B3656"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7B41016F" wp14:editId="07E10167">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D8D81F"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0D" w:rsidRDefault="005C060D" w:rsidP="005C060D">
    <w:pPr>
      <w:pStyle w:val="Header"/>
    </w:pPr>
  </w:p>
  <w:p w:rsidR="005C060D" w:rsidRDefault="005C060D" w:rsidP="005C060D">
    <w:pPr>
      <w:pStyle w:val="Header"/>
    </w:pPr>
  </w:p>
  <w:p w:rsidR="005C060D" w:rsidRPr="005C060D" w:rsidRDefault="005C060D" w:rsidP="005C0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4F75"/>
    <w:rsid w:val="000206EB"/>
    <w:rsid w:val="00033D41"/>
    <w:rsid w:val="000356B6"/>
    <w:rsid w:val="000540CA"/>
    <w:rsid w:val="00062AD9"/>
    <w:rsid w:val="00091266"/>
    <w:rsid w:val="000A5238"/>
    <w:rsid w:val="000A639F"/>
    <w:rsid w:val="000A6D9F"/>
    <w:rsid w:val="000C72BC"/>
    <w:rsid w:val="001462C8"/>
    <w:rsid w:val="00151ED9"/>
    <w:rsid w:val="00160A0A"/>
    <w:rsid w:val="00172749"/>
    <w:rsid w:val="001736EE"/>
    <w:rsid w:val="00186E0B"/>
    <w:rsid w:val="001A7B95"/>
    <w:rsid w:val="001C177E"/>
    <w:rsid w:val="001C78A1"/>
    <w:rsid w:val="001F129E"/>
    <w:rsid w:val="001F4207"/>
    <w:rsid w:val="002344A9"/>
    <w:rsid w:val="00240AD0"/>
    <w:rsid w:val="00241C3C"/>
    <w:rsid w:val="002641DA"/>
    <w:rsid w:val="00264DAB"/>
    <w:rsid w:val="00291F6B"/>
    <w:rsid w:val="00296C13"/>
    <w:rsid w:val="002A47F1"/>
    <w:rsid w:val="002B58BF"/>
    <w:rsid w:val="002B7D2E"/>
    <w:rsid w:val="002C701F"/>
    <w:rsid w:val="002C702F"/>
    <w:rsid w:val="002D22F7"/>
    <w:rsid w:val="002F2A78"/>
    <w:rsid w:val="002F3EB1"/>
    <w:rsid w:val="002F499A"/>
    <w:rsid w:val="00313306"/>
    <w:rsid w:val="003165C9"/>
    <w:rsid w:val="00330B95"/>
    <w:rsid w:val="003616F4"/>
    <w:rsid w:val="00375DCD"/>
    <w:rsid w:val="00375E59"/>
    <w:rsid w:val="003849BF"/>
    <w:rsid w:val="00386A35"/>
    <w:rsid w:val="003968B9"/>
    <w:rsid w:val="003A206E"/>
    <w:rsid w:val="00406B49"/>
    <w:rsid w:val="004363FF"/>
    <w:rsid w:val="00444AB3"/>
    <w:rsid w:val="004607BA"/>
    <w:rsid w:val="00466C3A"/>
    <w:rsid w:val="00480D6D"/>
    <w:rsid w:val="004851FD"/>
    <w:rsid w:val="00494514"/>
    <w:rsid w:val="004A7039"/>
    <w:rsid w:val="004A7B53"/>
    <w:rsid w:val="004C3B70"/>
    <w:rsid w:val="004D370F"/>
    <w:rsid w:val="004D49CD"/>
    <w:rsid w:val="004F6F2A"/>
    <w:rsid w:val="004F7BC0"/>
    <w:rsid w:val="005413CC"/>
    <w:rsid w:val="0054761C"/>
    <w:rsid w:val="00564E9D"/>
    <w:rsid w:val="00572D5C"/>
    <w:rsid w:val="00583854"/>
    <w:rsid w:val="00585CC4"/>
    <w:rsid w:val="005C060D"/>
    <w:rsid w:val="005F3216"/>
    <w:rsid w:val="005F5F61"/>
    <w:rsid w:val="00601830"/>
    <w:rsid w:val="006027C0"/>
    <w:rsid w:val="00610B2D"/>
    <w:rsid w:val="00616DFB"/>
    <w:rsid w:val="00633330"/>
    <w:rsid w:val="006333E1"/>
    <w:rsid w:val="00642713"/>
    <w:rsid w:val="0065463E"/>
    <w:rsid w:val="006619B2"/>
    <w:rsid w:val="006711C7"/>
    <w:rsid w:val="00680D2C"/>
    <w:rsid w:val="006D3B9E"/>
    <w:rsid w:val="006F1A7C"/>
    <w:rsid w:val="00702468"/>
    <w:rsid w:val="00707B10"/>
    <w:rsid w:val="00714098"/>
    <w:rsid w:val="0073076C"/>
    <w:rsid w:val="0079128E"/>
    <w:rsid w:val="007B2EB9"/>
    <w:rsid w:val="007D0F12"/>
    <w:rsid w:val="00804992"/>
    <w:rsid w:val="00831EC9"/>
    <w:rsid w:val="008455F6"/>
    <w:rsid w:val="008462A9"/>
    <w:rsid w:val="00850C3E"/>
    <w:rsid w:val="008858DA"/>
    <w:rsid w:val="008A5C26"/>
    <w:rsid w:val="008B718A"/>
    <w:rsid w:val="008C3D93"/>
    <w:rsid w:val="008E3730"/>
    <w:rsid w:val="00942581"/>
    <w:rsid w:val="00947D99"/>
    <w:rsid w:val="00952701"/>
    <w:rsid w:val="0096556F"/>
    <w:rsid w:val="00980F4C"/>
    <w:rsid w:val="009C08F8"/>
    <w:rsid w:val="009C25C3"/>
    <w:rsid w:val="009C477B"/>
    <w:rsid w:val="009F35FF"/>
    <w:rsid w:val="00A035EA"/>
    <w:rsid w:val="00A122CA"/>
    <w:rsid w:val="00A27296"/>
    <w:rsid w:val="00A30908"/>
    <w:rsid w:val="00A34E85"/>
    <w:rsid w:val="00A42C92"/>
    <w:rsid w:val="00A52920"/>
    <w:rsid w:val="00A53755"/>
    <w:rsid w:val="00A56857"/>
    <w:rsid w:val="00A73F88"/>
    <w:rsid w:val="00A745EF"/>
    <w:rsid w:val="00A97971"/>
    <w:rsid w:val="00AA12EA"/>
    <w:rsid w:val="00AD14AC"/>
    <w:rsid w:val="00AD6B2B"/>
    <w:rsid w:val="00AE4D6B"/>
    <w:rsid w:val="00AE75B3"/>
    <w:rsid w:val="00AF5C12"/>
    <w:rsid w:val="00B02ABC"/>
    <w:rsid w:val="00B02B57"/>
    <w:rsid w:val="00B03DED"/>
    <w:rsid w:val="00B04EFF"/>
    <w:rsid w:val="00B13E25"/>
    <w:rsid w:val="00B3764E"/>
    <w:rsid w:val="00B464A5"/>
    <w:rsid w:val="00B532D8"/>
    <w:rsid w:val="00B604A9"/>
    <w:rsid w:val="00B73631"/>
    <w:rsid w:val="00B75DC0"/>
    <w:rsid w:val="00BD58C4"/>
    <w:rsid w:val="00BF23F8"/>
    <w:rsid w:val="00BF5583"/>
    <w:rsid w:val="00BF7191"/>
    <w:rsid w:val="00C001D7"/>
    <w:rsid w:val="00C03076"/>
    <w:rsid w:val="00C20E87"/>
    <w:rsid w:val="00C35878"/>
    <w:rsid w:val="00C453DE"/>
    <w:rsid w:val="00C74C5F"/>
    <w:rsid w:val="00C83859"/>
    <w:rsid w:val="00C966EF"/>
    <w:rsid w:val="00CA4AE7"/>
    <w:rsid w:val="00CC101F"/>
    <w:rsid w:val="00CD7181"/>
    <w:rsid w:val="00CE3DFA"/>
    <w:rsid w:val="00CF4C05"/>
    <w:rsid w:val="00D05488"/>
    <w:rsid w:val="00D33866"/>
    <w:rsid w:val="00D40318"/>
    <w:rsid w:val="00D52A27"/>
    <w:rsid w:val="00D54AE8"/>
    <w:rsid w:val="00DC1528"/>
    <w:rsid w:val="00DD03A0"/>
    <w:rsid w:val="00DD5CED"/>
    <w:rsid w:val="00DE1278"/>
    <w:rsid w:val="00DE2CD3"/>
    <w:rsid w:val="00DF0BEB"/>
    <w:rsid w:val="00DF191F"/>
    <w:rsid w:val="00DF7741"/>
    <w:rsid w:val="00E00C47"/>
    <w:rsid w:val="00E13078"/>
    <w:rsid w:val="00E337E0"/>
    <w:rsid w:val="00E52D1F"/>
    <w:rsid w:val="00E6336F"/>
    <w:rsid w:val="00E91B4A"/>
    <w:rsid w:val="00E9533D"/>
    <w:rsid w:val="00EA77ED"/>
    <w:rsid w:val="00EB16EB"/>
    <w:rsid w:val="00ED53CE"/>
    <w:rsid w:val="00EE0233"/>
    <w:rsid w:val="00EE200A"/>
    <w:rsid w:val="00F06B31"/>
    <w:rsid w:val="00F11262"/>
    <w:rsid w:val="00F34B7A"/>
    <w:rsid w:val="00F57CC2"/>
    <w:rsid w:val="00F60EA3"/>
    <w:rsid w:val="00F80A3B"/>
    <w:rsid w:val="00F90CB9"/>
    <w:rsid w:val="00FB0418"/>
    <w:rsid w:val="00FB597B"/>
    <w:rsid w:val="00FB7894"/>
    <w:rsid w:val="00FC5650"/>
    <w:rsid w:val="00FD0A0E"/>
    <w:rsid w:val="00FD143D"/>
    <w:rsid w:val="00FE55C6"/>
    <w:rsid w:val="00FE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character" w:customStyle="1" w:styleId="FootnoteTextChar">
    <w:name w:val="Footnote Text Char"/>
    <w:basedOn w:val="DefaultParagraphFont"/>
    <w:link w:val="FootnoteText"/>
    <w:uiPriority w:val="99"/>
    <w:semiHidden/>
    <w:rsid w:val="00406B49"/>
    <w:rPr>
      <w:snapToGrid w:val="0"/>
    </w:rPr>
  </w:style>
  <w:style w:type="paragraph" w:styleId="Header">
    <w:name w:val="header"/>
    <w:basedOn w:val="Normal"/>
    <w:link w:val="HeaderChar"/>
    <w:unhideWhenUsed/>
    <w:rsid w:val="005C060D"/>
    <w:pPr>
      <w:tabs>
        <w:tab w:val="center" w:pos="4680"/>
        <w:tab w:val="right" w:pos="9360"/>
      </w:tabs>
    </w:pPr>
  </w:style>
  <w:style w:type="character" w:customStyle="1" w:styleId="HeaderChar">
    <w:name w:val="Header Char"/>
    <w:basedOn w:val="DefaultParagraphFont"/>
    <w:link w:val="Header"/>
    <w:rsid w:val="005C060D"/>
    <w:rPr>
      <w:snapToGrid w:val="0"/>
      <w:sz w:val="24"/>
    </w:rPr>
  </w:style>
  <w:style w:type="paragraph" w:styleId="BalloonText">
    <w:name w:val="Balloon Text"/>
    <w:basedOn w:val="Normal"/>
    <w:link w:val="BalloonTextChar"/>
    <w:semiHidden/>
    <w:unhideWhenUsed/>
    <w:rsid w:val="00B73631"/>
    <w:rPr>
      <w:rFonts w:ascii="Tahoma" w:hAnsi="Tahoma" w:cs="Tahoma"/>
      <w:sz w:val="16"/>
      <w:szCs w:val="16"/>
    </w:rPr>
  </w:style>
  <w:style w:type="character" w:customStyle="1" w:styleId="BalloonTextChar">
    <w:name w:val="Balloon Text Char"/>
    <w:basedOn w:val="DefaultParagraphFont"/>
    <w:link w:val="BalloonText"/>
    <w:semiHidden/>
    <w:rsid w:val="00B73631"/>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character" w:customStyle="1" w:styleId="FootnoteTextChar">
    <w:name w:val="Footnote Text Char"/>
    <w:basedOn w:val="DefaultParagraphFont"/>
    <w:link w:val="FootnoteText"/>
    <w:uiPriority w:val="99"/>
    <w:semiHidden/>
    <w:rsid w:val="00406B49"/>
    <w:rPr>
      <w:snapToGrid w:val="0"/>
    </w:rPr>
  </w:style>
  <w:style w:type="paragraph" w:styleId="Header">
    <w:name w:val="header"/>
    <w:basedOn w:val="Normal"/>
    <w:link w:val="HeaderChar"/>
    <w:unhideWhenUsed/>
    <w:rsid w:val="005C060D"/>
    <w:pPr>
      <w:tabs>
        <w:tab w:val="center" w:pos="4680"/>
        <w:tab w:val="right" w:pos="9360"/>
      </w:tabs>
    </w:pPr>
  </w:style>
  <w:style w:type="character" w:customStyle="1" w:styleId="HeaderChar">
    <w:name w:val="Header Char"/>
    <w:basedOn w:val="DefaultParagraphFont"/>
    <w:link w:val="Header"/>
    <w:rsid w:val="005C060D"/>
    <w:rPr>
      <w:snapToGrid w:val="0"/>
      <w:sz w:val="24"/>
    </w:rPr>
  </w:style>
  <w:style w:type="paragraph" w:styleId="BalloonText">
    <w:name w:val="Balloon Text"/>
    <w:basedOn w:val="Normal"/>
    <w:link w:val="BalloonTextChar"/>
    <w:semiHidden/>
    <w:unhideWhenUsed/>
    <w:rsid w:val="00B73631"/>
    <w:rPr>
      <w:rFonts w:ascii="Tahoma" w:hAnsi="Tahoma" w:cs="Tahoma"/>
      <w:sz w:val="16"/>
      <w:szCs w:val="16"/>
    </w:rPr>
  </w:style>
  <w:style w:type="character" w:customStyle="1" w:styleId="BalloonTextChar">
    <w:name w:val="Balloon Text Char"/>
    <w:basedOn w:val="DefaultParagraphFont"/>
    <w:link w:val="BalloonText"/>
    <w:semiHidden/>
    <w:rsid w:val="00B7363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96D4-72B8-4217-BAB0-3F3F548D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688</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2018-05-16T21:50:00Z</cp:lastPrinted>
  <dcterms:created xsi:type="dcterms:W3CDTF">2018-05-16T21:37:00Z</dcterms:created>
  <dcterms:modified xsi:type="dcterms:W3CDTF">2018-05-16T21:51:00Z</dcterms:modified>
</cp:coreProperties>
</file>