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7F76A7" w:rsidTr="006F63FD">
        <w:trPr>
          <w:cantSplit/>
          <w:trHeight w:val="1987"/>
        </w:trPr>
        <w:tc>
          <w:tcPr>
            <w:tcW w:w="4836" w:type="dxa"/>
          </w:tcPr>
          <w:p w:rsidR="006F63FD" w:rsidRPr="007F76A7" w:rsidRDefault="00321387" w:rsidP="00A24BE8">
            <w:pPr>
              <w:pStyle w:val="FirmInformation"/>
              <w:spacing w:line="240" w:lineRule="auto"/>
              <w:ind w:right="-227"/>
              <w:rPr>
                <w:sz w:val="28"/>
                <w:szCs w:val="28"/>
              </w:rPr>
            </w:pPr>
            <w:bookmarkStart w:id="0" w:name="_zzmpFIXED_CounselTable"/>
            <w:r w:rsidRPr="007F76A7">
              <w:rPr>
                <w:sz w:val="28"/>
                <w:szCs w:val="28"/>
              </w:rPr>
              <w:t xml:space="preserve">Hon. </w:t>
            </w:r>
            <w:r w:rsidR="00A24BE8" w:rsidRPr="007F76A7">
              <w:rPr>
                <w:sz w:val="28"/>
                <w:szCs w:val="28"/>
              </w:rPr>
              <w:t xml:space="preserve">Ann </w:t>
            </w:r>
            <w:r w:rsidR="00C74669">
              <w:rPr>
                <w:sz w:val="28"/>
                <w:szCs w:val="28"/>
              </w:rPr>
              <w:t xml:space="preserve">A. </w:t>
            </w:r>
            <w:r w:rsidR="00A24BE8" w:rsidRPr="007F76A7">
              <w:rPr>
                <w:sz w:val="28"/>
                <w:szCs w:val="28"/>
              </w:rPr>
              <w:t xml:space="preserve">Scott Timmer, </w:t>
            </w:r>
            <w:r w:rsidR="00C74669">
              <w:rPr>
                <w:sz w:val="28"/>
                <w:szCs w:val="28"/>
              </w:rPr>
              <w:t>C</w:t>
            </w:r>
            <w:r w:rsidR="00A24BE8" w:rsidRPr="007F76A7">
              <w:rPr>
                <w:sz w:val="28"/>
                <w:szCs w:val="28"/>
              </w:rPr>
              <w:t>hair</w:t>
            </w:r>
          </w:p>
          <w:p w:rsidR="00A24BE8" w:rsidRPr="007F76A7" w:rsidRDefault="00A24BE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Attorney Regulation Advisory</w:t>
            </w:r>
            <w:r w:rsidR="0096207B">
              <w:rPr>
                <w:sz w:val="28"/>
                <w:szCs w:val="28"/>
              </w:rPr>
              <w:t xml:space="preserve"> </w:t>
            </w:r>
            <w:r w:rsidRPr="007F76A7">
              <w:rPr>
                <w:sz w:val="28"/>
                <w:szCs w:val="28"/>
              </w:rPr>
              <w:t>Committee</w:t>
            </w:r>
          </w:p>
          <w:p w:rsidR="00321387" w:rsidRPr="007F76A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1501 W. Washington St</w:t>
            </w:r>
            <w:r w:rsidR="00A24BE8" w:rsidRPr="007F76A7">
              <w:rPr>
                <w:sz w:val="28"/>
                <w:szCs w:val="28"/>
              </w:rPr>
              <w:t>.</w:t>
            </w:r>
          </w:p>
          <w:p w:rsidR="0032138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 xml:space="preserve">Phoenix, AZ </w:t>
            </w:r>
            <w:r w:rsidR="001033D4" w:rsidRPr="007F76A7">
              <w:rPr>
                <w:sz w:val="28"/>
                <w:szCs w:val="28"/>
              </w:rPr>
              <w:t xml:space="preserve"> </w:t>
            </w:r>
            <w:r w:rsidRPr="007F76A7">
              <w:rPr>
                <w:sz w:val="28"/>
                <w:szCs w:val="28"/>
              </w:rPr>
              <w:t>85007</w:t>
            </w:r>
          </w:p>
          <w:p w:rsidR="00F511F8" w:rsidRPr="007F76A7" w:rsidRDefault="00F511F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357F4D" w:rsidRPr="007F76A7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:rsidR="000C48A9" w:rsidRPr="007F76A7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7F76A7">
        <w:rPr>
          <w:b/>
          <w:sz w:val="28"/>
          <w:szCs w:val="28"/>
        </w:rPr>
        <w:t>IN THE SUPREME COURT</w:t>
      </w:r>
      <w:r w:rsidRPr="007F76A7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14"/>
      </w:tblGrid>
      <w:tr w:rsidR="00357F4D" w:rsidRPr="007F76A7" w:rsidTr="00A24BE8">
        <w:tc>
          <w:tcPr>
            <w:tcW w:w="45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4865AF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4865AF">
              <w:rPr>
                <w:sz w:val="28"/>
                <w:szCs w:val="28"/>
              </w:rPr>
              <w:t>In the Matter of:</w:t>
            </w:r>
          </w:p>
          <w:p w:rsidR="00B803E1" w:rsidRDefault="006A6147" w:rsidP="00B803E1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r w:rsidRPr="004865AF">
              <w:rPr>
                <w:sz w:val="28"/>
                <w:szCs w:val="28"/>
              </w:rPr>
              <w:t xml:space="preserve">PETITION TO AMEND </w:t>
            </w:r>
            <w:r w:rsidR="00DA3704" w:rsidRPr="004865AF">
              <w:rPr>
                <w:sz w:val="28"/>
                <w:szCs w:val="28"/>
              </w:rPr>
              <w:t>RULE</w:t>
            </w:r>
            <w:r w:rsidR="009E00A4" w:rsidRPr="004865AF">
              <w:rPr>
                <w:sz w:val="28"/>
                <w:szCs w:val="28"/>
              </w:rPr>
              <w:t>S</w:t>
            </w:r>
            <w:r w:rsidR="00DA3704" w:rsidRPr="004865AF">
              <w:rPr>
                <w:sz w:val="28"/>
                <w:szCs w:val="28"/>
              </w:rPr>
              <w:t xml:space="preserve"> </w:t>
            </w:r>
            <w:r w:rsidR="009E00A4" w:rsidRPr="004865AF">
              <w:rPr>
                <w:sz w:val="28"/>
                <w:szCs w:val="28"/>
              </w:rPr>
              <w:t xml:space="preserve">32, </w:t>
            </w:r>
            <w:r w:rsidR="00DA3704" w:rsidRPr="004865AF">
              <w:rPr>
                <w:sz w:val="28"/>
                <w:szCs w:val="28"/>
              </w:rPr>
              <w:t>4</w:t>
            </w:r>
            <w:r w:rsidR="009E00A4" w:rsidRPr="004865AF">
              <w:rPr>
                <w:sz w:val="28"/>
                <w:szCs w:val="28"/>
              </w:rPr>
              <w:t xml:space="preserve">6-49, 53, 55-58 </w:t>
            </w:r>
            <w:r w:rsidR="00CA168C">
              <w:rPr>
                <w:sz w:val="28"/>
                <w:szCs w:val="28"/>
              </w:rPr>
              <w:t>AND</w:t>
            </w:r>
            <w:r w:rsidR="009E00A4" w:rsidRPr="004865AF">
              <w:rPr>
                <w:sz w:val="28"/>
                <w:szCs w:val="28"/>
              </w:rPr>
              <w:t xml:space="preserve"> 60-63</w:t>
            </w:r>
            <w:r w:rsidR="00DA3704" w:rsidRPr="004865AF">
              <w:rPr>
                <w:sz w:val="28"/>
                <w:szCs w:val="28"/>
              </w:rPr>
              <w:t xml:space="preserve">, </w:t>
            </w:r>
            <w:r w:rsidR="009E00A4" w:rsidRPr="004865AF">
              <w:rPr>
                <w:sz w:val="28"/>
                <w:szCs w:val="28"/>
              </w:rPr>
              <w:t>RULES OF SUPREME COURT</w:t>
            </w:r>
            <w:r w:rsidRPr="004865AF">
              <w:rPr>
                <w:sz w:val="28"/>
                <w:szCs w:val="28"/>
              </w:rPr>
              <w:t xml:space="preserve"> </w:t>
            </w:r>
          </w:p>
          <w:p w:rsidR="00B803E1" w:rsidRDefault="00B803E1" w:rsidP="00B803E1"/>
          <w:p w:rsidR="00B803E1" w:rsidRPr="00B803E1" w:rsidRDefault="00B803E1" w:rsidP="00B803E1"/>
        </w:tc>
        <w:tc>
          <w:tcPr>
            <w:tcW w:w="461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4865AF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4865AF">
              <w:rPr>
                <w:sz w:val="28"/>
                <w:szCs w:val="28"/>
              </w:rPr>
              <w:t>Supreme Court No. R-</w:t>
            </w:r>
            <w:r w:rsidR="005F1E49" w:rsidRPr="004865AF">
              <w:rPr>
                <w:sz w:val="28"/>
                <w:szCs w:val="28"/>
              </w:rPr>
              <w:t>1</w:t>
            </w:r>
            <w:r w:rsidR="00DA3704" w:rsidRPr="004865AF">
              <w:rPr>
                <w:sz w:val="28"/>
                <w:szCs w:val="28"/>
              </w:rPr>
              <w:t>8</w:t>
            </w:r>
            <w:r w:rsidR="00F850BE" w:rsidRPr="004865AF">
              <w:rPr>
                <w:sz w:val="28"/>
                <w:szCs w:val="28"/>
              </w:rPr>
              <w:t>-</w:t>
            </w:r>
            <w:r w:rsidR="009E00A4" w:rsidRPr="004865AF">
              <w:rPr>
                <w:sz w:val="28"/>
                <w:szCs w:val="28"/>
              </w:rPr>
              <w:t>0014</w:t>
            </w:r>
          </w:p>
          <w:p w:rsidR="00357F4D" w:rsidRPr="004865AF" w:rsidRDefault="00A24BE8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sz w:val="28"/>
                <w:szCs w:val="28"/>
              </w:rPr>
            </w:pPr>
            <w:r w:rsidRPr="004865AF">
              <w:rPr>
                <w:sz w:val="28"/>
                <w:szCs w:val="28"/>
              </w:rPr>
              <w:t>Comment of Attorney Regulation Advisory Committee</w:t>
            </w:r>
          </w:p>
          <w:p w:rsidR="00357F4D" w:rsidRPr="004865AF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:rsidR="00357F4D" w:rsidRPr="004865AF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</w:tbl>
    <w:bookmarkEnd w:id="1"/>
    <w:p w:rsidR="00DA3704" w:rsidRPr="00D51893" w:rsidRDefault="00DA3704" w:rsidP="00966354">
      <w:pPr>
        <w:spacing w:before="24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51893">
        <w:rPr>
          <w:color w:val="000000" w:themeColor="text1"/>
          <w:sz w:val="28"/>
          <w:szCs w:val="28"/>
        </w:rPr>
        <w:t>The</w:t>
      </w:r>
      <w:r w:rsidR="00472095" w:rsidRPr="00D51893">
        <w:rPr>
          <w:color w:val="000000" w:themeColor="text1"/>
          <w:sz w:val="28"/>
          <w:szCs w:val="28"/>
        </w:rPr>
        <w:t xml:space="preserve"> Arizona Supreme Court’s Attorney Regulation Advisory Committee (“ARC”) </w:t>
      </w:r>
      <w:r w:rsidR="009E00A4">
        <w:rPr>
          <w:color w:val="000000" w:themeColor="text1"/>
          <w:sz w:val="28"/>
          <w:szCs w:val="28"/>
        </w:rPr>
        <w:t>discussed</w:t>
      </w:r>
      <w:r w:rsidR="009E00A4" w:rsidRPr="00D51893">
        <w:rPr>
          <w:color w:val="000000" w:themeColor="text1"/>
          <w:sz w:val="28"/>
          <w:szCs w:val="28"/>
        </w:rPr>
        <w:t xml:space="preserve"> </w:t>
      </w:r>
      <w:r w:rsidRPr="00D51893">
        <w:rPr>
          <w:color w:val="000000" w:themeColor="text1"/>
          <w:sz w:val="28"/>
          <w:szCs w:val="28"/>
        </w:rPr>
        <w:t xml:space="preserve">the </w:t>
      </w:r>
      <w:r w:rsidR="009E00A4" w:rsidRPr="00966354">
        <w:rPr>
          <w:i/>
          <w:color w:val="000000" w:themeColor="text1"/>
          <w:sz w:val="28"/>
          <w:szCs w:val="28"/>
        </w:rPr>
        <w:t>sua sponte</w:t>
      </w:r>
      <w:r w:rsidR="009E00A4">
        <w:rPr>
          <w:color w:val="000000" w:themeColor="text1"/>
          <w:sz w:val="28"/>
          <w:szCs w:val="28"/>
        </w:rPr>
        <w:t xml:space="preserve"> </w:t>
      </w:r>
      <w:r w:rsidRPr="00D51893">
        <w:rPr>
          <w:color w:val="000000" w:themeColor="text1"/>
          <w:sz w:val="28"/>
          <w:szCs w:val="28"/>
        </w:rPr>
        <w:t xml:space="preserve">petition to amend </w:t>
      </w:r>
      <w:r w:rsidR="009E00A4">
        <w:rPr>
          <w:color w:val="000000" w:themeColor="text1"/>
          <w:sz w:val="28"/>
          <w:szCs w:val="28"/>
        </w:rPr>
        <w:t xml:space="preserve">the </w:t>
      </w:r>
      <w:proofErr w:type="gramStart"/>
      <w:r w:rsidR="009E00A4">
        <w:rPr>
          <w:color w:val="000000" w:themeColor="text1"/>
          <w:sz w:val="28"/>
          <w:szCs w:val="28"/>
        </w:rPr>
        <w:t>aforementioned rules</w:t>
      </w:r>
      <w:proofErr w:type="gramEnd"/>
      <w:r w:rsidR="00161B88">
        <w:rPr>
          <w:color w:val="000000" w:themeColor="text1"/>
          <w:sz w:val="28"/>
          <w:szCs w:val="28"/>
        </w:rPr>
        <w:t>.</w:t>
      </w:r>
    </w:p>
    <w:p w:rsidR="00155A12" w:rsidRDefault="00CD402A" w:rsidP="00966354">
      <w:pPr>
        <w:spacing w:before="240" w:line="360" w:lineRule="auto"/>
        <w:ind w:left="90" w:firstLine="630"/>
        <w:jc w:val="both"/>
        <w:rPr>
          <w:color w:val="000000" w:themeColor="text1"/>
          <w:sz w:val="28"/>
          <w:szCs w:val="28"/>
        </w:rPr>
      </w:pPr>
      <w:r w:rsidRPr="00D51893">
        <w:rPr>
          <w:color w:val="000000" w:themeColor="text1"/>
          <w:sz w:val="28"/>
          <w:szCs w:val="28"/>
        </w:rPr>
        <w:t>ARC</w:t>
      </w:r>
      <w:r w:rsidR="009E00A4">
        <w:rPr>
          <w:color w:val="000000" w:themeColor="text1"/>
          <w:sz w:val="28"/>
          <w:szCs w:val="28"/>
        </w:rPr>
        <w:t xml:space="preserve"> </w:t>
      </w:r>
      <w:r w:rsidR="00036179">
        <w:rPr>
          <w:color w:val="000000" w:themeColor="text1"/>
          <w:sz w:val="28"/>
          <w:szCs w:val="28"/>
        </w:rPr>
        <w:t xml:space="preserve">has </w:t>
      </w:r>
      <w:r w:rsidR="009E00A4">
        <w:rPr>
          <w:color w:val="000000" w:themeColor="text1"/>
          <w:sz w:val="28"/>
          <w:szCs w:val="28"/>
        </w:rPr>
        <w:t xml:space="preserve">reviewed </w:t>
      </w:r>
      <w:r w:rsidR="00036179">
        <w:rPr>
          <w:color w:val="000000" w:themeColor="text1"/>
          <w:sz w:val="28"/>
          <w:szCs w:val="28"/>
        </w:rPr>
        <w:t xml:space="preserve">and discussed </w:t>
      </w:r>
      <w:r w:rsidR="009E00A4">
        <w:rPr>
          <w:color w:val="000000" w:themeColor="text1"/>
          <w:sz w:val="28"/>
          <w:szCs w:val="28"/>
        </w:rPr>
        <w:t>the petition</w:t>
      </w:r>
      <w:r w:rsidR="00036179">
        <w:rPr>
          <w:color w:val="000000" w:themeColor="text1"/>
          <w:sz w:val="28"/>
          <w:szCs w:val="28"/>
        </w:rPr>
        <w:t xml:space="preserve"> but has not had sufficient time </w:t>
      </w:r>
      <w:r w:rsidR="009E00A4">
        <w:rPr>
          <w:color w:val="000000" w:themeColor="text1"/>
          <w:sz w:val="28"/>
          <w:szCs w:val="28"/>
        </w:rPr>
        <w:t>to stud</w:t>
      </w:r>
      <w:r w:rsidR="00A94BEC">
        <w:rPr>
          <w:color w:val="000000" w:themeColor="text1"/>
          <w:sz w:val="28"/>
          <w:szCs w:val="28"/>
        </w:rPr>
        <w:t>y</w:t>
      </w:r>
      <w:r w:rsidR="009E00A4">
        <w:rPr>
          <w:color w:val="000000" w:themeColor="text1"/>
          <w:sz w:val="28"/>
          <w:szCs w:val="28"/>
        </w:rPr>
        <w:t xml:space="preserve"> </w:t>
      </w:r>
      <w:r w:rsidR="00036179">
        <w:rPr>
          <w:color w:val="000000" w:themeColor="text1"/>
          <w:sz w:val="28"/>
          <w:szCs w:val="28"/>
        </w:rPr>
        <w:t xml:space="preserve">it </w:t>
      </w:r>
      <w:r w:rsidR="009E00A4">
        <w:rPr>
          <w:color w:val="000000" w:themeColor="text1"/>
          <w:sz w:val="28"/>
          <w:szCs w:val="28"/>
        </w:rPr>
        <w:t>in detail</w:t>
      </w:r>
      <w:r w:rsidR="00155A12">
        <w:rPr>
          <w:color w:val="000000" w:themeColor="text1"/>
          <w:sz w:val="28"/>
          <w:szCs w:val="28"/>
        </w:rPr>
        <w:t>.</w:t>
      </w:r>
      <w:r w:rsidR="009E00A4">
        <w:rPr>
          <w:color w:val="000000" w:themeColor="text1"/>
          <w:sz w:val="28"/>
          <w:szCs w:val="28"/>
        </w:rPr>
        <w:t xml:space="preserve"> </w:t>
      </w:r>
      <w:r w:rsidR="00155A12">
        <w:rPr>
          <w:color w:val="000000" w:themeColor="text1"/>
          <w:sz w:val="28"/>
          <w:szCs w:val="28"/>
        </w:rPr>
        <w:t xml:space="preserve"> </w:t>
      </w:r>
      <w:r w:rsidR="00A94BEC">
        <w:rPr>
          <w:color w:val="000000" w:themeColor="text1"/>
          <w:sz w:val="28"/>
          <w:szCs w:val="28"/>
        </w:rPr>
        <w:t xml:space="preserve">ARC </w:t>
      </w:r>
      <w:r w:rsidR="00966354">
        <w:rPr>
          <w:color w:val="000000" w:themeColor="text1"/>
          <w:sz w:val="28"/>
          <w:szCs w:val="28"/>
        </w:rPr>
        <w:t>members expressed</w:t>
      </w:r>
      <w:r w:rsidR="00C55A1E">
        <w:rPr>
          <w:color w:val="000000" w:themeColor="text1"/>
          <w:sz w:val="28"/>
          <w:szCs w:val="28"/>
        </w:rPr>
        <w:t xml:space="preserve"> serious reservations with regard to</w:t>
      </w:r>
      <w:r w:rsidR="00036179">
        <w:rPr>
          <w:color w:val="000000" w:themeColor="text1"/>
          <w:sz w:val="28"/>
          <w:szCs w:val="28"/>
        </w:rPr>
        <w:t xml:space="preserve"> the proposed Attorney Discipline Oversight Committee</w:t>
      </w:r>
      <w:r w:rsidR="00C55A1E">
        <w:rPr>
          <w:color w:val="000000" w:themeColor="text1"/>
          <w:sz w:val="28"/>
          <w:szCs w:val="28"/>
        </w:rPr>
        <w:t>.   With the board of governors to be charged with committee appointments, there are</w:t>
      </w:r>
      <w:r w:rsidR="00036179">
        <w:rPr>
          <w:color w:val="000000" w:themeColor="text1"/>
          <w:sz w:val="28"/>
          <w:szCs w:val="28"/>
        </w:rPr>
        <w:t xml:space="preserve"> implications </w:t>
      </w:r>
      <w:r w:rsidR="00C55A1E">
        <w:rPr>
          <w:color w:val="000000" w:themeColor="text1"/>
          <w:sz w:val="28"/>
          <w:szCs w:val="28"/>
        </w:rPr>
        <w:t xml:space="preserve">to be considered </w:t>
      </w:r>
      <w:r w:rsidR="00155A12">
        <w:rPr>
          <w:color w:val="000000" w:themeColor="text1"/>
          <w:sz w:val="28"/>
          <w:szCs w:val="28"/>
        </w:rPr>
        <w:t>under</w:t>
      </w:r>
      <w:r w:rsidR="00036179">
        <w:rPr>
          <w:color w:val="000000" w:themeColor="text1"/>
          <w:sz w:val="28"/>
          <w:szCs w:val="28"/>
        </w:rPr>
        <w:t xml:space="preserve"> </w:t>
      </w:r>
      <w:r w:rsidR="00036179" w:rsidRPr="00EB5BCE">
        <w:rPr>
          <w:i/>
          <w:color w:val="000000" w:themeColor="text1"/>
          <w:sz w:val="28"/>
          <w:szCs w:val="28"/>
        </w:rPr>
        <w:t>North Carolina Dental Board v. FTC</w:t>
      </w:r>
      <w:r w:rsidR="00036179">
        <w:rPr>
          <w:color w:val="000000" w:themeColor="text1"/>
          <w:sz w:val="28"/>
          <w:szCs w:val="28"/>
        </w:rPr>
        <w:t xml:space="preserve">, </w:t>
      </w:r>
      <w:r w:rsidR="00C55A1E">
        <w:rPr>
          <w:color w:val="000000" w:themeColor="text1"/>
          <w:sz w:val="28"/>
          <w:szCs w:val="28"/>
        </w:rPr>
        <w:t>specifically related to issues of</w:t>
      </w:r>
      <w:r w:rsidR="00036179">
        <w:rPr>
          <w:color w:val="000000" w:themeColor="text1"/>
          <w:sz w:val="28"/>
          <w:szCs w:val="28"/>
        </w:rPr>
        <w:t xml:space="preserve"> conflict of interest and prosecutorial independence</w:t>
      </w:r>
      <w:r w:rsidR="00C55A1E">
        <w:rPr>
          <w:color w:val="000000" w:themeColor="text1"/>
          <w:sz w:val="28"/>
          <w:szCs w:val="28"/>
        </w:rPr>
        <w:t>.</w:t>
      </w:r>
    </w:p>
    <w:p w:rsidR="00CA168C" w:rsidRDefault="00180998" w:rsidP="00966354">
      <w:pPr>
        <w:spacing w:before="240" w:line="360" w:lineRule="auto"/>
        <w:ind w:left="90"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///</w:t>
      </w:r>
    </w:p>
    <w:p w:rsidR="00CA168C" w:rsidRDefault="00180998" w:rsidP="00966354">
      <w:pPr>
        <w:spacing w:before="240" w:line="360" w:lineRule="auto"/>
        <w:ind w:left="90"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///</w:t>
      </w:r>
    </w:p>
    <w:p w:rsidR="00CA168C" w:rsidRDefault="00180998" w:rsidP="00966354">
      <w:pPr>
        <w:spacing w:before="240" w:line="360" w:lineRule="auto"/>
        <w:ind w:left="90"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///</w:t>
      </w:r>
    </w:p>
    <w:p w:rsidR="00180998" w:rsidRDefault="00180998" w:rsidP="00966354">
      <w:pPr>
        <w:spacing w:before="240" w:line="360" w:lineRule="auto"/>
        <w:ind w:left="90"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///</w:t>
      </w:r>
    </w:p>
    <w:p w:rsidR="009E00A4" w:rsidRDefault="00155A12" w:rsidP="00966354">
      <w:pPr>
        <w:spacing w:before="240" w:line="360" w:lineRule="auto"/>
        <w:ind w:left="90" w:firstLine="63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This committee does not provide a more comprehensive comment</w:t>
      </w:r>
      <w:r w:rsidR="00C55A1E">
        <w:rPr>
          <w:color w:val="000000" w:themeColor="text1"/>
          <w:sz w:val="28"/>
          <w:szCs w:val="28"/>
        </w:rPr>
        <w:t xml:space="preserve"> as it could not study in further detail </w:t>
      </w:r>
      <w:r>
        <w:rPr>
          <w:color w:val="000000" w:themeColor="text1"/>
          <w:sz w:val="28"/>
          <w:szCs w:val="28"/>
        </w:rPr>
        <w:t>due to time constraints</w:t>
      </w:r>
      <w:r w:rsidR="00C55A1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bookmarkStart w:id="2" w:name="co_anchor_I1AAB19861CD411E0B377B79E69EBD"/>
      <w:bookmarkEnd w:id="2"/>
      <w:r w:rsidR="009F4B6D">
        <w:rPr>
          <w:sz w:val="28"/>
          <w:szCs w:val="28"/>
        </w:rPr>
        <w:t xml:space="preserve">ARC respectfully asks the Court to </w:t>
      </w:r>
      <w:r w:rsidR="00207E0C">
        <w:rPr>
          <w:sz w:val="28"/>
          <w:szCs w:val="28"/>
        </w:rPr>
        <w:t xml:space="preserve">carefully </w:t>
      </w:r>
      <w:r w:rsidR="009F4B6D">
        <w:rPr>
          <w:sz w:val="28"/>
          <w:szCs w:val="28"/>
        </w:rPr>
        <w:t xml:space="preserve">consider </w:t>
      </w:r>
      <w:r>
        <w:rPr>
          <w:sz w:val="28"/>
          <w:szCs w:val="28"/>
        </w:rPr>
        <w:t>this and other comments that identify concerns</w:t>
      </w:r>
      <w:r w:rsidR="009F4B6D">
        <w:rPr>
          <w:sz w:val="28"/>
          <w:szCs w:val="28"/>
        </w:rPr>
        <w:t xml:space="preserve"> in </w:t>
      </w:r>
      <w:r w:rsidR="00207E0C">
        <w:rPr>
          <w:sz w:val="28"/>
          <w:szCs w:val="28"/>
        </w:rPr>
        <w:t>the proposed rule petition</w:t>
      </w:r>
      <w:r w:rsidR="009F4B6D">
        <w:rPr>
          <w:sz w:val="28"/>
          <w:szCs w:val="28"/>
        </w:rPr>
        <w:t>.</w:t>
      </w:r>
    </w:p>
    <w:p w:rsidR="009F4B6D" w:rsidRDefault="009F4B6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0C48A9" w:rsidRPr="007F76A7" w:rsidRDefault="00A83484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C48A9" w:rsidRPr="007F76A7">
        <w:rPr>
          <w:sz w:val="28"/>
          <w:szCs w:val="28"/>
        </w:rPr>
        <w:t xml:space="preserve">RESPECTFULLY SUBMITTED this </w:t>
      </w:r>
      <w:r w:rsidR="00A24BE8" w:rsidRPr="007F76A7">
        <w:rPr>
          <w:b/>
          <w:sz w:val="28"/>
          <w:szCs w:val="28"/>
        </w:rPr>
        <w:t>__</w:t>
      </w:r>
      <w:r w:rsidR="006820CB" w:rsidRPr="007F76A7">
        <w:rPr>
          <w:b/>
          <w:sz w:val="28"/>
          <w:szCs w:val="28"/>
        </w:rPr>
        <w:t xml:space="preserve"> </w:t>
      </w:r>
      <w:r w:rsidR="000C48A9" w:rsidRPr="007F76A7">
        <w:rPr>
          <w:sz w:val="28"/>
          <w:szCs w:val="28"/>
        </w:rPr>
        <w:t>day of</w:t>
      </w:r>
      <w:r w:rsidR="00B7182E" w:rsidRPr="007F76A7">
        <w:rPr>
          <w:sz w:val="28"/>
          <w:szCs w:val="28"/>
        </w:rPr>
        <w:t xml:space="preserve"> </w:t>
      </w:r>
      <w:proofErr w:type="gramStart"/>
      <w:r w:rsidR="00F511F8" w:rsidRPr="007F76A7">
        <w:rPr>
          <w:sz w:val="28"/>
          <w:szCs w:val="28"/>
        </w:rPr>
        <w:t>May</w:t>
      </w:r>
      <w:r w:rsidR="00F511F8">
        <w:rPr>
          <w:sz w:val="28"/>
          <w:szCs w:val="28"/>
        </w:rPr>
        <w:t>,</w:t>
      </w:r>
      <w:proofErr w:type="gramEnd"/>
      <w:r w:rsidR="007329E2" w:rsidRPr="007F76A7">
        <w:rPr>
          <w:sz w:val="28"/>
          <w:szCs w:val="28"/>
        </w:rPr>
        <w:t xml:space="preserve"> 2018</w:t>
      </w:r>
      <w:r w:rsidR="000C48A9" w:rsidRPr="007F76A7">
        <w:rPr>
          <w:sz w:val="28"/>
          <w:szCs w:val="28"/>
        </w:rPr>
        <w:t>.</w:t>
      </w:r>
    </w:p>
    <w:p w:rsidR="000C48A9" w:rsidRPr="007F76A7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A24BE8" w:rsidRPr="007F76A7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bookmarkStart w:id="3" w:name="_GoBack"/>
      <w:bookmarkEnd w:id="3"/>
      <w:r w:rsidRPr="007F76A7">
        <w:rPr>
          <w:sz w:val="28"/>
          <w:szCs w:val="28"/>
        </w:rPr>
        <w:t>_________________________________</w:t>
      </w:r>
    </w:p>
    <w:p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 xml:space="preserve">Hon. Ann </w:t>
      </w:r>
      <w:r w:rsidR="00C74669">
        <w:rPr>
          <w:sz w:val="28"/>
          <w:szCs w:val="28"/>
        </w:rPr>
        <w:t xml:space="preserve">A. </w:t>
      </w:r>
      <w:r w:rsidRPr="007F76A7">
        <w:rPr>
          <w:sz w:val="28"/>
          <w:szCs w:val="28"/>
        </w:rPr>
        <w:t xml:space="preserve">Scott Timmer, </w:t>
      </w:r>
      <w:r w:rsidR="00C74669">
        <w:rPr>
          <w:sz w:val="28"/>
          <w:szCs w:val="28"/>
        </w:rPr>
        <w:t>C</w:t>
      </w:r>
      <w:r w:rsidRPr="007F76A7">
        <w:rPr>
          <w:sz w:val="28"/>
          <w:szCs w:val="28"/>
        </w:rPr>
        <w:t>hair</w:t>
      </w:r>
    </w:p>
    <w:p w:rsidR="00A24BE8" w:rsidRPr="007F76A7" w:rsidRDefault="00A24BE8" w:rsidP="00A24BE8">
      <w:pPr>
        <w:pStyle w:val="FirmInformation"/>
        <w:spacing w:line="240" w:lineRule="auto"/>
        <w:ind w:left="4320"/>
        <w:rPr>
          <w:sz w:val="28"/>
          <w:szCs w:val="28"/>
        </w:rPr>
      </w:pPr>
      <w:r w:rsidRPr="007F76A7">
        <w:rPr>
          <w:sz w:val="28"/>
          <w:szCs w:val="28"/>
        </w:rPr>
        <w:t>Attorney Regulation Advisory Committee</w:t>
      </w:r>
    </w:p>
    <w:p w:rsidR="000C48A9" w:rsidRPr="007F76A7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C52E56" w:rsidRPr="007F76A7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C52E56" w:rsidRPr="007F76A7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A24BE8" w:rsidRPr="000F7A7F" w:rsidRDefault="00A24BE8" w:rsidP="00933EA1">
      <w:pPr>
        <w:rPr>
          <w:sz w:val="26"/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F0" w:rsidRDefault="002F29F0">
      <w:r>
        <w:separator/>
      </w:r>
    </w:p>
  </w:endnote>
  <w:endnote w:type="continuationSeparator" w:id="0">
    <w:p w:rsidR="002F29F0" w:rsidRDefault="002F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74294A">
          <w:rPr>
            <w:noProof/>
            <w:sz w:val="26"/>
            <w:szCs w:val="26"/>
          </w:rPr>
          <w:t>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F0" w:rsidRDefault="002F29F0">
      <w:r>
        <w:separator/>
      </w:r>
    </w:p>
  </w:footnote>
  <w:footnote w:type="continuationSeparator" w:id="0">
    <w:p w:rsidR="002F29F0" w:rsidRDefault="002F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2B5B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98E5B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62234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3E5"/>
    <w:multiLevelType w:val="hybridMultilevel"/>
    <w:tmpl w:val="54C8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7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3"/>
  </w:num>
  <w:num w:numId="8">
    <w:abstractNumId w:val="18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5"/>
  </w:num>
  <w:num w:numId="14">
    <w:abstractNumId w:val="7"/>
  </w:num>
  <w:num w:numId="15">
    <w:abstractNumId w:val="10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36179"/>
    <w:rsid w:val="000410B3"/>
    <w:rsid w:val="00043D4D"/>
    <w:rsid w:val="00052372"/>
    <w:rsid w:val="000666D1"/>
    <w:rsid w:val="000917C0"/>
    <w:rsid w:val="00094582"/>
    <w:rsid w:val="00096B6A"/>
    <w:rsid w:val="000A0155"/>
    <w:rsid w:val="000A1D6B"/>
    <w:rsid w:val="000A75C6"/>
    <w:rsid w:val="000C48A9"/>
    <w:rsid w:val="000F7A7F"/>
    <w:rsid w:val="000F7C13"/>
    <w:rsid w:val="0010288B"/>
    <w:rsid w:val="001033D4"/>
    <w:rsid w:val="00126565"/>
    <w:rsid w:val="00135326"/>
    <w:rsid w:val="00155A12"/>
    <w:rsid w:val="00161B88"/>
    <w:rsid w:val="00173F7D"/>
    <w:rsid w:val="00180998"/>
    <w:rsid w:val="001A2520"/>
    <w:rsid w:val="001F591C"/>
    <w:rsid w:val="00207E0C"/>
    <w:rsid w:val="00216A99"/>
    <w:rsid w:val="00232DFD"/>
    <w:rsid w:val="002545FB"/>
    <w:rsid w:val="002550E3"/>
    <w:rsid w:val="00274D6A"/>
    <w:rsid w:val="002B3940"/>
    <w:rsid w:val="002B58E1"/>
    <w:rsid w:val="002F29F0"/>
    <w:rsid w:val="00321387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35C2"/>
    <w:rsid w:val="0040497A"/>
    <w:rsid w:val="00407E2D"/>
    <w:rsid w:val="004331B2"/>
    <w:rsid w:val="00440489"/>
    <w:rsid w:val="00440E4C"/>
    <w:rsid w:val="00463734"/>
    <w:rsid w:val="00472095"/>
    <w:rsid w:val="004865AF"/>
    <w:rsid w:val="00487632"/>
    <w:rsid w:val="00494BDF"/>
    <w:rsid w:val="004C3AE3"/>
    <w:rsid w:val="00504E1E"/>
    <w:rsid w:val="0050563A"/>
    <w:rsid w:val="00506859"/>
    <w:rsid w:val="00520F93"/>
    <w:rsid w:val="00566856"/>
    <w:rsid w:val="005A21B0"/>
    <w:rsid w:val="005B1FED"/>
    <w:rsid w:val="005B3EC7"/>
    <w:rsid w:val="005B5161"/>
    <w:rsid w:val="005D6AD4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E25FC"/>
    <w:rsid w:val="006F63FD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70CB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91AAA"/>
    <w:rsid w:val="008C167C"/>
    <w:rsid w:val="00915625"/>
    <w:rsid w:val="0092401D"/>
    <w:rsid w:val="00933EA1"/>
    <w:rsid w:val="00940960"/>
    <w:rsid w:val="00951416"/>
    <w:rsid w:val="00960D21"/>
    <w:rsid w:val="0096207B"/>
    <w:rsid w:val="00966354"/>
    <w:rsid w:val="00977277"/>
    <w:rsid w:val="00981D29"/>
    <w:rsid w:val="00981E11"/>
    <w:rsid w:val="009C6843"/>
    <w:rsid w:val="009E00A4"/>
    <w:rsid w:val="009F4B6D"/>
    <w:rsid w:val="00A1564B"/>
    <w:rsid w:val="00A24BE8"/>
    <w:rsid w:val="00A35C2C"/>
    <w:rsid w:val="00A5194F"/>
    <w:rsid w:val="00A56E1E"/>
    <w:rsid w:val="00A621E4"/>
    <w:rsid w:val="00A83484"/>
    <w:rsid w:val="00A8678A"/>
    <w:rsid w:val="00A871D6"/>
    <w:rsid w:val="00A915B8"/>
    <w:rsid w:val="00A93A7C"/>
    <w:rsid w:val="00A94BEC"/>
    <w:rsid w:val="00AF282C"/>
    <w:rsid w:val="00AF3FF7"/>
    <w:rsid w:val="00B05183"/>
    <w:rsid w:val="00B1491D"/>
    <w:rsid w:val="00B30CE0"/>
    <w:rsid w:val="00B44D38"/>
    <w:rsid w:val="00B47B7D"/>
    <w:rsid w:val="00B7182E"/>
    <w:rsid w:val="00B803E1"/>
    <w:rsid w:val="00BC4971"/>
    <w:rsid w:val="00BC62CF"/>
    <w:rsid w:val="00BD5908"/>
    <w:rsid w:val="00C03E0F"/>
    <w:rsid w:val="00C3523D"/>
    <w:rsid w:val="00C52E56"/>
    <w:rsid w:val="00C5407A"/>
    <w:rsid w:val="00C55A1E"/>
    <w:rsid w:val="00C662B0"/>
    <w:rsid w:val="00C74669"/>
    <w:rsid w:val="00C84FD4"/>
    <w:rsid w:val="00C958EE"/>
    <w:rsid w:val="00CA168C"/>
    <w:rsid w:val="00CD21FB"/>
    <w:rsid w:val="00CD402A"/>
    <w:rsid w:val="00CE39A2"/>
    <w:rsid w:val="00D00EC6"/>
    <w:rsid w:val="00D14CF1"/>
    <w:rsid w:val="00D423FE"/>
    <w:rsid w:val="00D43496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31458F3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2681-B0D2-459F-96A7-95861FB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Carol</dc:creator>
  <cp:lastModifiedBy>Novak, Katherine</cp:lastModifiedBy>
  <cp:revision>9</cp:revision>
  <cp:lastPrinted>2018-05-18T18:54:00Z</cp:lastPrinted>
  <dcterms:created xsi:type="dcterms:W3CDTF">2018-05-18T14:15:00Z</dcterms:created>
  <dcterms:modified xsi:type="dcterms:W3CDTF">2018-05-18T19:13:00Z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</Properties>
</file>