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D14CF1" w:rsidTr="006F63FD">
        <w:trPr>
          <w:cantSplit/>
          <w:trHeight w:val="1987"/>
        </w:trPr>
        <w:tc>
          <w:tcPr>
            <w:tcW w:w="4836" w:type="dxa"/>
          </w:tcPr>
          <w:p w:rsidR="006F63FD" w:rsidRDefault="00321387" w:rsidP="00A24BE8">
            <w:pPr>
              <w:pStyle w:val="FirmInformation"/>
              <w:spacing w:line="240" w:lineRule="auto"/>
              <w:ind w:right="-227"/>
              <w:rPr>
                <w:sz w:val="28"/>
                <w:szCs w:val="28"/>
              </w:rPr>
            </w:pPr>
            <w:bookmarkStart w:id="0" w:name="_zzmpFIXED_CounselTable"/>
            <w:r w:rsidRPr="00D14CF1">
              <w:rPr>
                <w:sz w:val="28"/>
                <w:szCs w:val="28"/>
              </w:rPr>
              <w:t xml:space="preserve">Hon. </w:t>
            </w:r>
            <w:r w:rsidR="00A24BE8">
              <w:rPr>
                <w:sz w:val="28"/>
                <w:szCs w:val="28"/>
              </w:rPr>
              <w:t xml:space="preserve">Ann </w:t>
            </w:r>
            <w:r w:rsidR="00D566C2">
              <w:rPr>
                <w:sz w:val="28"/>
                <w:szCs w:val="28"/>
              </w:rPr>
              <w:t xml:space="preserve">A. </w:t>
            </w:r>
            <w:r w:rsidR="00A24BE8">
              <w:rPr>
                <w:sz w:val="28"/>
                <w:szCs w:val="28"/>
              </w:rPr>
              <w:t xml:space="preserve">Scott Timmer, </w:t>
            </w:r>
            <w:r w:rsidR="00D566C2">
              <w:rPr>
                <w:sz w:val="28"/>
                <w:szCs w:val="28"/>
              </w:rPr>
              <w:t>C</w:t>
            </w:r>
            <w:r w:rsidR="00A24BE8">
              <w:rPr>
                <w:sz w:val="28"/>
                <w:szCs w:val="28"/>
              </w:rPr>
              <w:t>hair</w:t>
            </w:r>
          </w:p>
          <w:p w:rsidR="00A24BE8" w:rsidRPr="00D14CF1" w:rsidRDefault="00A24BE8" w:rsidP="00735659">
            <w:pPr>
              <w:pStyle w:val="FirmInformation"/>
              <w:spacing w:line="240" w:lineRule="auto"/>
              <w:rPr>
                <w:sz w:val="28"/>
                <w:szCs w:val="28"/>
              </w:rPr>
            </w:pPr>
            <w:r>
              <w:rPr>
                <w:sz w:val="28"/>
                <w:szCs w:val="28"/>
              </w:rPr>
              <w:t>Attorney Regulation Advisory Committee</w:t>
            </w:r>
          </w:p>
          <w:p w:rsidR="00321387" w:rsidRPr="00D14CF1" w:rsidRDefault="00321387" w:rsidP="00735659">
            <w:pPr>
              <w:pStyle w:val="FirmInformation"/>
              <w:spacing w:line="240" w:lineRule="auto"/>
              <w:rPr>
                <w:sz w:val="28"/>
                <w:szCs w:val="28"/>
              </w:rPr>
            </w:pPr>
            <w:r w:rsidRPr="00D14CF1">
              <w:rPr>
                <w:sz w:val="28"/>
                <w:szCs w:val="28"/>
              </w:rPr>
              <w:t>1501 W. Washington St</w:t>
            </w:r>
            <w:r w:rsidR="00A24BE8">
              <w:rPr>
                <w:sz w:val="28"/>
                <w:szCs w:val="28"/>
              </w:rPr>
              <w:t>.</w:t>
            </w:r>
          </w:p>
          <w:p w:rsidR="00321387" w:rsidRPr="00D14CF1" w:rsidRDefault="00321387" w:rsidP="00735659">
            <w:pPr>
              <w:pStyle w:val="FirmInformation"/>
              <w:spacing w:line="240" w:lineRule="auto"/>
              <w:rPr>
                <w:sz w:val="28"/>
                <w:szCs w:val="28"/>
              </w:rPr>
            </w:pPr>
            <w:r w:rsidRPr="00D14CF1">
              <w:rPr>
                <w:sz w:val="28"/>
                <w:szCs w:val="28"/>
              </w:rPr>
              <w:t xml:space="preserve">Phoenix, AZ </w:t>
            </w:r>
            <w:r w:rsidR="001033D4">
              <w:rPr>
                <w:sz w:val="28"/>
                <w:szCs w:val="28"/>
              </w:rPr>
              <w:t xml:space="preserve"> </w:t>
            </w:r>
            <w:r w:rsidRPr="00D14CF1">
              <w:rPr>
                <w:sz w:val="28"/>
                <w:szCs w:val="28"/>
              </w:rPr>
              <w:t>85007</w:t>
            </w:r>
          </w:p>
        </w:tc>
        <w:tc>
          <w:tcPr>
            <w:tcW w:w="4200" w:type="dxa"/>
          </w:tcPr>
          <w:p w:rsidR="00357F4D" w:rsidRPr="00D14CF1" w:rsidRDefault="00357F4D" w:rsidP="00000C35">
            <w:pPr>
              <w:ind w:left="113" w:right="113"/>
              <w:rPr>
                <w:sz w:val="28"/>
                <w:szCs w:val="28"/>
              </w:rPr>
            </w:pPr>
          </w:p>
        </w:tc>
      </w:tr>
    </w:tbl>
    <w:bookmarkEnd w:id="0"/>
    <w:p w:rsidR="000C48A9" w:rsidRPr="00D14CF1" w:rsidRDefault="000F7A7F" w:rsidP="00000C35">
      <w:pPr>
        <w:pStyle w:val="Court"/>
        <w:spacing w:line="240" w:lineRule="auto"/>
        <w:rPr>
          <w:b/>
          <w:sz w:val="28"/>
          <w:szCs w:val="28"/>
        </w:rPr>
      </w:pPr>
      <w:r w:rsidRPr="00D14CF1">
        <w:rPr>
          <w:b/>
          <w:sz w:val="28"/>
          <w:szCs w:val="28"/>
        </w:rPr>
        <w:t>IN THE SUPREME COURT</w:t>
      </w:r>
      <w:r w:rsidRPr="00D14CF1">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590"/>
        <w:gridCol w:w="4614"/>
      </w:tblGrid>
      <w:tr w:rsidR="00357F4D" w:rsidRPr="00D14CF1" w:rsidTr="00A24BE8">
        <w:tc>
          <w:tcPr>
            <w:tcW w:w="4590" w:type="dxa"/>
            <w:tcBorders>
              <w:top w:val="nil"/>
              <w:bottom w:val="single" w:sz="4" w:space="0" w:color="auto"/>
              <w:right w:val="single" w:sz="4" w:space="0" w:color="auto"/>
            </w:tcBorders>
            <w:shd w:val="clear" w:color="auto" w:fill="auto"/>
          </w:tcPr>
          <w:p w:rsidR="00357F4D" w:rsidRPr="006720DE" w:rsidRDefault="00357F4D" w:rsidP="00E321C5">
            <w:pPr>
              <w:pStyle w:val="Caption"/>
              <w:spacing w:before="240" w:line="260" w:lineRule="exact"/>
              <w:rPr>
                <w:sz w:val="28"/>
                <w:szCs w:val="28"/>
              </w:rPr>
            </w:pPr>
            <w:bookmarkStart w:id="1" w:name="_zzmpFIXED_CaptionTable"/>
            <w:r w:rsidRPr="006720DE">
              <w:rPr>
                <w:sz w:val="28"/>
                <w:szCs w:val="28"/>
              </w:rPr>
              <w:t>In the Matter of:</w:t>
            </w:r>
          </w:p>
          <w:p w:rsidR="00357F4D" w:rsidRDefault="00A8678A" w:rsidP="006720DE">
            <w:pPr>
              <w:pStyle w:val="Caption"/>
              <w:spacing w:before="240" w:line="260" w:lineRule="exact"/>
              <w:rPr>
                <w:sz w:val="28"/>
                <w:szCs w:val="28"/>
              </w:rPr>
            </w:pPr>
            <w:r w:rsidRPr="006720DE">
              <w:rPr>
                <w:sz w:val="28"/>
                <w:szCs w:val="28"/>
              </w:rPr>
              <w:t>PETITION FOR ADOPTION OF NEW RULE 42.1, RULES OF SUPREME COURT</w:t>
            </w:r>
          </w:p>
          <w:p w:rsidR="006720DE" w:rsidRPr="006720DE" w:rsidRDefault="006720DE" w:rsidP="006720DE"/>
        </w:tc>
        <w:tc>
          <w:tcPr>
            <w:tcW w:w="4614" w:type="dxa"/>
            <w:tcBorders>
              <w:top w:val="nil"/>
              <w:left w:val="single" w:sz="4" w:space="0" w:color="auto"/>
            </w:tcBorders>
            <w:shd w:val="clear" w:color="auto" w:fill="auto"/>
          </w:tcPr>
          <w:p w:rsidR="00357F4D" w:rsidRPr="006720DE" w:rsidRDefault="00357F4D" w:rsidP="00E321C5">
            <w:pPr>
              <w:pStyle w:val="Caption"/>
              <w:tabs>
                <w:tab w:val="left" w:pos="1238"/>
              </w:tabs>
              <w:spacing w:before="240" w:after="240"/>
              <w:ind w:left="259" w:right="115"/>
              <w:rPr>
                <w:sz w:val="28"/>
                <w:szCs w:val="28"/>
              </w:rPr>
            </w:pPr>
            <w:r w:rsidRPr="006720DE">
              <w:rPr>
                <w:sz w:val="28"/>
                <w:szCs w:val="28"/>
              </w:rPr>
              <w:t>Supreme Court No. R-</w:t>
            </w:r>
            <w:r w:rsidR="00380C44" w:rsidRPr="006720DE">
              <w:rPr>
                <w:sz w:val="28"/>
                <w:szCs w:val="28"/>
              </w:rPr>
              <w:t>18</w:t>
            </w:r>
            <w:r w:rsidR="00F850BE" w:rsidRPr="006720DE">
              <w:rPr>
                <w:sz w:val="28"/>
                <w:szCs w:val="28"/>
              </w:rPr>
              <w:t>-</w:t>
            </w:r>
            <w:r w:rsidR="00A24BE8" w:rsidRPr="006720DE">
              <w:rPr>
                <w:sz w:val="28"/>
                <w:szCs w:val="28"/>
              </w:rPr>
              <w:t>0006</w:t>
            </w:r>
          </w:p>
          <w:p w:rsidR="00357F4D" w:rsidRPr="006720DE" w:rsidRDefault="00A24BE8" w:rsidP="000F7A7F">
            <w:pPr>
              <w:pStyle w:val="Caption"/>
              <w:tabs>
                <w:tab w:val="left" w:pos="1238"/>
              </w:tabs>
              <w:spacing w:line="260" w:lineRule="exact"/>
              <w:ind w:right="115"/>
              <w:jc w:val="center"/>
              <w:rPr>
                <w:sz w:val="28"/>
                <w:szCs w:val="28"/>
              </w:rPr>
            </w:pPr>
            <w:r w:rsidRPr="006720DE">
              <w:rPr>
                <w:sz w:val="28"/>
                <w:szCs w:val="28"/>
              </w:rPr>
              <w:t>Comment of Attorney Regulation Advisory Committee</w:t>
            </w:r>
          </w:p>
          <w:p w:rsidR="00357F4D" w:rsidRPr="006720DE" w:rsidRDefault="00357F4D" w:rsidP="00E321C5">
            <w:pPr>
              <w:pStyle w:val="DocumentTitle"/>
              <w:rPr>
                <w:sz w:val="28"/>
                <w:szCs w:val="28"/>
              </w:rPr>
            </w:pPr>
          </w:p>
          <w:p w:rsidR="00357F4D" w:rsidRPr="006720DE" w:rsidRDefault="00357F4D" w:rsidP="00E321C5">
            <w:pPr>
              <w:pStyle w:val="Caption"/>
              <w:ind w:left="1512" w:right="115" w:hanging="1253"/>
              <w:rPr>
                <w:sz w:val="28"/>
                <w:szCs w:val="28"/>
              </w:rPr>
            </w:pPr>
          </w:p>
        </w:tc>
      </w:tr>
    </w:tbl>
    <w:bookmarkEnd w:id="1"/>
    <w:p w:rsidR="00472095" w:rsidRDefault="00472095" w:rsidP="00510288">
      <w:pPr>
        <w:spacing w:line="480" w:lineRule="auto"/>
        <w:ind w:firstLine="720"/>
        <w:jc w:val="both"/>
        <w:rPr>
          <w:color w:val="000000" w:themeColor="text1"/>
          <w:sz w:val="28"/>
          <w:szCs w:val="28"/>
        </w:rPr>
      </w:pPr>
      <w:r>
        <w:rPr>
          <w:color w:val="000000" w:themeColor="text1"/>
          <w:sz w:val="28"/>
          <w:szCs w:val="28"/>
        </w:rPr>
        <w:t>The Arizona Supreme Court’s Attorney Regulation Advisory Committee (“ARC”) supports the</w:t>
      </w:r>
      <w:r w:rsidRPr="00472095">
        <w:rPr>
          <w:color w:val="000000" w:themeColor="text1"/>
          <w:sz w:val="28"/>
          <w:szCs w:val="28"/>
        </w:rPr>
        <w:t xml:space="preserve"> </w:t>
      </w:r>
      <w:r>
        <w:rPr>
          <w:color w:val="000000" w:themeColor="text1"/>
          <w:sz w:val="28"/>
          <w:szCs w:val="28"/>
        </w:rPr>
        <w:t>proposal to establish a</w:t>
      </w:r>
      <w:r w:rsidRPr="00D14CF1">
        <w:rPr>
          <w:sz w:val="28"/>
          <w:szCs w:val="28"/>
        </w:rPr>
        <w:t xml:space="preserve"> new </w:t>
      </w:r>
      <w:r>
        <w:rPr>
          <w:sz w:val="28"/>
          <w:szCs w:val="28"/>
        </w:rPr>
        <w:t xml:space="preserve">Supreme Court </w:t>
      </w:r>
      <w:r w:rsidRPr="00D14CF1">
        <w:rPr>
          <w:sz w:val="28"/>
          <w:szCs w:val="28"/>
        </w:rPr>
        <w:t xml:space="preserve">Attorney Ethics Advisory Committee (“AEAC”) </w:t>
      </w:r>
      <w:r>
        <w:rPr>
          <w:sz w:val="28"/>
          <w:szCs w:val="28"/>
        </w:rPr>
        <w:t>that would</w:t>
      </w:r>
      <w:r w:rsidRPr="00D14CF1">
        <w:rPr>
          <w:sz w:val="28"/>
          <w:szCs w:val="28"/>
        </w:rPr>
        <w:t xml:space="preserve"> issue formal opinions on </w:t>
      </w:r>
      <w:r w:rsidR="000A0155">
        <w:rPr>
          <w:sz w:val="28"/>
          <w:szCs w:val="28"/>
        </w:rPr>
        <w:t xml:space="preserve">ethics, </w:t>
      </w:r>
      <w:r w:rsidRPr="00D14CF1">
        <w:rPr>
          <w:sz w:val="28"/>
          <w:szCs w:val="28"/>
        </w:rPr>
        <w:t>professionalism, and the unauthorized practice of law.</w:t>
      </w:r>
    </w:p>
    <w:p w:rsidR="00472095" w:rsidRPr="00472095" w:rsidRDefault="00472095" w:rsidP="00510288">
      <w:pPr>
        <w:spacing w:line="480" w:lineRule="auto"/>
        <w:ind w:firstLine="720"/>
        <w:jc w:val="both"/>
        <w:rPr>
          <w:color w:val="000000" w:themeColor="text1"/>
          <w:sz w:val="28"/>
          <w:szCs w:val="28"/>
        </w:rPr>
      </w:pPr>
      <w:r w:rsidRPr="00472095">
        <w:rPr>
          <w:color w:val="000000" w:themeColor="text1"/>
          <w:sz w:val="28"/>
          <w:szCs w:val="28"/>
        </w:rPr>
        <w:t xml:space="preserve">ARC endorses the concept of separating the formal advisory function from the </w:t>
      </w:r>
      <w:r>
        <w:rPr>
          <w:color w:val="000000" w:themeColor="text1"/>
          <w:sz w:val="28"/>
          <w:szCs w:val="28"/>
        </w:rPr>
        <w:t>State Bar of Arizona</w:t>
      </w:r>
      <w:r w:rsidR="009C6843">
        <w:rPr>
          <w:color w:val="000000" w:themeColor="text1"/>
          <w:sz w:val="28"/>
          <w:szCs w:val="28"/>
        </w:rPr>
        <w:t xml:space="preserve">, which </w:t>
      </w:r>
      <w:r w:rsidRPr="00472095">
        <w:rPr>
          <w:color w:val="000000" w:themeColor="text1"/>
          <w:sz w:val="28"/>
          <w:szCs w:val="28"/>
        </w:rPr>
        <w:t xml:space="preserve">serves as </w:t>
      </w:r>
      <w:r w:rsidR="009C6843">
        <w:rPr>
          <w:color w:val="000000" w:themeColor="text1"/>
          <w:sz w:val="28"/>
          <w:szCs w:val="28"/>
        </w:rPr>
        <w:t xml:space="preserve">investigator and </w:t>
      </w:r>
      <w:r w:rsidRPr="00472095">
        <w:rPr>
          <w:color w:val="000000" w:themeColor="text1"/>
          <w:sz w:val="28"/>
          <w:szCs w:val="28"/>
        </w:rPr>
        <w:t>prosecutor</w:t>
      </w:r>
      <w:r w:rsidR="009C6843">
        <w:rPr>
          <w:color w:val="000000" w:themeColor="text1"/>
          <w:sz w:val="28"/>
          <w:szCs w:val="28"/>
        </w:rPr>
        <w:t xml:space="preserve"> on lawyer discipline and UPL cases</w:t>
      </w:r>
      <w:r w:rsidRPr="00472095">
        <w:rPr>
          <w:color w:val="000000" w:themeColor="text1"/>
          <w:sz w:val="28"/>
          <w:szCs w:val="28"/>
        </w:rPr>
        <w:t xml:space="preserve">. In addition, ARC endorses the recognition that, as in judicial ethics proceedings, compliance with or reliance on </w:t>
      </w:r>
      <w:r w:rsidR="000A0155">
        <w:rPr>
          <w:color w:val="000000" w:themeColor="text1"/>
          <w:sz w:val="28"/>
          <w:szCs w:val="28"/>
        </w:rPr>
        <w:t xml:space="preserve">a formal </w:t>
      </w:r>
      <w:r w:rsidR="009C6843">
        <w:rPr>
          <w:color w:val="000000" w:themeColor="text1"/>
          <w:sz w:val="28"/>
          <w:szCs w:val="28"/>
        </w:rPr>
        <w:t>advisory</w:t>
      </w:r>
      <w:r w:rsidRPr="00472095">
        <w:rPr>
          <w:color w:val="000000" w:themeColor="text1"/>
          <w:sz w:val="28"/>
          <w:szCs w:val="28"/>
        </w:rPr>
        <w:t xml:space="preserve"> </w:t>
      </w:r>
      <w:r w:rsidR="009C6843">
        <w:rPr>
          <w:color w:val="000000" w:themeColor="text1"/>
          <w:sz w:val="28"/>
          <w:szCs w:val="28"/>
        </w:rPr>
        <w:t xml:space="preserve">opinion </w:t>
      </w:r>
      <w:r w:rsidRPr="00472095">
        <w:rPr>
          <w:color w:val="000000" w:themeColor="text1"/>
          <w:sz w:val="28"/>
          <w:szCs w:val="28"/>
        </w:rPr>
        <w:t>is recognized as a defense in lawyer disciplinary proceedings.</w:t>
      </w:r>
    </w:p>
    <w:p w:rsidR="00472095" w:rsidRDefault="000A0155" w:rsidP="00510288">
      <w:pPr>
        <w:spacing w:line="480" w:lineRule="auto"/>
        <w:jc w:val="both"/>
        <w:rPr>
          <w:color w:val="000000" w:themeColor="text1"/>
          <w:sz w:val="28"/>
          <w:szCs w:val="28"/>
        </w:rPr>
      </w:pPr>
      <w:r>
        <w:rPr>
          <w:color w:val="000000" w:themeColor="text1"/>
          <w:sz w:val="28"/>
          <w:szCs w:val="28"/>
        </w:rPr>
        <w:tab/>
        <w:t xml:space="preserve">ARC suggests that the proposed rule </w:t>
      </w:r>
      <w:r w:rsidR="00472095">
        <w:rPr>
          <w:color w:val="000000" w:themeColor="text1"/>
          <w:sz w:val="28"/>
          <w:szCs w:val="28"/>
        </w:rPr>
        <w:t xml:space="preserve">be revised to address </w:t>
      </w:r>
      <w:r w:rsidR="00487632">
        <w:rPr>
          <w:color w:val="000000" w:themeColor="text1"/>
          <w:sz w:val="28"/>
          <w:szCs w:val="28"/>
        </w:rPr>
        <w:t>three</w:t>
      </w:r>
      <w:r w:rsidR="009C6843">
        <w:rPr>
          <w:color w:val="000000" w:themeColor="text1"/>
          <w:sz w:val="28"/>
          <w:szCs w:val="28"/>
        </w:rPr>
        <w:t xml:space="preserve"> issues</w:t>
      </w:r>
      <w:r w:rsidR="00472095">
        <w:rPr>
          <w:color w:val="000000" w:themeColor="text1"/>
          <w:sz w:val="28"/>
          <w:szCs w:val="28"/>
        </w:rPr>
        <w:t>.</w:t>
      </w:r>
    </w:p>
    <w:p w:rsidR="000A0155" w:rsidRDefault="00472095" w:rsidP="00510288">
      <w:pPr>
        <w:spacing w:line="480" w:lineRule="auto"/>
        <w:ind w:firstLine="720"/>
        <w:jc w:val="both"/>
        <w:rPr>
          <w:color w:val="000000" w:themeColor="text1"/>
          <w:sz w:val="28"/>
          <w:szCs w:val="28"/>
        </w:rPr>
      </w:pPr>
      <w:r w:rsidRPr="00472095">
        <w:rPr>
          <w:color w:val="000000" w:themeColor="text1"/>
          <w:sz w:val="28"/>
          <w:szCs w:val="28"/>
          <w:u w:val="single"/>
        </w:rPr>
        <w:lastRenderedPageBreak/>
        <w:t>Who may request opinions</w:t>
      </w:r>
      <w:r w:rsidRPr="00472095">
        <w:rPr>
          <w:color w:val="000000" w:themeColor="text1"/>
          <w:sz w:val="28"/>
          <w:szCs w:val="28"/>
        </w:rPr>
        <w:t>: ARC supports the concept of consolidating the formal advisory functions for lawyer ethics, lawyer professionalism and the unauthorized pra</w:t>
      </w:r>
      <w:r w:rsidR="000A0155">
        <w:rPr>
          <w:color w:val="000000" w:themeColor="text1"/>
          <w:sz w:val="28"/>
          <w:szCs w:val="28"/>
        </w:rPr>
        <w:t>ctice of law (UPL) in the AEAC.</w:t>
      </w:r>
    </w:p>
    <w:p w:rsidR="003A4DA0" w:rsidRDefault="003A4DA0" w:rsidP="00510288">
      <w:pPr>
        <w:spacing w:line="480" w:lineRule="auto"/>
        <w:ind w:firstLine="720"/>
        <w:jc w:val="both"/>
        <w:rPr>
          <w:color w:val="000000" w:themeColor="text1"/>
          <w:sz w:val="28"/>
          <w:szCs w:val="28"/>
        </w:rPr>
      </w:pPr>
      <w:r>
        <w:rPr>
          <w:color w:val="000000" w:themeColor="text1"/>
          <w:sz w:val="28"/>
          <w:szCs w:val="28"/>
        </w:rPr>
        <w:t xml:space="preserve">As currently proposed, Rule 42.1(b) allows the AEAC </w:t>
      </w:r>
      <w:r w:rsidRPr="00472095">
        <w:rPr>
          <w:color w:val="000000" w:themeColor="text1"/>
          <w:sz w:val="28"/>
          <w:szCs w:val="28"/>
        </w:rPr>
        <w:t xml:space="preserve">to consider UPL issues but </w:t>
      </w:r>
      <w:r>
        <w:rPr>
          <w:color w:val="000000" w:themeColor="text1"/>
          <w:sz w:val="28"/>
          <w:szCs w:val="28"/>
        </w:rPr>
        <w:t>Rule 42.1(b)(1), which deals with the AEAC’s powers and duties, and Rule 42.1(e), which addresses opinion requests, would not allow non-lawyers to request advisory opinions</w:t>
      </w:r>
      <w:r w:rsidRPr="00472095">
        <w:rPr>
          <w:color w:val="000000" w:themeColor="text1"/>
          <w:sz w:val="28"/>
          <w:szCs w:val="28"/>
        </w:rPr>
        <w:t>.</w:t>
      </w:r>
    </w:p>
    <w:p w:rsidR="00606BCE" w:rsidRDefault="00606BCE" w:rsidP="00510288">
      <w:pPr>
        <w:spacing w:line="480" w:lineRule="auto"/>
        <w:ind w:firstLine="720"/>
        <w:jc w:val="both"/>
        <w:rPr>
          <w:color w:val="000000" w:themeColor="text1"/>
          <w:sz w:val="28"/>
          <w:szCs w:val="28"/>
        </w:rPr>
      </w:pPr>
      <w:r w:rsidRPr="00472095">
        <w:rPr>
          <w:color w:val="000000" w:themeColor="text1"/>
          <w:sz w:val="28"/>
          <w:szCs w:val="28"/>
        </w:rPr>
        <w:t>Both lawyers and non-lawyers</w:t>
      </w:r>
      <w:r>
        <w:rPr>
          <w:color w:val="000000" w:themeColor="text1"/>
          <w:sz w:val="28"/>
          <w:szCs w:val="28"/>
        </w:rPr>
        <w:t xml:space="preserve"> can engage in UPL, </w:t>
      </w:r>
      <w:r w:rsidR="00510288">
        <w:rPr>
          <w:color w:val="000000" w:themeColor="text1"/>
          <w:sz w:val="28"/>
          <w:szCs w:val="28"/>
        </w:rPr>
        <w:t xml:space="preserve"> </w:t>
      </w:r>
      <w:bookmarkStart w:id="2" w:name="_GoBack"/>
      <w:bookmarkEnd w:id="2"/>
      <w:r>
        <w:rPr>
          <w:color w:val="000000" w:themeColor="text1"/>
          <w:sz w:val="28"/>
          <w:szCs w:val="28"/>
        </w:rPr>
        <w:t xml:space="preserve">and the State Bar’s UPL Committee may issue opinions on questions regarding the interpretation of rules that apply to lawyers as well as non-lawyers. Report of Supreme Court’s </w:t>
      </w:r>
      <w:r w:rsidRPr="000A0155">
        <w:rPr>
          <w:color w:val="000000" w:themeColor="text1"/>
          <w:sz w:val="28"/>
          <w:szCs w:val="28"/>
        </w:rPr>
        <w:t>Task Force on Lawyer Ethics, Professionalism, and the Unauthorized Practice of Law (hereinafter the “Task Force”)</w:t>
      </w:r>
      <w:r>
        <w:rPr>
          <w:color w:val="000000" w:themeColor="text1"/>
          <w:sz w:val="28"/>
          <w:szCs w:val="28"/>
        </w:rPr>
        <w:t>, attached to Petition to Adopt New Rule 42.1, at 5 (“</w:t>
      </w:r>
      <w:r w:rsidRPr="003A4DA0">
        <w:rPr>
          <w:color w:val="000000" w:themeColor="text1"/>
          <w:sz w:val="28"/>
          <w:szCs w:val="28"/>
        </w:rPr>
        <w:t>The UPL Committee issues opinions on questions regarding the interpretation of Rule 31, Ariz. R. Sup. Ct., Ethical Rule 5.5, Rule 42, Ariz. R. Sup. Ct., or the Arizona Code of Judicial Administration, Part 7, Chapter 2, Section 7-208 (governing Certified Legal Document Preparers (the CLDP Cod</w:t>
      </w:r>
      <w:r>
        <w:rPr>
          <w:color w:val="000000" w:themeColor="text1"/>
          <w:sz w:val="28"/>
          <w:szCs w:val="28"/>
        </w:rPr>
        <w:t>e)</w:t>
      </w:r>
      <w:r w:rsidR="00487632">
        <w:rPr>
          <w:color w:val="000000" w:themeColor="text1"/>
          <w:sz w:val="28"/>
          <w:szCs w:val="28"/>
        </w:rPr>
        <w:t>)</w:t>
      </w:r>
      <w:r>
        <w:rPr>
          <w:color w:val="000000" w:themeColor="text1"/>
          <w:sz w:val="28"/>
          <w:szCs w:val="28"/>
        </w:rPr>
        <w:t>.”)</w:t>
      </w:r>
    </w:p>
    <w:p w:rsidR="00606BCE" w:rsidRDefault="00487632" w:rsidP="00510288">
      <w:pPr>
        <w:spacing w:line="480" w:lineRule="auto"/>
        <w:ind w:firstLine="720"/>
        <w:jc w:val="both"/>
        <w:rPr>
          <w:color w:val="000000" w:themeColor="text1"/>
          <w:sz w:val="28"/>
          <w:szCs w:val="28"/>
        </w:rPr>
      </w:pPr>
      <w:r>
        <w:rPr>
          <w:color w:val="000000" w:themeColor="text1"/>
          <w:sz w:val="28"/>
          <w:szCs w:val="28"/>
        </w:rPr>
        <w:t>While the name of the proposed AEAC (“</w:t>
      </w:r>
      <w:r w:rsidRPr="00487632">
        <w:rPr>
          <w:i/>
          <w:color w:val="000000" w:themeColor="text1"/>
          <w:sz w:val="28"/>
          <w:szCs w:val="28"/>
        </w:rPr>
        <w:t>Attorney</w:t>
      </w:r>
      <w:r>
        <w:rPr>
          <w:color w:val="000000" w:themeColor="text1"/>
          <w:sz w:val="28"/>
          <w:szCs w:val="28"/>
        </w:rPr>
        <w:t xml:space="preserve"> Ethics Advisory Committee”) implies that it will address matters only involving lawyers, neither the Task Force’s rule-change petition nor its report detail explains how non-lawyers’ questions about prospective conduct under Rule 31 or the CLDP Code would be </w:t>
      </w:r>
      <w:r>
        <w:rPr>
          <w:color w:val="000000" w:themeColor="text1"/>
          <w:sz w:val="28"/>
          <w:szCs w:val="28"/>
        </w:rPr>
        <w:lastRenderedPageBreak/>
        <w:t>addressed. However, c</w:t>
      </w:r>
      <w:r w:rsidR="00606BCE">
        <w:rPr>
          <w:color w:val="000000" w:themeColor="text1"/>
          <w:sz w:val="28"/>
          <w:szCs w:val="28"/>
        </w:rPr>
        <w:t xml:space="preserve">onsidering that the intent is to consolidate formal advisory opinions on the topics of ethics, professionalism and UPL with this new Supreme Court committee, the AEAC </w:t>
      </w:r>
      <w:r>
        <w:rPr>
          <w:color w:val="000000" w:themeColor="text1"/>
          <w:sz w:val="28"/>
          <w:szCs w:val="28"/>
        </w:rPr>
        <w:t>apparently will</w:t>
      </w:r>
      <w:r w:rsidR="00606BCE">
        <w:rPr>
          <w:color w:val="000000" w:themeColor="text1"/>
          <w:sz w:val="28"/>
          <w:szCs w:val="28"/>
        </w:rPr>
        <w:t xml:space="preserve"> assume the ability to issue UPL opinions involving non-lawyers.</w:t>
      </w:r>
      <w:r w:rsidRPr="00487632">
        <w:rPr>
          <w:color w:val="000000" w:themeColor="text1"/>
          <w:sz w:val="28"/>
          <w:szCs w:val="28"/>
        </w:rPr>
        <w:t xml:space="preserve"> </w:t>
      </w:r>
    </w:p>
    <w:p w:rsidR="00606BCE" w:rsidRDefault="00487632" w:rsidP="00510288">
      <w:pPr>
        <w:spacing w:line="480" w:lineRule="auto"/>
        <w:ind w:firstLine="720"/>
        <w:jc w:val="both"/>
        <w:rPr>
          <w:bCs/>
          <w:color w:val="212121"/>
          <w:sz w:val="28"/>
          <w:szCs w:val="28"/>
          <w:lang w:val="en"/>
        </w:rPr>
      </w:pPr>
      <w:r>
        <w:rPr>
          <w:color w:val="000000" w:themeColor="text1"/>
          <w:sz w:val="28"/>
          <w:szCs w:val="28"/>
        </w:rPr>
        <w:t>As a result, p</w:t>
      </w:r>
      <w:r w:rsidR="005B1FED" w:rsidRPr="005B1FED">
        <w:rPr>
          <w:color w:val="000000" w:themeColor="text1"/>
          <w:sz w:val="28"/>
          <w:szCs w:val="28"/>
        </w:rPr>
        <w:t>roposed Rule 42.1(b)</w:t>
      </w:r>
      <w:r w:rsidR="00094582">
        <w:rPr>
          <w:color w:val="000000" w:themeColor="text1"/>
          <w:sz w:val="28"/>
          <w:szCs w:val="28"/>
        </w:rPr>
        <w:t>(1)</w:t>
      </w:r>
      <w:r w:rsidR="005B1FED">
        <w:rPr>
          <w:color w:val="000000" w:themeColor="text1"/>
          <w:sz w:val="28"/>
          <w:szCs w:val="28"/>
        </w:rPr>
        <w:t xml:space="preserve"> </w:t>
      </w:r>
      <w:r w:rsidR="005B1FED" w:rsidRPr="005B1FED">
        <w:rPr>
          <w:color w:val="000000" w:themeColor="text1"/>
          <w:sz w:val="28"/>
          <w:szCs w:val="28"/>
        </w:rPr>
        <w:t xml:space="preserve">should be expanded to allow the AEAC to issue opinions “on the request of </w:t>
      </w:r>
      <w:r w:rsidR="005B1FED" w:rsidRPr="005B1FED">
        <w:rPr>
          <w:bCs/>
          <w:color w:val="212121"/>
          <w:sz w:val="28"/>
          <w:szCs w:val="28"/>
          <w:lang w:val="en"/>
        </w:rPr>
        <w:t>any</w:t>
      </w:r>
      <w:r w:rsidR="00094582">
        <w:rPr>
          <w:bCs/>
          <w:color w:val="212121"/>
          <w:sz w:val="28"/>
          <w:szCs w:val="28"/>
          <w:lang w:val="en"/>
        </w:rPr>
        <w:t xml:space="preserve"> person</w:t>
      </w:r>
      <w:r w:rsidR="005B1FED" w:rsidRPr="005B1FED">
        <w:rPr>
          <w:bCs/>
          <w:color w:val="212121"/>
          <w:sz w:val="28"/>
          <w:szCs w:val="28"/>
          <w:lang w:val="en"/>
        </w:rPr>
        <w:t xml:space="preserve"> to address questions regarding </w:t>
      </w:r>
      <w:r w:rsidR="005B1FED">
        <w:rPr>
          <w:bCs/>
          <w:color w:val="212121"/>
          <w:sz w:val="28"/>
          <w:szCs w:val="28"/>
          <w:lang w:val="en"/>
        </w:rPr>
        <w:t>whether proposed conduct constitutes the unauthorized practice of law.”</w:t>
      </w:r>
      <w:r w:rsidR="00606BCE">
        <w:rPr>
          <w:bCs/>
          <w:color w:val="212121"/>
          <w:sz w:val="28"/>
          <w:szCs w:val="28"/>
          <w:lang w:val="en"/>
        </w:rPr>
        <w:t xml:space="preserve"> </w:t>
      </w:r>
      <w:r w:rsidR="00237B6C">
        <w:rPr>
          <w:bCs/>
          <w:color w:val="212121"/>
          <w:sz w:val="28"/>
          <w:szCs w:val="28"/>
          <w:lang w:val="en"/>
        </w:rPr>
        <w:t xml:space="preserve">      </w:t>
      </w:r>
      <w:r w:rsidR="00606BCE">
        <w:rPr>
          <w:bCs/>
          <w:color w:val="212121"/>
          <w:sz w:val="28"/>
          <w:szCs w:val="28"/>
          <w:lang w:val="en"/>
        </w:rPr>
        <w:t xml:space="preserve">Proposed Rule 42.1(c) should be expanded to allow non-lawyers to request opinions </w:t>
      </w:r>
      <w:r w:rsidR="00D566C2">
        <w:rPr>
          <w:bCs/>
          <w:color w:val="212121"/>
          <w:sz w:val="28"/>
          <w:szCs w:val="28"/>
          <w:lang w:val="en"/>
        </w:rPr>
        <w:t xml:space="preserve">about </w:t>
      </w:r>
      <w:r w:rsidR="00606BCE">
        <w:rPr>
          <w:bCs/>
          <w:color w:val="212121"/>
          <w:sz w:val="28"/>
          <w:szCs w:val="28"/>
          <w:lang w:val="en"/>
        </w:rPr>
        <w:t>prospective conduct involving UPL.</w:t>
      </w:r>
      <w:r w:rsidR="00DC63E4">
        <w:rPr>
          <w:bCs/>
          <w:color w:val="212121"/>
          <w:sz w:val="28"/>
          <w:szCs w:val="28"/>
          <w:lang w:val="en"/>
        </w:rPr>
        <w:t xml:space="preserve"> </w:t>
      </w:r>
    </w:p>
    <w:p w:rsidR="005B1FED" w:rsidRDefault="00487632" w:rsidP="00510288">
      <w:pPr>
        <w:spacing w:line="480" w:lineRule="auto"/>
        <w:ind w:firstLine="720"/>
        <w:jc w:val="both"/>
        <w:rPr>
          <w:color w:val="000000" w:themeColor="text1"/>
          <w:sz w:val="28"/>
          <w:szCs w:val="28"/>
        </w:rPr>
      </w:pPr>
      <w:r>
        <w:rPr>
          <w:color w:val="000000" w:themeColor="text1"/>
          <w:sz w:val="28"/>
          <w:szCs w:val="28"/>
        </w:rPr>
        <w:t>Making these</w:t>
      </w:r>
      <w:r w:rsidR="00606BCE">
        <w:rPr>
          <w:color w:val="000000" w:themeColor="text1"/>
          <w:sz w:val="28"/>
          <w:szCs w:val="28"/>
        </w:rPr>
        <w:t xml:space="preserve"> change</w:t>
      </w:r>
      <w:r>
        <w:rPr>
          <w:color w:val="000000" w:themeColor="text1"/>
          <w:sz w:val="28"/>
          <w:szCs w:val="28"/>
        </w:rPr>
        <w:t xml:space="preserve">s comports </w:t>
      </w:r>
      <w:r w:rsidR="005B1FED">
        <w:rPr>
          <w:color w:val="000000" w:themeColor="text1"/>
          <w:sz w:val="28"/>
          <w:szCs w:val="28"/>
        </w:rPr>
        <w:t xml:space="preserve">with proposed Rule </w:t>
      </w:r>
      <w:r w:rsidR="00472095" w:rsidRPr="00472095">
        <w:rPr>
          <w:color w:val="000000" w:themeColor="text1"/>
          <w:sz w:val="28"/>
          <w:szCs w:val="28"/>
        </w:rPr>
        <w:t xml:space="preserve">42.1(k), which </w:t>
      </w:r>
      <w:r w:rsidR="00094582">
        <w:rPr>
          <w:color w:val="000000" w:themeColor="text1"/>
          <w:sz w:val="28"/>
          <w:szCs w:val="28"/>
        </w:rPr>
        <w:t>would allow</w:t>
      </w:r>
      <w:r w:rsidR="00472095" w:rsidRPr="00472095">
        <w:rPr>
          <w:color w:val="000000" w:themeColor="text1"/>
          <w:sz w:val="28"/>
          <w:szCs w:val="28"/>
        </w:rPr>
        <w:t xml:space="preserve"> “any person”</w:t>
      </w:r>
      <w:r>
        <w:rPr>
          <w:color w:val="000000" w:themeColor="text1"/>
          <w:sz w:val="28"/>
          <w:szCs w:val="28"/>
        </w:rPr>
        <w:t xml:space="preserve"> – not just lawyers – </w:t>
      </w:r>
      <w:r w:rsidR="00472095" w:rsidRPr="00472095">
        <w:rPr>
          <w:color w:val="000000" w:themeColor="text1"/>
          <w:sz w:val="28"/>
          <w:szCs w:val="28"/>
        </w:rPr>
        <w:t>to petition the committee to reconsider an opinion.</w:t>
      </w:r>
    </w:p>
    <w:p w:rsidR="00DC63E4" w:rsidRDefault="00DC63E4" w:rsidP="00510288">
      <w:pPr>
        <w:spacing w:line="480" w:lineRule="auto"/>
        <w:ind w:firstLine="720"/>
        <w:jc w:val="both"/>
        <w:rPr>
          <w:color w:val="000000" w:themeColor="text1"/>
          <w:sz w:val="28"/>
          <w:szCs w:val="28"/>
          <w:u w:val="single"/>
        </w:rPr>
      </w:pPr>
      <w:r w:rsidRPr="00237B6C">
        <w:rPr>
          <w:color w:val="000000" w:themeColor="text1"/>
          <w:sz w:val="28"/>
          <w:szCs w:val="28"/>
        </w:rPr>
        <w:t xml:space="preserve">While lawyers should be restricted to </w:t>
      </w:r>
      <w:r w:rsidR="00821313" w:rsidRPr="00237B6C">
        <w:rPr>
          <w:color w:val="000000" w:themeColor="text1"/>
          <w:sz w:val="28"/>
          <w:szCs w:val="28"/>
        </w:rPr>
        <w:t>requesting opinions</w:t>
      </w:r>
      <w:r w:rsidRPr="00237B6C">
        <w:rPr>
          <w:color w:val="000000" w:themeColor="text1"/>
          <w:sz w:val="28"/>
          <w:szCs w:val="28"/>
        </w:rPr>
        <w:t xml:space="preserve"> about their own prospective conduct, a majority of ARC voted to recommend that the Court allow non-lawyers to request UPL opinions about their own or someone else’s prospective conduct. </w:t>
      </w:r>
      <w:r w:rsidR="00821313" w:rsidRPr="00237B6C">
        <w:rPr>
          <w:color w:val="000000" w:themeColor="text1"/>
          <w:sz w:val="28"/>
          <w:szCs w:val="28"/>
        </w:rPr>
        <w:t>The AEAC thus will be able to help the public understand what constitutes UPL.</w:t>
      </w:r>
    </w:p>
    <w:p w:rsidR="005B1FED" w:rsidRDefault="005B1FED" w:rsidP="00510288">
      <w:pPr>
        <w:spacing w:line="480" w:lineRule="auto"/>
        <w:ind w:firstLine="720"/>
        <w:jc w:val="both"/>
        <w:rPr>
          <w:color w:val="000000" w:themeColor="text1"/>
          <w:sz w:val="28"/>
          <w:szCs w:val="28"/>
        </w:rPr>
      </w:pPr>
      <w:r>
        <w:rPr>
          <w:color w:val="000000" w:themeColor="text1"/>
          <w:sz w:val="28"/>
          <w:szCs w:val="28"/>
          <w:u w:val="single"/>
        </w:rPr>
        <w:t>Past</w:t>
      </w:r>
      <w:r w:rsidR="00472095" w:rsidRPr="005B1FED">
        <w:rPr>
          <w:color w:val="000000" w:themeColor="text1"/>
          <w:sz w:val="28"/>
          <w:szCs w:val="28"/>
          <w:u w:val="single"/>
        </w:rPr>
        <w:t xml:space="preserve"> conduct</w:t>
      </w:r>
      <w:r w:rsidR="00472095" w:rsidRPr="005B1FED">
        <w:rPr>
          <w:color w:val="000000" w:themeColor="text1"/>
          <w:sz w:val="28"/>
          <w:szCs w:val="28"/>
        </w:rPr>
        <w:t xml:space="preserve">: </w:t>
      </w:r>
      <w:r w:rsidR="00487632">
        <w:rPr>
          <w:color w:val="000000" w:themeColor="text1"/>
          <w:sz w:val="28"/>
          <w:szCs w:val="28"/>
        </w:rPr>
        <w:t>Proposed Rule 42.1(c)(1)</w:t>
      </w:r>
      <w:r w:rsidR="00472095" w:rsidRPr="005B1FED">
        <w:rPr>
          <w:color w:val="000000" w:themeColor="text1"/>
          <w:sz w:val="28"/>
          <w:szCs w:val="28"/>
        </w:rPr>
        <w:t xml:space="preserve"> </w:t>
      </w:r>
      <w:r w:rsidR="00487632">
        <w:rPr>
          <w:color w:val="000000" w:themeColor="text1"/>
          <w:sz w:val="28"/>
          <w:szCs w:val="28"/>
        </w:rPr>
        <w:t>provides</w:t>
      </w:r>
      <w:r>
        <w:rPr>
          <w:color w:val="000000" w:themeColor="text1"/>
          <w:sz w:val="28"/>
          <w:szCs w:val="28"/>
        </w:rPr>
        <w:t xml:space="preserve"> that</w:t>
      </w:r>
      <w:r w:rsidR="00472095" w:rsidRPr="005B1FED">
        <w:rPr>
          <w:color w:val="000000" w:themeColor="text1"/>
          <w:sz w:val="28"/>
          <w:szCs w:val="28"/>
        </w:rPr>
        <w:t xml:space="preserve"> the AEAC “should not” issue opinions “involving the ethical propriety of past conduct of a member of the State Bar.” </w:t>
      </w:r>
      <w:r>
        <w:rPr>
          <w:color w:val="000000" w:themeColor="text1"/>
          <w:sz w:val="28"/>
          <w:szCs w:val="28"/>
        </w:rPr>
        <w:t>This provision should be revised to provide</w:t>
      </w:r>
      <w:r w:rsidR="00472095" w:rsidRPr="005B1FED">
        <w:rPr>
          <w:color w:val="000000" w:themeColor="text1"/>
          <w:sz w:val="28"/>
          <w:szCs w:val="28"/>
        </w:rPr>
        <w:t xml:space="preserve"> that the AEAC </w:t>
      </w:r>
      <w:r w:rsidR="00472095" w:rsidRPr="005B1FED">
        <w:rPr>
          <w:i/>
          <w:color w:val="000000" w:themeColor="text1"/>
          <w:sz w:val="28"/>
          <w:szCs w:val="28"/>
        </w:rPr>
        <w:t>may not</w:t>
      </w:r>
      <w:r w:rsidR="00472095" w:rsidRPr="005B1FED">
        <w:rPr>
          <w:color w:val="000000" w:themeColor="text1"/>
          <w:sz w:val="28"/>
          <w:szCs w:val="28"/>
        </w:rPr>
        <w:t xml:space="preserve"> issue </w:t>
      </w:r>
      <w:r w:rsidR="00472095" w:rsidRPr="005B1FED">
        <w:rPr>
          <w:color w:val="000000" w:themeColor="text1"/>
          <w:sz w:val="28"/>
          <w:szCs w:val="28"/>
        </w:rPr>
        <w:lastRenderedPageBreak/>
        <w:t xml:space="preserve">opinions involving the </w:t>
      </w:r>
      <w:r w:rsidR="00487632">
        <w:rPr>
          <w:color w:val="000000" w:themeColor="text1"/>
          <w:sz w:val="28"/>
          <w:szCs w:val="28"/>
        </w:rPr>
        <w:t xml:space="preserve">ethical </w:t>
      </w:r>
      <w:r w:rsidR="00472095" w:rsidRPr="005B1FED">
        <w:rPr>
          <w:color w:val="000000" w:themeColor="text1"/>
          <w:sz w:val="28"/>
          <w:szCs w:val="28"/>
        </w:rPr>
        <w:t xml:space="preserve">propriety of a </w:t>
      </w:r>
      <w:r w:rsidR="00487632">
        <w:rPr>
          <w:color w:val="000000" w:themeColor="text1"/>
          <w:sz w:val="28"/>
          <w:szCs w:val="28"/>
        </w:rPr>
        <w:t>lawyer’s</w:t>
      </w:r>
      <w:r>
        <w:rPr>
          <w:color w:val="000000" w:themeColor="text1"/>
          <w:sz w:val="28"/>
          <w:szCs w:val="28"/>
        </w:rPr>
        <w:t xml:space="preserve"> past conduct.</w:t>
      </w:r>
      <w:r w:rsidR="00487632">
        <w:rPr>
          <w:color w:val="000000" w:themeColor="text1"/>
          <w:sz w:val="28"/>
          <w:szCs w:val="28"/>
        </w:rPr>
        <w:t xml:space="preserve"> Assuming the </w:t>
      </w:r>
      <w:r w:rsidR="00472095" w:rsidRPr="005B1FED">
        <w:rPr>
          <w:color w:val="000000" w:themeColor="text1"/>
          <w:sz w:val="28"/>
          <w:szCs w:val="28"/>
        </w:rPr>
        <w:t xml:space="preserve">AEAC also would be able to issue opinions related to </w:t>
      </w:r>
      <w:r>
        <w:rPr>
          <w:color w:val="000000" w:themeColor="text1"/>
          <w:sz w:val="28"/>
          <w:szCs w:val="28"/>
        </w:rPr>
        <w:t xml:space="preserve">non-member </w:t>
      </w:r>
      <w:r w:rsidR="00472095" w:rsidRPr="005B1FED">
        <w:rPr>
          <w:color w:val="000000" w:themeColor="text1"/>
          <w:sz w:val="28"/>
          <w:szCs w:val="28"/>
        </w:rPr>
        <w:t xml:space="preserve">UPL, it </w:t>
      </w:r>
      <w:r w:rsidR="00487632">
        <w:rPr>
          <w:color w:val="000000" w:themeColor="text1"/>
          <w:sz w:val="28"/>
          <w:szCs w:val="28"/>
        </w:rPr>
        <w:t>likewise</w:t>
      </w:r>
      <w:r w:rsidR="00472095" w:rsidRPr="005B1FED">
        <w:rPr>
          <w:color w:val="000000" w:themeColor="text1"/>
          <w:sz w:val="28"/>
          <w:szCs w:val="28"/>
        </w:rPr>
        <w:t xml:space="preserve"> should </w:t>
      </w:r>
      <w:r>
        <w:rPr>
          <w:color w:val="000000" w:themeColor="text1"/>
          <w:sz w:val="28"/>
          <w:szCs w:val="28"/>
        </w:rPr>
        <w:t>be prohibited from issuing</w:t>
      </w:r>
      <w:r w:rsidR="00472095" w:rsidRPr="005B1FED">
        <w:rPr>
          <w:color w:val="000000" w:themeColor="text1"/>
          <w:sz w:val="28"/>
          <w:szCs w:val="28"/>
        </w:rPr>
        <w:t xml:space="preserve"> opinions on </w:t>
      </w:r>
      <w:r>
        <w:rPr>
          <w:color w:val="000000" w:themeColor="text1"/>
          <w:sz w:val="28"/>
          <w:szCs w:val="28"/>
        </w:rPr>
        <w:t xml:space="preserve">whether a </w:t>
      </w:r>
      <w:r w:rsidR="00094582">
        <w:rPr>
          <w:color w:val="000000" w:themeColor="text1"/>
          <w:sz w:val="28"/>
          <w:szCs w:val="28"/>
        </w:rPr>
        <w:t xml:space="preserve">non-lawyer’s </w:t>
      </w:r>
      <w:r>
        <w:rPr>
          <w:color w:val="000000" w:themeColor="text1"/>
          <w:sz w:val="28"/>
          <w:szCs w:val="28"/>
        </w:rPr>
        <w:t>past conduct constitutes UPL.</w:t>
      </w:r>
    </w:p>
    <w:p w:rsidR="00487632" w:rsidRDefault="00487632" w:rsidP="00510288">
      <w:pPr>
        <w:spacing w:line="480" w:lineRule="auto"/>
        <w:ind w:firstLine="720"/>
        <w:jc w:val="both"/>
        <w:rPr>
          <w:color w:val="000000" w:themeColor="text1"/>
          <w:sz w:val="28"/>
          <w:szCs w:val="28"/>
        </w:rPr>
      </w:pPr>
      <w:r>
        <w:rPr>
          <w:color w:val="000000" w:themeColor="text1"/>
          <w:sz w:val="28"/>
          <w:szCs w:val="28"/>
        </w:rPr>
        <w:t xml:space="preserve">Prohibiting the AEAC from issuing opinions that involve past conduct would eliminate any possibility that the </w:t>
      </w:r>
      <w:r w:rsidR="005B1FED">
        <w:rPr>
          <w:color w:val="000000" w:themeColor="text1"/>
          <w:sz w:val="28"/>
          <w:szCs w:val="28"/>
        </w:rPr>
        <w:t>AEAC</w:t>
      </w:r>
      <w:r w:rsidR="00094582">
        <w:rPr>
          <w:color w:val="000000" w:themeColor="text1"/>
          <w:sz w:val="28"/>
          <w:szCs w:val="28"/>
        </w:rPr>
        <w:t xml:space="preserve">’s actions </w:t>
      </w:r>
      <w:r w:rsidR="005B1FED">
        <w:rPr>
          <w:color w:val="000000" w:themeColor="text1"/>
          <w:sz w:val="28"/>
          <w:szCs w:val="28"/>
        </w:rPr>
        <w:t xml:space="preserve">would conflict with </w:t>
      </w:r>
      <w:r w:rsidR="00472095" w:rsidRPr="005B1FED">
        <w:rPr>
          <w:color w:val="000000" w:themeColor="text1"/>
          <w:sz w:val="28"/>
          <w:szCs w:val="28"/>
        </w:rPr>
        <w:t xml:space="preserve">judicial bodies </w:t>
      </w:r>
      <w:r>
        <w:rPr>
          <w:color w:val="000000" w:themeColor="text1"/>
          <w:sz w:val="28"/>
          <w:szCs w:val="28"/>
        </w:rPr>
        <w:t>that act within</w:t>
      </w:r>
      <w:r w:rsidR="00472095" w:rsidRPr="005B1FED">
        <w:rPr>
          <w:color w:val="000000" w:themeColor="text1"/>
          <w:sz w:val="28"/>
          <w:szCs w:val="28"/>
        </w:rPr>
        <w:t xml:space="preserve"> the lawyer-regulation system</w:t>
      </w:r>
      <w:r w:rsidR="005B1FED">
        <w:rPr>
          <w:color w:val="000000" w:themeColor="text1"/>
          <w:sz w:val="28"/>
          <w:szCs w:val="28"/>
        </w:rPr>
        <w:t xml:space="preserve"> or </w:t>
      </w:r>
      <w:r>
        <w:rPr>
          <w:color w:val="000000" w:themeColor="text1"/>
          <w:sz w:val="28"/>
          <w:szCs w:val="28"/>
        </w:rPr>
        <w:t>which rule on non-member UPL prosecutions.</w:t>
      </w:r>
    </w:p>
    <w:p w:rsidR="00487632" w:rsidRPr="00821313" w:rsidRDefault="00472095" w:rsidP="00510288">
      <w:pPr>
        <w:spacing w:line="480" w:lineRule="auto"/>
        <w:ind w:firstLine="720"/>
        <w:jc w:val="both"/>
        <w:rPr>
          <w:color w:val="000000" w:themeColor="text1"/>
          <w:sz w:val="28"/>
          <w:szCs w:val="28"/>
        </w:rPr>
      </w:pPr>
      <w:r w:rsidRPr="005B1FED">
        <w:rPr>
          <w:color w:val="000000" w:themeColor="text1"/>
          <w:sz w:val="28"/>
          <w:szCs w:val="28"/>
          <w:u w:val="single"/>
        </w:rPr>
        <w:t>Pending disciplinary litigation</w:t>
      </w:r>
      <w:r w:rsidRPr="005B1FED">
        <w:rPr>
          <w:color w:val="000000" w:themeColor="text1"/>
          <w:sz w:val="28"/>
          <w:szCs w:val="28"/>
        </w:rPr>
        <w:t xml:space="preserve">: </w:t>
      </w:r>
      <w:r w:rsidR="005B1FED">
        <w:rPr>
          <w:color w:val="000000" w:themeColor="text1"/>
          <w:sz w:val="28"/>
          <w:szCs w:val="28"/>
        </w:rPr>
        <w:t xml:space="preserve">Because of the possibility that someone involved with a discipline or UPL proceeding will request a formal advisory opinion, the AEAC should </w:t>
      </w:r>
      <w:r w:rsidR="005B1FED" w:rsidRPr="005B1FED">
        <w:rPr>
          <w:color w:val="000000" w:themeColor="text1"/>
          <w:sz w:val="28"/>
          <w:szCs w:val="28"/>
        </w:rPr>
        <w:t xml:space="preserve">ensure that </w:t>
      </w:r>
      <w:r w:rsidR="00094582">
        <w:rPr>
          <w:color w:val="000000" w:themeColor="text1"/>
          <w:sz w:val="28"/>
          <w:szCs w:val="28"/>
        </w:rPr>
        <w:t xml:space="preserve">an opinion </w:t>
      </w:r>
      <w:r w:rsidR="005B1FED" w:rsidRPr="005B1FED">
        <w:rPr>
          <w:color w:val="000000" w:themeColor="text1"/>
          <w:sz w:val="28"/>
          <w:szCs w:val="28"/>
        </w:rPr>
        <w:t xml:space="preserve">request </w:t>
      </w:r>
      <w:r w:rsidR="00487632">
        <w:rPr>
          <w:color w:val="000000" w:themeColor="text1"/>
          <w:sz w:val="28"/>
          <w:szCs w:val="28"/>
        </w:rPr>
        <w:t xml:space="preserve">being </w:t>
      </w:r>
      <w:r w:rsidR="005B1FED" w:rsidRPr="005B1FED">
        <w:rPr>
          <w:color w:val="000000" w:themeColor="text1"/>
          <w:sz w:val="28"/>
          <w:szCs w:val="28"/>
        </w:rPr>
        <w:t xml:space="preserve">resolved formally does not involve a pending disciplinary </w:t>
      </w:r>
      <w:r w:rsidR="005B1FED">
        <w:rPr>
          <w:color w:val="000000" w:themeColor="text1"/>
          <w:sz w:val="28"/>
          <w:szCs w:val="28"/>
        </w:rPr>
        <w:t xml:space="preserve">or UPL </w:t>
      </w:r>
      <w:r w:rsidR="005B1FED" w:rsidRPr="005B1FED">
        <w:rPr>
          <w:color w:val="000000" w:themeColor="text1"/>
          <w:sz w:val="28"/>
          <w:szCs w:val="28"/>
        </w:rPr>
        <w:t>proceeding.</w:t>
      </w:r>
      <w:r w:rsidR="005B1FED">
        <w:rPr>
          <w:color w:val="000000" w:themeColor="text1"/>
          <w:sz w:val="28"/>
          <w:szCs w:val="28"/>
        </w:rPr>
        <w:t xml:space="preserve"> </w:t>
      </w:r>
      <w:r w:rsidR="009C6843">
        <w:rPr>
          <w:color w:val="000000" w:themeColor="text1"/>
          <w:sz w:val="28"/>
          <w:szCs w:val="28"/>
        </w:rPr>
        <w:t>The AEAC and/or supreme court staff on its behalf should therefore be authorized to consult as necessary with participants in the lawyer discipline system and UPL process.</w:t>
      </w:r>
    </w:p>
    <w:p w:rsidR="000C48A9" w:rsidRPr="00D14CF1" w:rsidRDefault="00440489" w:rsidP="000C48A9">
      <w:pPr>
        <w:pStyle w:val="Body"/>
        <w:widowControl w:val="0"/>
        <w:tabs>
          <w:tab w:val="left" w:pos="720"/>
        </w:tabs>
        <w:ind w:firstLine="0"/>
        <w:rPr>
          <w:sz w:val="28"/>
          <w:szCs w:val="28"/>
        </w:rPr>
      </w:pPr>
      <w:r>
        <w:rPr>
          <w:sz w:val="28"/>
          <w:szCs w:val="28"/>
        </w:rPr>
        <w:tab/>
      </w:r>
      <w:r w:rsidR="000C48A9" w:rsidRPr="00D14CF1">
        <w:rPr>
          <w:sz w:val="28"/>
          <w:szCs w:val="28"/>
        </w:rPr>
        <w:t xml:space="preserve">RESPECTFULLY SUBMITTED this </w:t>
      </w:r>
      <w:r w:rsidR="00A24BE8">
        <w:rPr>
          <w:b/>
          <w:sz w:val="28"/>
          <w:szCs w:val="28"/>
        </w:rPr>
        <w:t>__</w:t>
      </w:r>
      <w:r w:rsidR="006720DE">
        <w:rPr>
          <w:b/>
          <w:sz w:val="28"/>
          <w:szCs w:val="28"/>
        </w:rPr>
        <w:t>__</w:t>
      </w:r>
      <w:r w:rsidR="006820CB">
        <w:rPr>
          <w:b/>
          <w:sz w:val="28"/>
          <w:szCs w:val="28"/>
        </w:rPr>
        <w:t xml:space="preserve"> </w:t>
      </w:r>
      <w:r w:rsidR="000C48A9" w:rsidRPr="00D14CF1">
        <w:rPr>
          <w:sz w:val="28"/>
          <w:szCs w:val="28"/>
        </w:rPr>
        <w:t>day of</w:t>
      </w:r>
      <w:r w:rsidR="00B7182E">
        <w:rPr>
          <w:sz w:val="28"/>
          <w:szCs w:val="28"/>
        </w:rPr>
        <w:t xml:space="preserve"> </w:t>
      </w:r>
      <w:proofErr w:type="gramStart"/>
      <w:r w:rsidR="00A24BE8" w:rsidRPr="00237B6C">
        <w:rPr>
          <w:sz w:val="28"/>
          <w:szCs w:val="28"/>
        </w:rPr>
        <w:t>May</w:t>
      </w:r>
      <w:r>
        <w:rPr>
          <w:sz w:val="28"/>
          <w:szCs w:val="28"/>
        </w:rPr>
        <w:t>,</w:t>
      </w:r>
      <w:proofErr w:type="gramEnd"/>
      <w:r w:rsidR="007329E2" w:rsidRPr="00D14CF1">
        <w:rPr>
          <w:sz w:val="28"/>
          <w:szCs w:val="28"/>
        </w:rPr>
        <w:t xml:space="preserve"> 2018</w:t>
      </w:r>
      <w:r w:rsidR="000C48A9" w:rsidRPr="00D14CF1">
        <w:rPr>
          <w:sz w:val="28"/>
          <w:szCs w:val="28"/>
        </w:rPr>
        <w:t>.</w:t>
      </w:r>
    </w:p>
    <w:p w:rsidR="000C48A9" w:rsidRDefault="000C48A9" w:rsidP="000C48A9">
      <w:pPr>
        <w:pStyle w:val="Body"/>
        <w:widowControl w:val="0"/>
        <w:tabs>
          <w:tab w:val="left" w:pos="720"/>
        </w:tabs>
        <w:ind w:firstLine="0"/>
        <w:rPr>
          <w:sz w:val="28"/>
          <w:szCs w:val="28"/>
        </w:rPr>
      </w:pPr>
    </w:p>
    <w:p w:rsidR="00A24BE8" w:rsidRDefault="00A24BE8" w:rsidP="000C48A9">
      <w:pPr>
        <w:pStyle w:val="Body"/>
        <w:widowControl w:val="0"/>
        <w:tabs>
          <w:tab w:val="left" w:pos="720"/>
        </w:tabs>
        <w:ind w:firstLine="0"/>
        <w:rPr>
          <w:sz w:val="28"/>
          <w:szCs w:val="28"/>
        </w:rPr>
      </w:pPr>
    </w:p>
    <w:p w:rsidR="00A24BE8" w:rsidRDefault="00A24BE8" w:rsidP="00A24BE8">
      <w:pPr>
        <w:pStyle w:val="FirmInformation"/>
        <w:spacing w:line="240" w:lineRule="auto"/>
        <w:ind w:left="4320" w:right="-227"/>
        <w:rPr>
          <w:sz w:val="28"/>
          <w:szCs w:val="28"/>
        </w:rPr>
      </w:pPr>
      <w:r>
        <w:rPr>
          <w:sz w:val="28"/>
          <w:szCs w:val="28"/>
        </w:rPr>
        <w:t>_________________________________</w:t>
      </w:r>
    </w:p>
    <w:p w:rsidR="00A24BE8" w:rsidRDefault="00A24BE8" w:rsidP="00A24BE8">
      <w:pPr>
        <w:pStyle w:val="FirmInformation"/>
        <w:spacing w:line="240" w:lineRule="auto"/>
        <w:ind w:left="4320" w:right="-227"/>
        <w:rPr>
          <w:sz w:val="28"/>
          <w:szCs w:val="28"/>
        </w:rPr>
      </w:pPr>
      <w:r w:rsidRPr="00D14CF1">
        <w:rPr>
          <w:sz w:val="28"/>
          <w:szCs w:val="28"/>
        </w:rPr>
        <w:t xml:space="preserve">Hon. </w:t>
      </w:r>
      <w:r>
        <w:rPr>
          <w:sz w:val="28"/>
          <w:szCs w:val="28"/>
        </w:rPr>
        <w:t xml:space="preserve">Ann </w:t>
      </w:r>
      <w:r w:rsidR="00D566C2">
        <w:rPr>
          <w:sz w:val="28"/>
          <w:szCs w:val="28"/>
        </w:rPr>
        <w:t xml:space="preserve">A. </w:t>
      </w:r>
      <w:r>
        <w:rPr>
          <w:sz w:val="28"/>
          <w:szCs w:val="28"/>
        </w:rPr>
        <w:t xml:space="preserve">Scott Timmer, </w:t>
      </w:r>
      <w:r w:rsidR="00D566C2">
        <w:rPr>
          <w:sz w:val="28"/>
          <w:szCs w:val="28"/>
        </w:rPr>
        <w:t>C</w:t>
      </w:r>
      <w:r>
        <w:rPr>
          <w:sz w:val="28"/>
          <w:szCs w:val="28"/>
        </w:rPr>
        <w:t>hair</w:t>
      </w:r>
    </w:p>
    <w:p w:rsidR="00A24BE8" w:rsidRPr="00D14CF1" w:rsidRDefault="00A24BE8" w:rsidP="00A24BE8">
      <w:pPr>
        <w:pStyle w:val="FirmInformation"/>
        <w:spacing w:line="240" w:lineRule="auto"/>
        <w:ind w:left="4320"/>
        <w:rPr>
          <w:sz w:val="28"/>
          <w:szCs w:val="28"/>
        </w:rPr>
      </w:pPr>
      <w:r>
        <w:rPr>
          <w:sz w:val="28"/>
          <w:szCs w:val="28"/>
        </w:rPr>
        <w:t>Attorney Regulation Advisory Committee</w:t>
      </w:r>
    </w:p>
    <w:p w:rsidR="000C48A9" w:rsidRPr="00D14CF1" w:rsidRDefault="000C48A9" w:rsidP="000C48A9">
      <w:pPr>
        <w:pStyle w:val="PleadingSignature"/>
        <w:keepNext w:val="0"/>
        <w:keepLines w:val="0"/>
        <w:spacing w:line="240" w:lineRule="auto"/>
        <w:ind w:left="5070"/>
        <w:rPr>
          <w:sz w:val="28"/>
          <w:szCs w:val="28"/>
        </w:rPr>
      </w:pPr>
    </w:p>
    <w:p w:rsidR="00052372" w:rsidRPr="000F7A7F" w:rsidRDefault="00052372" w:rsidP="00933EA1">
      <w:pPr>
        <w:tabs>
          <w:tab w:val="left" w:pos="8145"/>
        </w:tabs>
        <w:rPr>
          <w:sz w:val="26"/>
          <w:szCs w:val="26"/>
        </w:rPr>
      </w:pPr>
    </w:p>
    <w:sectPr w:rsidR="00052372" w:rsidRPr="000F7A7F" w:rsidSect="006F63FD">
      <w:headerReference w:type="even" r:id="rId8"/>
      <w:headerReference w:type="default" r:id="rId9"/>
      <w:footerReference w:type="even" r:id="rId10"/>
      <w:footerReference w:type="default" r:id="rId11"/>
      <w:headerReference w:type="first" r:id="rId12"/>
      <w:footerReference w:type="firs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2C7" w:rsidRDefault="009872C7">
      <w:r>
        <w:separator/>
      </w:r>
    </w:p>
  </w:endnote>
  <w:endnote w:type="continuationSeparator" w:id="0">
    <w:p w:rsidR="009872C7" w:rsidRDefault="0098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820CB">
          <w:rPr>
            <w:noProof/>
            <w:sz w:val="26"/>
            <w:szCs w:val="26"/>
          </w:rPr>
          <w:t>10</w:t>
        </w:r>
        <w:r w:rsidRPr="006B4F9A">
          <w:rPr>
            <w:noProof/>
            <w:sz w:val="26"/>
            <w:szCs w:val="26"/>
          </w:rPr>
          <w:fldChar w:fldCharType="end"/>
        </w:r>
      </w:p>
    </w:sdtContent>
  </w:sdt>
  <w:p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48" w:rsidRDefault="00DE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2C7" w:rsidRDefault="009872C7">
      <w:r>
        <w:separator/>
      </w:r>
    </w:p>
  </w:footnote>
  <w:footnote w:type="continuationSeparator" w:id="0">
    <w:p w:rsidR="009872C7" w:rsidRDefault="0098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48" w:rsidRDefault="00DE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DHpcCy4wAAABIB&#10;AAAPAAAAZHJzL2Rvd25yZXYueG1sTE/JboMwEL1Xyj9YU6mXitixFIQIJmpCe2sPWZSzAy6g4jHC&#10;JpC/7+TUXkazvHlLtp1tx25m8K1DBaulAGawdFWLtYLz6SNKgPmgsdKdQ6Pgbjxs88VTptPKTXgw&#10;t2OoGZGgT7WCJoQ+5dyXjbHaL11vkG7fbrA60DjUvBr0ROS241KImFvdIik0ujf7xpQ/x9EqiIth&#10;nA64fy3O75/6q6/lZXe/KPXyPBcbKm8bYMHM4e8DHhnIP+Rk7OpGrDzrFEQrIShAeHTxGhhBIpnQ&#10;5kpYmcg18Dzj/6PkvwAAAP//AwBQSwECLQAUAAYACAAAACEAtoM4kv4AAADhAQAAEwAAAAAAAAAA&#10;AAAAAAAAAAAAW0NvbnRlbnRfVHlwZXNdLnhtbFBLAQItABQABgAIAAAAIQA4/SH/1gAAAJQBAAAL&#10;AAAAAAAAAAAAAAAAAC8BAABfcmVscy8ucmVsc1BLAQItABQABgAIAAAAIQDcGmkRdAIAAPQEAAAO&#10;AAAAAAAAAAAAAAAAAC4CAABkcnMvZTJvRG9jLnhtbFBLAQItABQABgAIAAAAIQDHpcCy4wAAABIB&#10;AAAPAAAAAAAAAAAAAAAAAM4EAABkcnMvZG93bnJldi54bWxQSwUGAAAAAAQABADzAAAA3g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48" w:rsidRDefault="00DE0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
  </w:num>
  <w:num w:numId="4">
    <w:abstractNumId w:val="7"/>
  </w:num>
  <w:num w:numId="5">
    <w:abstractNumId w:val="10"/>
  </w:num>
  <w:num w:numId="6">
    <w:abstractNumId w:val="11"/>
  </w:num>
  <w:num w:numId="7">
    <w:abstractNumId w:val="2"/>
  </w:num>
  <w:num w:numId="8">
    <w:abstractNumId w:val="17"/>
  </w:num>
  <w:num w:numId="9">
    <w:abstractNumId w:val="12"/>
  </w:num>
  <w:num w:numId="10">
    <w:abstractNumId w:val="14"/>
  </w:num>
  <w:num w:numId="11">
    <w:abstractNumId w:val="13"/>
  </w:num>
  <w:num w:numId="12">
    <w:abstractNumId w:val="8"/>
  </w:num>
  <w:num w:numId="13">
    <w:abstractNumId w:val="4"/>
  </w:num>
  <w:num w:numId="14">
    <w:abstractNumId w:val="6"/>
  </w:num>
  <w:num w:numId="15">
    <w:abstractNumId w:val="9"/>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94582"/>
    <w:rsid w:val="000A0155"/>
    <w:rsid w:val="000A1D6B"/>
    <w:rsid w:val="000C48A9"/>
    <w:rsid w:val="000F7A7F"/>
    <w:rsid w:val="000F7C13"/>
    <w:rsid w:val="001033D4"/>
    <w:rsid w:val="00135326"/>
    <w:rsid w:val="001A2520"/>
    <w:rsid w:val="001F591C"/>
    <w:rsid w:val="00237B6C"/>
    <w:rsid w:val="002550E3"/>
    <w:rsid w:val="00274D6A"/>
    <w:rsid w:val="00321387"/>
    <w:rsid w:val="00352347"/>
    <w:rsid w:val="003566D6"/>
    <w:rsid w:val="00357F4D"/>
    <w:rsid w:val="003617D1"/>
    <w:rsid w:val="00377199"/>
    <w:rsid w:val="00380C44"/>
    <w:rsid w:val="003A28AC"/>
    <w:rsid w:val="003A4DA0"/>
    <w:rsid w:val="003B35C2"/>
    <w:rsid w:val="0040497A"/>
    <w:rsid w:val="00407E2D"/>
    <w:rsid w:val="004331B2"/>
    <w:rsid w:val="00440489"/>
    <w:rsid w:val="00440E4C"/>
    <w:rsid w:val="00463734"/>
    <w:rsid w:val="00472095"/>
    <w:rsid w:val="00487632"/>
    <w:rsid w:val="00494BDF"/>
    <w:rsid w:val="004C3AE3"/>
    <w:rsid w:val="00504E1E"/>
    <w:rsid w:val="0050563A"/>
    <w:rsid w:val="00506859"/>
    <w:rsid w:val="00510288"/>
    <w:rsid w:val="00520F93"/>
    <w:rsid w:val="00566856"/>
    <w:rsid w:val="005A21B0"/>
    <w:rsid w:val="005B1FED"/>
    <w:rsid w:val="005B5161"/>
    <w:rsid w:val="005D6AD4"/>
    <w:rsid w:val="00605876"/>
    <w:rsid w:val="00606BCE"/>
    <w:rsid w:val="006338C1"/>
    <w:rsid w:val="00636F5E"/>
    <w:rsid w:val="0066306D"/>
    <w:rsid w:val="00665CCF"/>
    <w:rsid w:val="006666D1"/>
    <w:rsid w:val="006720DE"/>
    <w:rsid w:val="006721EC"/>
    <w:rsid w:val="006766BF"/>
    <w:rsid w:val="006820CB"/>
    <w:rsid w:val="006932BA"/>
    <w:rsid w:val="006B4F9A"/>
    <w:rsid w:val="006F63FD"/>
    <w:rsid w:val="00732169"/>
    <w:rsid w:val="007329E2"/>
    <w:rsid w:val="00735659"/>
    <w:rsid w:val="007427C6"/>
    <w:rsid w:val="0077110E"/>
    <w:rsid w:val="007870CB"/>
    <w:rsid w:val="007A3F0F"/>
    <w:rsid w:val="007D5C49"/>
    <w:rsid w:val="007D73FF"/>
    <w:rsid w:val="008006ED"/>
    <w:rsid w:val="00821313"/>
    <w:rsid w:val="00822598"/>
    <w:rsid w:val="008360A1"/>
    <w:rsid w:val="00861563"/>
    <w:rsid w:val="00871AAA"/>
    <w:rsid w:val="00876F57"/>
    <w:rsid w:val="00891AAA"/>
    <w:rsid w:val="008C167C"/>
    <w:rsid w:val="00915625"/>
    <w:rsid w:val="0092401D"/>
    <w:rsid w:val="00933EA1"/>
    <w:rsid w:val="00951416"/>
    <w:rsid w:val="00960D21"/>
    <w:rsid w:val="00977277"/>
    <w:rsid w:val="00981D29"/>
    <w:rsid w:val="00981E11"/>
    <w:rsid w:val="009872C7"/>
    <w:rsid w:val="009C6843"/>
    <w:rsid w:val="00A1564B"/>
    <w:rsid w:val="00A24BE8"/>
    <w:rsid w:val="00A5194F"/>
    <w:rsid w:val="00A8678A"/>
    <w:rsid w:val="00A871D6"/>
    <w:rsid w:val="00A915B8"/>
    <w:rsid w:val="00A93A7C"/>
    <w:rsid w:val="00AF282C"/>
    <w:rsid w:val="00AF3FF7"/>
    <w:rsid w:val="00B1491D"/>
    <w:rsid w:val="00B30CE0"/>
    <w:rsid w:val="00B44D38"/>
    <w:rsid w:val="00B47B7D"/>
    <w:rsid w:val="00B7182E"/>
    <w:rsid w:val="00BD5908"/>
    <w:rsid w:val="00BF5FC3"/>
    <w:rsid w:val="00C03E0F"/>
    <w:rsid w:val="00C3523D"/>
    <w:rsid w:val="00C52E56"/>
    <w:rsid w:val="00C5407A"/>
    <w:rsid w:val="00C662B0"/>
    <w:rsid w:val="00C84FD4"/>
    <w:rsid w:val="00C94B98"/>
    <w:rsid w:val="00C958EE"/>
    <w:rsid w:val="00CD21FB"/>
    <w:rsid w:val="00CE39A2"/>
    <w:rsid w:val="00D14CF1"/>
    <w:rsid w:val="00D423FE"/>
    <w:rsid w:val="00D442E4"/>
    <w:rsid w:val="00D566C2"/>
    <w:rsid w:val="00D80EDC"/>
    <w:rsid w:val="00DC63E4"/>
    <w:rsid w:val="00DE0448"/>
    <w:rsid w:val="00DF4F15"/>
    <w:rsid w:val="00E047D3"/>
    <w:rsid w:val="00E266B7"/>
    <w:rsid w:val="00E321C5"/>
    <w:rsid w:val="00E5772B"/>
    <w:rsid w:val="00E67511"/>
    <w:rsid w:val="00E82D0F"/>
    <w:rsid w:val="00E950B5"/>
    <w:rsid w:val="00ED0E96"/>
    <w:rsid w:val="00F05879"/>
    <w:rsid w:val="00F06F5B"/>
    <w:rsid w:val="00F241DA"/>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3D81F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6C1A-8A29-40CE-A5FF-BB6E2E30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11</TotalTime>
  <Pages>4</Pages>
  <Words>748</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Novak, Katherine</cp:lastModifiedBy>
  <cp:revision>7</cp:revision>
  <cp:lastPrinted>2018-05-18T19:38:00Z</cp:lastPrinted>
  <dcterms:created xsi:type="dcterms:W3CDTF">2018-05-15T23:42:00Z</dcterms:created>
  <dcterms:modified xsi:type="dcterms:W3CDTF">2018-05-18T19:43:00Z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