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236" w:type="dxa"/>
        <w:tblLayout w:type="fixed"/>
        <w:tblLook w:val="0000" w:firstRow="0" w:lastRow="0" w:firstColumn="0" w:lastColumn="0" w:noHBand="0" w:noVBand="0"/>
      </w:tblPr>
      <w:tblGrid>
        <w:gridCol w:w="4836"/>
        <w:gridCol w:w="4200"/>
        <w:gridCol w:w="4200"/>
      </w:tblGrid>
      <w:tr w:rsidR="00C660BE" w:rsidRPr="000F7A7F" w:rsidTr="00C660BE">
        <w:trPr>
          <w:cantSplit/>
          <w:trHeight w:val="1987"/>
        </w:trPr>
        <w:tc>
          <w:tcPr>
            <w:tcW w:w="4836" w:type="dxa"/>
          </w:tcPr>
          <w:p w:rsidR="00C660BE" w:rsidRDefault="002D1788" w:rsidP="00C660BE">
            <w:pPr>
              <w:pStyle w:val="FirmInformation"/>
              <w:spacing w:line="240" w:lineRule="auto"/>
              <w:ind w:right="0"/>
              <w:rPr>
                <w:sz w:val="28"/>
                <w:szCs w:val="28"/>
              </w:rPr>
            </w:pPr>
            <w:bookmarkStart w:id="0" w:name="_zzmpFIXED_CounselTable"/>
            <w:r>
              <w:rPr>
                <w:sz w:val="28"/>
                <w:szCs w:val="28"/>
              </w:rPr>
              <w:t>Arizona Supreme Court</w:t>
            </w:r>
          </w:p>
          <w:p w:rsidR="00384342" w:rsidRDefault="002D1788" w:rsidP="00C660BE">
            <w:pPr>
              <w:pStyle w:val="FirmInformation"/>
              <w:spacing w:line="240" w:lineRule="auto"/>
              <w:ind w:right="0"/>
              <w:rPr>
                <w:sz w:val="28"/>
                <w:szCs w:val="28"/>
              </w:rPr>
            </w:pPr>
            <w:r>
              <w:rPr>
                <w:sz w:val="28"/>
                <w:szCs w:val="28"/>
              </w:rPr>
              <w:t xml:space="preserve">Attorney Regulation </w:t>
            </w:r>
          </w:p>
          <w:p w:rsidR="002D1788" w:rsidRDefault="002D1788" w:rsidP="00C660BE">
            <w:pPr>
              <w:pStyle w:val="FirmInformation"/>
              <w:spacing w:line="240" w:lineRule="auto"/>
              <w:ind w:right="0"/>
              <w:rPr>
                <w:sz w:val="28"/>
                <w:szCs w:val="28"/>
              </w:rPr>
            </w:pPr>
            <w:r>
              <w:rPr>
                <w:sz w:val="28"/>
                <w:szCs w:val="28"/>
              </w:rPr>
              <w:t>Advisory</w:t>
            </w:r>
            <w:r w:rsidR="00384342">
              <w:rPr>
                <w:sz w:val="28"/>
                <w:szCs w:val="28"/>
              </w:rPr>
              <w:t xml:space="preserve"> </w:t>
            </w:r>
            <w:r>
              <w:rPr>
                <w:sz w:val="28"/>
                <w:szCs w:val="28"/>
              </w:rPr>
              <w:t>Committee</w:t>
            </w:r>
          </w:p>
          <w:p w:rsidR="002D1788" w:rsidRDefault="002D1788" w:rsidP="00C660BE">
            <w:pPr>
              <w:pStyle w:val="FirmInformation"/>
              <w:spacing w:line="240" w:lineRule="auto"/>
              <w:ind w:right="0"/>
              <w:rPr>
                <w:sz w:val="28"/>
                <w:szCs w:val="28"/>
              </w:rPr>
            </w:pPr>
            <w:r>
              <w:rPr>
                <w:sz w:val="28"/>
                <w:szCs w:val="28"/>
              </w:rPr>
              <w:t xml:space="preserve">1501 W. Washington St. </w:t>
            </w:r>
          </w:p>
          <w:p w:rsidR="002D1788" w:rsidRPr="00735659" w:rsidRDefault="002D1788" w:rsidP="00C660BE">
            <w:pPr>
              <w:pStyle w:val="FirmInformation"/>
              <w:spacing w:line="240" w:lineRule="auto"/>
              <w:ind w:right="0"/>
              <w:rPr>
                <w:sz w:val="28"/>
                <w:szCs w:val="28"/>
              </w:rPr>
            </w:pPr>
            <w:r>
              <w:rPr>
                <w:sz w:val="28"/>
                <w:szCs w:val="28"/>
              </w:rPr>
              <w:t>Phoenix, AZ 85007</w:t>
            </w:r>
          </w:p>
        </w:tc>
        <w:tc>
          <w:tcPr>
            <w:tcW w:w="4200" w:type="dxa"/>
          </w:tcPr>
          <w:p w:rsidR="00C660BE" w:rsidRPr="000F7A7F" w:rsidRDefault="00C660BE" w:rsidP="00C660BE">
            <w:pPr>
              <w:ind w:right="113"/>
              <w:rPr>
                <w:sz w:val="26"/>
                <w:szCs w:val="26"/>
              </w:rPr>
            </w:pPr>
          </w:p>
        </w:tc>
        <w:tc>
          <w:tcPr>
            <w:tcW w:w="4200" w:type="dxa"/>
          </w:tcPr>
          <w:p w:rsidR="00C660BE" w:rsidRPr="000F7A7F" w:rsidRDefault="00C660BE"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8336C2" w:rsidRDefault="00E67511" w:rsidP="008336C2">
            <w:pPr>
              <w:pStyle w:val="Caption"/>
              <w:spacing w:before="240" w:line="260" w:lineRule="exact"/>
              <w:rPr>
                <w:b/>
                <w:sz w:val="28"/>
                <w:szCs w:val="28"/>
              </w:rPr>
            </w:pPr>
            <w:r w:rsidRPr="00732169">
              <w:rPr>
                <w:b/>
                <w:sz w:val="28"/>
                <w:szCs w:val="28"/>
              </w:rPr>
              <w:t xml:space="preserve">PETITION TO </w:t>
            </w:r>
            <w:r w:rsidR="002D1788">
              <w:rPr>
                <w:b/>
                <w:sz w:val="28"/>
                <w:szCs w:val="28"/>
              </w:rPr>
              <w:t>AMEND RULE 43</w:t>
            </w:r>
            <w:r w:rsidR="00014002">
              <w:rPr>
                <w:b/>
                <w:sz w:val="28"/>
                <w:szCs w:val="28"/>
              </w:rPr>
              <w:t xml:space="preserve"> </w:t>
            </w:r>
            <w:r w:rsidR="002D1788">
              <w:rPr>
                <w:b/>
                <w:sz w:val="28"/>
                <w:szCs w:val="28"/>
              </w:rPr>
              <w:t xml:space="preserve">OF THE ARIZONA RULES OF THE </w:t>
            </w:r>
            <w:r w:rsidR="00014002">
              <w:rPr>
                <w:b/>
                <w:sz w:val="28"/>
                <w:szCs w:val="28"/>
              </w:rPr>
              <w:t>SUPREME COURT</w:t>
            </w:r>
          </w:p>
          <w:p w:rsidR="008336C2" w:rsidRPr="008336C2" w:rsidRDefault="008336C2" w:rsidP="008336C2"/>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2D1788">
              <w:rPr>
                <w:sz w:val="28"/>
                <w:szCs w:val="28"/>
              </w:rPr>
              <w:t>7</w:t>
            </w:r>
            <w:r w:rsidR="00F850BE">
              <w:rPr>
                <w:sz w:val="28"/>
                <w:szCs w:val="28"/>
              </w:rPr>
              <w:t>-</w:t>
            </w:r>
            <w:r w:rsidR="00E84CB6">
              <w:rPr>
                <w:sz w:val="28"/>
                <w:szCs w:val="28"/>
              </w:rPr>
              <w:t>00</w:t>
            </w:r>
            <w:r w:rsidR="002D1788">
              <w:rPr>
                <w:sz w:val="28"/>
                <w:szCs w:val="28"/>
              </w:rPr>
              <w:t>4</w:t>
            </w:r>
            <w:r w:rsidR="00E84CB6">
              <w:rPr>
                <w:sz w:val="28"/>
                <w:szCs w:val="28"/>
              </w:rPr>
              <w:t>4</w:t>
            </w:r>
          </w:p>
          <w:p w:rsidR="002D1788" w:rsidRPr="002D1788" w:rsidRDefault="002D1788" w:rsidP="00CB6E23">
            <w:pPr>
              <w:pStyle w:val="Caption"/>
              <w:spacing w:line="240" w:lineRule="auto"/>
              <w:ind w:right="115"/>
              <w:jc w:val="center"/>
            </w:pPr>
            <w:r w:rsidRPr="00CB6E23">
              <w:rPr>
                <w:b/>
                <w:sz w:val="28"/>
                <w:szCs w:val="28"/>
              </w:rPr>
              <w:t>Comment of the Attorney Regulation</w:t>
            </w:r>
            <w:r w:rsidR="00CB6E23">
              <w:rPr>
                <w:b/>
                <w:sz w:val="28"/>
                <w:szCs w:val="28"/>
              </w:rPr>
              <w:t xml:space="preserve"> </w:t>
            </w:r>
            <w:r w:rsidRPr="00CB6E23">
              <w:rPr>
                <w:b/>
                <w:sz w:val="28"/>
                <w:szCs w:val="28"/>
              </w:rPr>
              <w:t>Advisory Committee</w:t>
            </w:r>
          </w:p>
        </w:tc>
      </w:tr>
      <w:bookmarkEnd w:id="1"/>
    </w:tbl>
    <w:p w:rsidR="004331B2" w:rsidRDefault="004331B2" w:rsidP="006338C1">
      <w:pPr>
        <w:pStyle w:val="Body"/>
        <w:widowControl w:val="0"/>
        <w:ind w:firstLine="720"/>
        <w:jc w:val="both"/>
        <w:rPr>
          <w:sz w:val="28"/>
          <w:szCs w:val="28"/>
        </w:rPr>
      </w:pPr>
    </w:p>
    <w:p w:rsidR="008A5297" w:rsidRDefault="008A5297" w:rsidP="008A5297">
      <w:pPr>
        <w:pStyle w:val="Body"/>
        <w:widowControl w:val="0"/>
        <w:spacing w:line="480" w:lineRule="auto"/>
        <w:ind w:firstLine="0"/>
        <w:rPr>
          <w:rStyle w:val="BodyTextChar"/>
          <w:sz w:val="28"/>
          <w:szCs w:val="28"/>
        </w:rPr>
      </w:pPr>
      <w:r>
        <w:rPr>
          <w:rStyle w:val="BodyTextChar"/>
          <w:b/>
          <w:sz w:val="28"/>
          <w:szCs w:val="28"/>
        </w:rPr>
        <w:tab/>
      </w:r>
      <w:r>
        <w:rPr>
          <w:rStyle w:val="BodyTextChar"/>
          <w:sz w:val="28"/>
          <w:szCs w:val="28"/>
        </w:rPr>
        <w:t>The Arizona Supreme Court Attorney Regulation Advisory Committee (“ARC”) opposes the petition to amend Rule 43</w:t>
      </w:r>
      <w:r w:rsidR="001379FA">
        <w:rPr>
          <w:rStyle w:val="BodyTextChar"/>
          <w:sz w:val="28"/>
          <w:szCs w:val="28"/>
        </w:rPr>
        <w:t xml:space="preserve"> that would remove a number of requirements that serve to protect the public and ensure lawyer accountability.  </w:t>
      </w:r>
    </w:p>
    <w:p w:rsidR="001379FA" w:rsidRDefault="001379FA" w:rsidP="008A5297">
      <w:pPr>
        <w:pStyle w:val="Body"/>
        <w:widowControl w:val="0"/>
        <w:spacing w:line="480" w:lineRule="auto"/>
        <w:ind w:firstLine="0"/>
        <w:rPr>
          <w:rStyle w:val="BodyTextChar"/>
          <w:sz w:val="28"/>
          <w:szCs w:val="28"/>
        </w:rPr>
      </w:pPr>
      <w:r>
        <w:rPr>
          <w:rStyle w:val="BodyTextChar"/>
          <w:sz w:val="28"/>
          <w:szCs w:val="28"/>
        </w:rPr>
        <w:t>Because the rule petition would remove requirements relating to the handling and maintenance of trust accounts that serve to protect the public</w:t>
      </w:r>
      <w:r w:rsidR="00006194">
        <w:rPr>
          <w:rStyle w:val="BodyTextChar"/>
          <w:sz w:val="28"/>
          <w:szCs w:val="28"/>
        </w:rPr>
        <w:t>,</w:t>
      </w:r>
      <w:r>
        <w:rPr>
          <w:rStyle w:val="BodyTextChar"/>
          <w:sz w:val="28"/>
          <w:szCs w:val="28"/>
        </w:rPr>
        <w:t xml:space="preserve"> ARC proposes that the rule petition be denied.</w:t>
      </w:r>
    </w:p>
    <w:p w:rsidR="001379FA" w:rsidRDefault="001379FA" w:rsidP="008A5297">
      <w:pPr>
        <w:pStyle w:val="Body"/>
        <w:widowControl w:val="0"/>
        <w:spacing w:line="480" w:lineRule="auto"/>
        <w:ind w:firstLine="0"/>
        <w:rPr>
          <w:rStyle w:val="BodyTextChar"/>
          <w:sz w:val="28"/>
          <w:szCs w:val="28"/>
        </w:rPr>
      </w:pPr>
      <w:r>
        <w:rPr>
          <w:rStyle w:val="BodyTextChar"/>
          <w:sz w:val="28"/>
          <w:szCs w:val="28"/>
        </w:rPr>
        <w:tab/>
        <w:t>The petition proposes to allow lawyers to obtain overdraft protection for trust accounts; remove</w:t>
      </w:r>
      <w:r w:rsidR="00703CE4">
        <w:rPr>
          <w:rStyle w:val="BodyTextChar"/>
          <w:sz w:val="28"/>
          <w:szCs w:val="28"/>
        </w:rPr>
        <w:t>s</w:t>
      </w:r>
      <w:r>
        <w:rPr>
          <w:rStyle w:val="BodyTextChar"/>
          <w:sz w:val="28"/>
          <w:szCs w:val="28"/>
        </w:rPr>
        <w:t xml:space="preserve"> the requirement that lawyers conduct a monthly three-way reconciliation of trust accounts; provide</w:t>
      </w:r>
      <w:r w:rsidR="00703CE4">
        <w:rPr>
          <w:rStyle w:val="BodyTextChar"/>
          <w:sz w:val="28"/>
          <w:szCs w:val="28"/>
        </w:rPr>
        <w:t>s</w:t>
      </w:r>
      <w:r>
        <w:rPr>
          <w:rStyle w:val="BodyTextChar"/>
          <w:sz w:val="28"/>
          <w:szCs w:val="28"/>
        </w:rPr>
        <w:t xml:space="preserve"> a five-day grace period for a lawyer to remedy an overdraft </w:t>
      </w:r>
      <w:r w:rsidR="00703CE4">
        <w:rPr>
          <w:rStyle w:val="BodyTextChar"/>
          <w:sz w:val="28"/>
          <w:szCs w:val="28"/>
        </w:rPr>
        <w:t xml:space="preserve">wherein the Bar would be precluded from opening an </w:t>
      </w:r>
      <w:r w:rsidR="00703CE4">
        <w:rPr>
          <w:rStyle w:val="BodyTextChar"/>
          <w:sz w:val="28"/>
          <w:szCs w:val="28"/>
        </w:rPr>
        <w:lastRenderedPageBreak/>
        <w:t xml:space="preserve">investigation based on the overdraft; permits a disciplinary investigation </w:t>
      </w:r>
      <w:r w:rsidR="0049557F">
        <w:rPr>
          <w:rStyle w:val="BodyTextChar"/>
          <w:sz w:val="28"/>
          <w:szCs w:val="28"/>
        </w:rPr>
        <w:t xml:space="preserve">only </w:t>
      </w:r>
      <w:r w:rsidR="00703CE4">
        <w:rPr>
          <w:rStyle w:val="BodyTextChar"/>
          <w:sz w:val="28"/>
          <w:szCs w:val="28"/>
        </w:rPr>
        <w:t xml:space="preserve">if the lawyer does not </w:t>
      </w:r>
      <w:r w:rsidR="0049557F">
        <w:rPr>
          <w:rStyle w:val="BodyTextChar"/>
          <w:sz w:val="28"/>
          <w:szCs w:val="28"/>
        </w:rPr>
        <w:t xml:space="preserve">provide a “satisfactory explanation” of the circumstances relating to the overdraft; </w:t>
      </w:r>
      <w:r w:rsidR="00A05D67">
        <w:rPr>
          <w:rStyle w:val="BodyTextChar"/>
          <w:sz w:val="28"/>
          <w:szCs w:val="28"/>
        </w:rPr>
        <w:t xml:space="preserve">and, </w:t>
      </w:r>
      <w:r w:rsidR="0049557F">
        <w:rPr>
          <w:rStyle w:val="BodyTextChar"/>
          <w:sz w:val="28"/>
          <w:szCs w:val="28"/>
        </w:rPr>
        <w:t xml:space="preserve">limits regulatory authority by removing language that permits inquiry when information regarding trust account management comes to the attention of the </w:t>
      </w:r>
      <w:r w:rsidR="00A05D67">
        <w:rPr>
          <w:rStyle w:val="BodyTextChar"/>
          <w:sz w:val="28"/>
          <w:szCs w:val="28"/>
        </w:rPr>
        <w:t xml:space="preserve">State </w:t>
      </w:r>
      <w:r w:rsidR="0049557F">
        <w:rPr>
          <w:rStyle w:val="BodyTextChar"/>
          <w:sz w:val="28"/>
          <w:szCs w:val="28"/>
        </w:rPr>
        <w:t xml:space="preserve">Bar.  </w:t>
      </w:r>
    </w:p>
    <w:p w:rsidR="008D77A1" w:rsidRDefault="008D77A1" w:rsidP="008A5297">
      <w:pPr>
        <w:pStyle w:val="Body"/>
        <w:widowControl w:val="0"/>
        <w:spacing w:line="480" w:lineRule="auto"/>
        <w:ind w:firstLine="0"/>
        <w:rPr>
          <w:rStyle w:val="BodyTextChar"/>
          <w:sz w:val="28"/>
          <w:szCs w:val="28"/>
        </w:rPr>
      </w:pPr>
      <w:r>
        <w:rPr>
          <w:rStyle w:val="BodyTextChar"/>
          <w:sz w:val="28"/>
          <w:szCs w:val="28"/>
        </w:rPr>
        <w:tab/>
        <w:t>The funds contained in a lawyer’s trust account belong to the client</w:t>
      </w:r>
      <w:r w:rsidR="00C45A6B">
        <w:rPr>
          <w:rStyle w:val="BodyTextChar"/>
          <w:sz w:val="28"/>
          <w:szCs w:val="28"/>
        </w:rPr>
        <w:t xml:space="preserve"> or third part</w:t>
      </w:r>
      <w:r w:rsidR="0092235F">
        <w:rPr>
          <w:rStyle w:val="BodyTextChar"/>
          <w:sz w:val="28"/>
          <w:szCs w:val="28"/>
        </w:rPr>
        <w:t>y</w:t>
      </w:r>
      <w:r w:rsidR="00C45A6B">
        <w:rPr>
          <w:rStyle w:val="BodyTextChar"/>
          <w:sz w:val="28"/>
          <w:szCs w:val="28"/>
        </w:rPr>
        <w:t xml:space="preserve"> who ha</w:t>
      </w:r>
      <w:r w:rsidR="0092235F">
        <w:rPr>
          <w:rStyle w:val="BodyTextChar"/>
          <w:sz w:val="28"/>
          <w:szCs w:val="28"/>
        </w:rPr>
        <w:t>s</w:t>
      </w:r>
      <w:r w:rsidR="00C45A6B">
        <w:rPr>
          <w:rStyle w:val="BodyTextChar"/>
          <w:sz w:val="28"/>
          <w:szCs w:val="28"/>
        </w:rPr>
        <w:t xml:space="preserve"> an interest in the funds</w:t>
      </w:r>
      <w:r>
        <w:rPr>
          <w:rStyle w:val="BodyTextChar"/>
          <w:sz w:val="28"/>
          <w:szCs w:val="28"/>
        </w:rPr>
        <w:t xml:space="preserve">.  </w:t>
      </w:r>
      <w:r w:rsidR="00006194">
        <w:rPr>
          <w:rStyle w:val="BodyTextChar"/>
          <w:sz w:val="28"/>
          <w:szCs w:val="28"/>
        </w:rPr>
        <w:t>L</w:t>
      </w:r>
      <w:r>
        <w:rPr>
          <w:rStyle w:val="BodyTextChar"/>
          <w:sz w:val="28"/>
          <w:szCs w:val="28"/>
        </w:rPr>
        <w:t>awyer</w:t>
      </w:r>
      <w:r w:rsidR="00006194">
        <w:rPr>
          <w:rStyle w:val="BodyTextChar"/>
          <w:sz w:val="28"/>
          <w:szCs w:val="28"/>
        </w:rPr>
        <w:t>s h</w:t>
      </w:r>
      <w:r>
        <w:rPr>
          <w:rStyle w:val="BodyTextChar"/>
          <w:sz w:val="28"/>
          <w:szCs w:val="28"/>
        </w:rPr>
        <w:t>a</w:t>
      </w:r>
      <w:r w:rsidR="00006194">
        <w:rPr>
          <w:rStyle w:val="BodyTextChar"/>
          <w:sz w:val="28"/>
          <w:szCs w:val="28"/>
        </w:rPr>
        <w:t>ve</w:t>
      </w:r>
      <w:r>
        <w:rPr>
          <w:rStyle w:val="BodyTextChar"/>
          <w:sz w:val="28"/>
          <w:szCs w:val="28"/>
        </w:rPr>
        <w:t xml:space="preserve"> a fiduciary obligation to maintain and </w:t>
      </w:r>
      <w:r w:rsidR="004E5076">
        <w:rPr>
          <w:rStyle w:val="BodyTextChar"/>
          <w:sz w:val="28"/>
          <w:szCs w:val="28"/>
        </w:rPr>
        <w:t>protect</w:t>
      </w:r>
      <w:r>
        <w:rPr>
          <w:rStyle w:val="BodyTextChar"/>
          <w:sz w:val="28"/>
          <w:szCs w:val="28"/>
        </w:rPr>
        <w:t xml:space="preserve"> the funds that have been entrusted to </w:t>
      </w:r>
      <w:r w:rsidR="004E5076">
        <w:rPr>
          <w:rStyle w:val="BodyTextChar"/>
          <w:sz w:val="28"/>
          <w:szCs w:val="28"/>
        </w:rPr>
        <w:t>them</w:t>
      </w:r>
      <w:r>
        <w:rPr>
          <w:rStyle w:val="BodyTextChar"/>
          <w:sz w:val="28"/>
          <w:szCs w:val="28"/>
        </w:rPr>
        <w:t>.  The current rules provide for the protection of the client</w:t>
      </w:r>
      <w:r w:rsidR="004E3982">
        <w:rPr>
          <w:rStyle w:val="BodyTextChar"/>
          <w:sz w:val="28"/>
          <w:szCs w:val="28"/>
        </w:rPr>
        <w:t xml:space="preserve"> by creating accountability</w:t>
      </w:r>
      <w:r>
        <w:rPr>
          <w:rStyle w:val="BodyTextChar"/>
          <w:sz w:val="28"/>
          <w:szCs w:val="28"/>
        </w:rPr>
        <w:t xml:space="preserve"> </w:t>
      </w:r>
      <w:r w:rsidR="00C45A6B">
        <w:rPr>
          <w:rStyle w:val="BodyTextChar"/>
          <w:sz w:val="28"/>
          <w:szCs w:val="28"/>
        </w:rPr>
        <w:t xml:space="preserve">for the </w:t>
      </w:r>
      <w:r w:rsidR="00E90A32">
        <w:rPr>
          <w:rStyle w:val="BodyTextChar"/>
          <w:sz w:val="28"/>
          <w:szCs w:val="28"/>
        </w:rPr>
        <w:t xml:space="preserve">handling and </w:t>
      </w:r>
      <w:r w:rsidR="0092235F">
        <w:rPr>
          <w:rStyle w:val="BodyTextChar"/>
          <w:sz w:val="28"/>
          <w:szCs w:val="28"/>
        </w:rPr>
        <w:t>preservation</w:t>
      </w:r>
      <w:r w:rsidR="00C45A6B">
        <w:rPr>
          <w:rStyle w:val="BodyTextChar"/>
          <w:sz w:val="28"/>
          <w:szCs w:val="28"/>
        </w:rPr>
        <w:t xml:space="preserve"> of </w:t>
      </w:r>
      <w:r w:rsidR="0092235F">
        <w:rPr>
          <w:rStyle w:val="BodyTextChar"/>
          <w:sz w:val="28"/>
          <w:szCs w:val="28"/>
        </w:rPr>
        <w:t>funds in the trust account</w:t>
      </w:r>
      <w:r w:rsidR="00C45A6B">
        <w:rPr>
          <w:rStyle w:val="BodyTextChar"/>
          <w:sz w:val="28"/>
          <w:szCs w:val="28"/>
        </w:rPr>
        <w:t>.  T</w:t>
      </w:r>
      <w:r w:rsidR="004E5076">
        <w:rPr>
          <w:rStyle w:val="BodyTextChar"/>
          <w:sz w:val="28"/>
          <w:szCs w:val="28"/>
        </w:rPr>
        <w:t xml:space="preserve">he petition proposes to shift the </w:t>
      </w:r>
      <w:r w:rsidR="000D224C">
        <w:rPr>
          <w:rStyle w:val="BodyTextChar"/>
          <w:sz w:val="28"/>
          <w:szCs w:val="28"/>
        </w:rPr>
        <w:t xml:space="preserve">consumer </w:t>
      </w:r>
      <w:r w:rsidR="004E5076">
        <w:rPr>
          <w:rStyle w:val="BodyTextChar"/>
          <w:sz w:val="28"/>
          <w:szCs w:val="28"/>
        </w:rPr>
        <w:t>p</w:t>
      </w:r>
      <w:r w:rsidR="0092235F">
        <w:rPr>
          <w:rStyle w:val="BodyTextChar"/>
          <w:sz w:val="28"/>
          <w:szCs w:val="28"/>
        </w:rPr>
        <w:t>rotection</w:t>
      </w:r>
      <w:r w:rsidR="000D224C">
        <w:rPr>
          <w:rStyle w:val="BodyTextChar"/>
          <w:sz w:val="28"/>
          <w:szCs w:val="28"/>
        </w:rPr>
        <w:t xml:space="preserve"> aspects</w:t>
      </w:r>
      <w:r w:rsidR="0092235F">
        <w:rPr>
          <w:rStyle w:val="BodyTextChar"/>
          <w:sz w:val="28"/>
          <w:szCs w:val="28"/>
        </w:rPr>
        <w:t xml:space="preserve"> </w:t>
      </w:r>
      <w:r w:rsidR="004E5076">
        <w:rPr>
          <w:rStyle w:val="BodyTextChar"/>
          <w:sz w:val="28"/>
          <w:szCs w:val="28"/>
        </w:rPr>
        <w:t>of the trust</w:t>
      </w:r>
      <w:r w:rsidR="00057935">
        <w:rPr>
          <w:rStyle w:val="BodyTextChar"/>
          <w:sz w:val="28"/>
          <w:szCs w:val="28"/>
        </w:rPr>
        <w:t xml:space="preserve"> account rules to shield</w:t>
      </w:r>
      <w:r w:rsidR="004E5076">
        <w:rPr>
          <w:rStyle w:val="BodyTextChar"/>
          <w:sz w:val="28"/>
          <w:szCs w:val="28"/>
        </w:rPr>
        <w:t xml:space="preserve"> the lawyer from inquiry as well as obscure the theft of client </w:t>
      </w:r>
      <w:r>
        <w:rPr>
          <w:rStyle w:val="BodyTextChar"/>
          <w:sz w:val="28"/>
          <w:szCs w:val="28"/>
        </w:rPr>
        <w:t>funds</w:t>
      </w:r>
      <w:r w:rsidR="004E5076">
        <w:rPr>
          <w:rStyle w:val="BodyTextChar"/>
          <w:sz w:val="28"/>
          <w:szCs w:val="28"/>
        </w:rPr>
        <w:t>.</w:t>
      </w:r>
      <w:r>
        <w:rPr>
          <w:rStyle w:val="BodyTextChar"/>
          <w:sz w:val="28"/>
          <w:szCs w:val="28"/>
        </w:rPr>
        <w:t xml:space="preserve">  </w:t>
      </w:r>
    </w:p>
    <w:p w:rsidR="00E436B4" w:rsidRDefault="00490BC3" w:rsidP="008A5297">
      <w:pPr>
        <w:pStyle w:val="Body"/>
        <w:widowControl w:val="0"/>
        <w:spacing w:line="480" w:lineRule="auto"/>
        <w:ind w:firstLine="0"/>
        <w:rPr>
          <w:rStyle w:val="BodyTextChar"/>
          <w:sz w:val="28"/>
          <w:szCs w:val="28"/>
        </w:rPr>
      </w:pPr>
      <w:r>
        <w:rPr>
          <w:rStyle w:val="BodyTextChar"/>
          <w:sz w:val="28"/>
          <w:szCs w:val="28"/>
        </w:rPr>
        <w:tab/>
        <w:t xml:space="preserve">The petition proposes to allow lawyers to obtain overdraft protection on their trust account.  Overdraft protection would alleviate lawyer accountability for trust account funds.  Record keeping </w:t>
      </w:r>
      <w:r w:rsidR="00AC14C9">
        <w:rPr>
          <w:rStyle w:val="BodyTextChar"/>
          <w:sz w:val="28"/>
          <w:szCs w:val="28"/>
        </w:rPr>
        <w:t xml:space="preserve">and the accountability associated with it </w:t>
      </w:r>
      <w:r>
        <w:rPr>
          <w:rStyle w:val="BodyTextChar"/>
          <w:sz w:val="28"/>
          <w:szCs w:val="28"/>
        </w:rPr>
        <w:t xml:space="preserve">becomes less important when the lawyer knows that disbursements </w:t>
      </w:r>
      <w:r w:rsidR="00AC14C9">
        <w:rPr>
          <w:rStyle w:val="BodyTextChar"/>
          <w:sz w:val="28"/>
          <w:szCs w:val="28"/>
        </w:rPr>
        <w:t xml:space="preserve">of uncollected funds </w:t>
      </w:r>
      <w:r>
        <w:rPr>
          <w:rStyle w:val="BodyTextChar"/>
          <w:sz w:val="28"/>
          <w:szCs w:val="28"/>
        </w:rPr>
        <w:t xml:space="preserve">will be covered by the overdraft protection.  Rule 43 requires lawyers to bank at financial institutions that agree to report overdraft notices to the State Bar.   Overdraft protection on the lawyer’s trust account would nullify the early detection of the mismanagement or misappropriation of client funds. </w:t>
      </w:r>
    </w:p>
    <w:p w:rsidR="00490BC3" w:rsidRDefault="00E436B4" w:rsidP="008A5297">
      <w:pPr>
        <w:pStyle w:val="Body"/>
        <w:widowControl w:val="0"/>
        <w:spacing w:line="480" w:lineRule="auto"/>
        <w:ind w:firstLine="0"/>
        <w:rPr>
          <w:rStyle w:val="BodyTextChar"/>
          <w:sz w:val="28"/>
          <w:szCs w:val="28"/>
        </w:rPr>
      </w:pPr>
      <w:r>
        <w:rPr>
          <w:rStyle w:val="BodyTextChar"/>
          <w:sz w:val="28"/>
          <w:szCs w:val="28"/>
        </w:rPr>
        <w:lastRenderedPageBreak/>
        <w:tab/>
      </w:r>
      <w:r w:rsidR="00BE0BB8">
        <w:rPr>
          <w:rStyle w:val="BodyTextChar"/>
          <w:sz w:val="28"/>
          <w:szCs w:val="28"/>
        </w:rPr>
        <w:t xml:space="preserve">The rule petition also proposes to eliminate the three-way reconciliation of the trust account bank statements, client ledgers and general ledger/checkbook register required by Rule 43.  </w:t>
      </w:r>
      <w:r w:rsidR="00490BC3">
        <w:rPr>
          <w:rStyle w:val="BodyTextChar"/>
          <w:sz w:val="28"/>
          <w:szCs w:val="28"/>
        </w:rPr>
        <w:t xml:space="preserve"> </w:t>
      </w:r>
      <w:r w:rsidR="00EA6A1A">
        <w:rPr>
          <w:rStyle w:val="BodyTextChar"/>
          <w:sz w:val="28"/>
          <w:szCs w:val="28"/>
        </w:rPr>
        <w:t xml:space="preserve">The three-way reconciliation is part of the process that ensures the proper handling, maintenance and disposition of funds belonging to the client or third person.  </w:t>
      </w:r>
      <w:r w:rsidR="00BE0BB8">
        <w:rPr>
          <w:rStyle w:val="BodyTextChar"/>
          <w:sz w:val="28"/>
          <w:szCs w:val="28"/>
        </w:rPr>
        <w:t xml:space="preserve">The purpose of the three-way reconciliation is to identify any errors in record keeping that could result </w:t>
      </w:r>
      <w:r w:rsidR="00EA6A1A">
        <w:rPr>
          <w:rStyle w:val="BodyTextChar"/>
          <w:sz w:val="28"/>
          <w:szCs w:val="28"/>
        </w:rPr>
        <w:t xml:space="preserve">in the misappropriation of funds or the use of one client’s funds for another.  The lawyer may conduct the three-way reconciliation </w:t>
      </w:r>
      <w:r w:rsidR="0097398E">
        <w:rPr>
          <w:rStyle w:val="BodyTextChar"/>
          <w:sz w:val="28"/>
          <w:szCs w:val="28"/>
        </w:rPr>
        <w:t>on their own</w:t>
      </w:r>
      <w:r w:rsidR="00EA6A1A">
        <w:rPr>
          <w:rStyle w:val="BodyTextChar"/>
          <w:sz w:val="28"/>
          <w:szCs w:val="28"/>
        </w:rPr>
        <w:t xml:space="preserve"> or retain a bookkeeper or other appropriately trained and supervised person to perform the review.  Given the heightened responsibility of the lawyer as a fiduciary of the funds entrusted to them, the three-way reconciliation is not an overly burdensome process such that there is any justification to remove the requirement from the rules.  </w:t>
      </w:r>
    </w:p>
    <w:p w:rsidR="000E7A0D" w:rsidRDefault="0097398E" w:rsidP="008A5297">
      <w:pPr>
        <w:pStyle w:val="Body"/>
        <w:widowControl w:val="0"/>
        <w:spacing w:line="480" w:lineRule="auto"/>
        <w:ind w:firstLine="0"/>
        <w:rPr>
          <w:rStyle w:val="BodyTextChar"/>
          <w:sz w:val="28"/>
          <w:szCs w:val="28"/>
        </w:rPr>
      </w:pPr>
      <w:r>
        <w:rPr>
          <w:rStyle w:val="BodyTextChar"/>
          <w:sz w:val="28"/>
          <w:szCs w:val="28"/>
        </w:rPr>
        <w:tab/>
      </w:r>
      <w:r w:rsidR="00380B90">
        <w:rPr>
          <w:rStyle w:val="BodyTextChar"/>
          <w:sz w:val="28"/>
          <w:szCs w:val="28"/>
        </w:rPr>
        <w:t xml:space="preserve">The petition also proposes that in the event of an overdraft the lawyer shall have five days to rectify the overdraft and if it is not remedied the financial institution shall </w:t>
      </w:r>
      <w:r w:rsidR="00E23F51">
        <w:rPr>
          <w:rStyle w:val="BodyTextChar"/>
          <w:sz w:val="28"/>
          <w:szCs w:val="28"/>
        </w:rPr>
        <w:t xml:space="preserve">then </w:t>
      </w:r>
      <w:r w:rsidR="00380B90">
        <w:rPr>
          <w:rStyle w:val="BodyTextChar"/>
          <w:sz w:val="28"/>
          <w:szCs w:val="28"/>
        </w:rPr>
        <w:t xml:space="preserve">notify the State Bar.  If the lawyer does not provide a “satisfactory explanation” the State Bar may then “institute a disciplinary charge against the lawyer.”  There is no reasonable justification to </w:t>
      </w:r>
      <w:r w:rsidR="00E23F51">
        <w:rPr>
          <w:rStyle w:val="BodyTextChar"/>
          <w:sz w:val="28"/>
          <w:szCs w:val="28"/>
        </w:rPr>
        <w:t>eliminate the notification provision of this Rule.  If a lawyer is maintaining the trust account in accord with applicable rules</w:t>
      </w:r>
      <w:r w:rsidR="00006194">
        <w:rPr>
          <w:rStyle w:val="BodyTextChar"/>
          <w:sz w:val="28"/>
          <w:szCs w:val="28"/>
        </w:rPr>
        <w:t>,</w:t>
      </w:r>
      <w:r w:rsidR="00E23F51">
        <w:rPr>
          <w:rStyle w:val="BodyTextChar"/>
          <w:sz w:val="28"/>
          <w:szCs w:val="28"/>
        </w:rPr>
        <w:t xml:space="preserve"> an overdraft will not occur.  </w:t>
      </w:r>
      <w:r w:rsidR="000E7A0D">
        <w:rPr>
          <w:rStyle w:val="BodyTextChar"/>
          <w:sz w:val="28"/>
          <w:szCs w:val="28"/>
        </w:rPr>
        <w:t>If an overdraft occurs</w:t>
      </w:r>
      <w:r w:rsidR="00006194">
        <w:rPr>
          <w:rStyle w:val="BodyTextChar"/>
          <w:sz w:val="28"/>
          <w:szCs w:val="28"/>
        </w:rPr>
        <w:t>,</w:t>
      </w:r>
      <w:r w:rsidR="000E7A0D">
        <w:rPr>
          <w:rStyle w:val="BodyTextChar"/>
          <w:sz w:val="28"/>
          <w:szCs w:val="28"/>
        </w:rPr>
        <w:t xml:space="preserve"> it suggests that there may be deficiencies in the lawyer’s adherence to the rules.  </w:t>
      </w:r>
      <w:r w:rsidR="000E7A0D">
        <w:rPr>
          <w:rStyle w:val="BodyTextChar"/>
          <w:sz w:val="28"/>
          <w:szCs w:val="28"/>
        </w:rPr>
        <w:lastRenderedPageBreak/>
        <w:t>Again, given the lawyer’s fiduciary obligations relating to trust account funds, having to account for the cause of an overdraft is concomitant to the responsibility of being entrusted with funds belonging to the client or a third person.  If an overdraft occurs as a result of a simple error</w:t>
      </w:r>
      <w:r w:rsidR="00006194">
        <w:rPr>
          <w:rStyle w:val="BodyTextChar"/>
          <w:sz w:val="28"/>
          <w:szCs w:val="28"/>
        </w:rPr>
        <w:t>,</w:t>
      </w:r>
      <w:r w:rsidR="000E7A0D">
        <w:rPr>
          <w:rStyle w:val="BodyTextChar"/>
          <w:sz w:val="28"/>
          <w:szCs w:val="28"/>
        </w:rPr>
        <w:t xml:space="preserve"> the lawyer is instructed by way of an educational comment advising of rule requirements and directing them to various resources to assist them in the proper maintenance of the trust account.  The inconvenience to the lawyer in having to respond to an inquiry regarding an overdraft does not </w:t>
      </w:r>
      <w:r w:rsidR="005F62C3">
        <w:rPr>
          <w:rStyle w:val="BodyTextChar"/>
          <w:sz w:val="28"/>
          <w:szCs w:val="28"/>
        </w:rPr>
        <w:t xml:space="preserve">justify removing the protection notification </w:t>
      </w:r>
      <w:r w:rsidR="000E7A0D">
        <w:rPr>
          <w:rStyle w:val="BodyTextChar"/>
          <w:sz w:val="28"/>
          <w:szCs w:val="28"/>
        </w:rPr>
        <w:t xml:space="preserve">serves.  </w:t>
      </w:r>
    </w:p>
    <w:p w:rsidR="003417CA" w:rsidRDefault="003417CA" w:rsidP="008A5297">
      <w:pPr>
        <w:pStyle w:val="Body"/>
        <w:widowControl w:val="0"/>
        <w:spacing w:line="480" w:lineRule="auto"/>
        <w:ind w:firstLine="0"/>
        <w:rPr>
          <w:rStyle w:val="BodyTextChar"/>
          <w:sz w:val="28"/>
          <w:szCs w:val="28"/>
        </w:rPr>
      </w:pPr>
      <w:r>
        <w:rPr>
          <w:rStyle w:val="BodyTextChar"/>
          <w:sz w:val="28"/>
          <w:szCs w:val="28"/>
        </w:rPr>
        <w:tab/>
        <w:t xml:space="preserve">Petitioner also proposes that </w:t>
      </w:r>
      <w:bookmarkStart w:id="2" w:name="_GoBack"/>
      <w:r w:rsidR="00006194">
        <w:rPr>
          <w:rStyle w:val="BodyTextChar"/>
          <w:sz w:val="28"/>
          <w:szCs w:val="28"/>
        </w:rPr>
        <w:t xml:space="preserve">for </w:t>
      </w:r>
      <w:bookmarkEnd w:id="2"/>
      <w:r>
        <w:rPr>
          <w:rStyle w:val="BodyTextChar"/>
          <w:sz w:val="28"/>
          <w:szCs w:val="28"/>
        </w:rPr>
        <w:t xml:space="preserve">“all checks in excess of $5,000 that are deposited in the lawyer’s trust account, the lawyer shall wait at least ten (10) business days before distributing any funds represented by such check to be sure that such check clears the drawer’s account.” The rules currently restrict the disbursement of uncollected funds unless they are a limited risk deposit.  </w:t>
      </w:r>
      <w:r w:rsidR="005878A0">
        <w:rPr>
          <w:rStyle w:val="BodyTextChar"/>
          <w:sz w:val="28"/>
          <w:szCs w:val="28"/>
        </w:rPr>
        <w:t xml:space="preserve">The purpose for that restriction is to make certain that funds are available before disbursement so other client funds are not at risk of being converted in the event the funds are not collected.  </w:t>
      </w:r>
      <w:r>
        <w:rPr>
          <w:rStyle w:val="BodyTextChar"/>
          <w:sz w:val="28"/>
          <w:szCs w:val="28"/>
        </w:rPr>
        <w:t>Petitioner’s proposal suggests that any check less than $5</w:t>
      </w:r>
      <w:r w:rsidR="005878A0">
        <w:rPr>
          <w:rStyle w:val="BodyTextChar"/>
          <w:sz w:val="28"/>
          <w:szCs w:val="28"/>
        </w:rPr>
        <w:t>,</w:t>
      </w:r>
      <w:r>
        <w:rPr>
          <w:rStyle w:val="BodyTextChar"/>
          <w:sz w:val="28"/>
          <w:szCs w:val="28"/>
        </w:rPr>
        <w:t xml:space="preserve">000 could be immediately disbursed.  This would put lawyers at greater risk for converting client funds by not waiting a sufficient period to ensure that the funds are collected.  </w:t>
      </w:r>
    </w:p>
    <w:p w:rsidR="00417A2D" w:rsidRDefault="00417A2D" w:rsidP="008A5297">
      <w:pPr>
        <w:pStyle w:val="Body"/>
        <w:widowControl w:val="0"/>
        <w:spacing w:line="480" w:lineRule="auto"/>
        <w:ind w:firstLine="0"/>
        <w:rPr>
          <w:rStyle w:val="BodyTextChar"/>
          <w:sz w:val="28"/>
          <w:szCs w:val="28"/>
        </w:rPr>
      </w:pPr>
      <w:r>
        <w:rPr>
          <w:rStyle w:val="BodyTextChar"/>
          <w:sz w:val="28"/>
          <w:szCs w:val="28"/>
        </w:rPr>
        <w:tab/>
        <w:t xml:space="preserve">Petitioner also suggests elimination of the authority to conduct random trust </w:t>
      </w:r>
      <w:r>
        <w:rPr>
          <w:rStyle w:val="BodyTextChar"/>
          <w:sz w:val="28"/>
          <w:szCs w:val="28"/>
        </w:rPr>
        <w:lastRenderedPageBreak/>
        <w:t>account examinations of lawyer’</w:t>
      </w:r>
      <w:r w:rsidR="00EB78C7">
        <w:rPr>
          <w:rStyle w:val="BodyTextChar"/>
          <w:sz w:val="28"/>
          <w:szCs w:val="28"/>
        </w:rPr>
        <w:t>s trust accounts.  Rule 43(d</w:t>
      </w:r>
      <w:proofErr w:type="gramStart"/>
      <w:r w:rsidR="00EB78C7">
        <w:rPr>
          <w:rStyle w:val="BodyTextChar"/>
          <w:sz w:val="28"/>
          <w:szCs w:val="28"/>
        </w:rPr>
        <w:t>)(</w:t>
      </w:r>
      <w:proofErr w:type="gramEnd"/>
      <w:r w:rsidR="00EB78C7">
        <w:rPr>
          <w:rStyle w:val="BodyTextChar"/>
          <w:sz w:val="28"/>
          <w:szCs w:val="28"/>
        </w:rPr>
        <w:t xml:space="preserve">1) provides for a random trust account audit </w:t>
      </w:r>
      <w:r w:rsidR="00296B8A">
        <w:rPr>
          <w:rStyle w:val="BodyTextChar"/>
          <w:sz w:val="28"/>
          <w:szCs w:val="28"/>
        </w:rPr>
        <w:t xml:space="preserve">but random audits have not occurred.  </w:t>
      </w:r>
      <w:r w:rsidR="00EB78C7">
        <w:rPr>
          <w:rStyle w:val="BodyTextChar"/>
          <w:sz w:val="28"/>
          <w:szCs w:val="28"/>
        </w:rPr>
        <w:t xml:space="preserve">The purpose of the random audit is twofold.  One, the random audit serves as a deterrent to the misuse of funds entrusted to the lawyer and two, it </w:t>
      </w:r>
      <w:r w:rsidR="000F7038">
        <w:rPr>
          <w:rStyle w:val="BodyTextChar"/>
          <w:sz w:val="28"/>
          <w:szCs w:val="28"/>
        </w:rPr>
        <w:t xml:space="preserve">affords </w:t>
      </w:r>
      <w:r w:rsidR="00EB78C7">
        <w:rPr>
          <w:rStyle w:val="BodyTextChar"/>
          <w:sz w:val="28"/>
          <w:szCs w:val="28"/>
        </w:rPr>
        <w:t xml:space="preserve">an opportunity to provide lawyers with practical assistance </w:t>
      </w:r>
      <w:r w:rsidR="00F72CA9">
        <w:rPr>
          <w:rStyle w:val="BodyTextChar"/>
          <w:sz w:val="28"/>
          <w:szCs w:val="28"/>
        </w:rPr>
        <w:t>with and an</w:t>
      </w:r>
      <w:r w:rsidR="00EB78C7">
        <w:rPr>
          <w:rStyle w:val="BodyTextChar"/>
          <w:sz w:val="28"/>
          <w:szCs w:val="28"/>
        </w:rPr>
        <w:t xml:space="preserve"> </w:t>
      </w:r>
      <w:r w:rsidR="000F7038">
        <w:rPr>
          <w:rStyle w:val="BodyTextChar"/>
          <w:sz w:val="28"/>
          <w:szCs w:val="28"/>
        </w:rPr>
        <w:t xml:space="preserve">understanding </w:t>
      </w:r>
      <w:r w:rsidR="00F72CA9">
        <w:rPr>
          <w:rStyle w:val="BodyTextChar"/>
          <w:sz w:val="28"/>
          <w:szCs w:val="28"/>
        </w:rPr>
        <w:t xml:space="preserve">of </w:t>
      </w:r>
      <w:r w:rsidR="000F7038">
        <w:rPr>
          <w:rStyle w:val="BodyTextChar"/>
          <w:sz w:val="28"/>
          <w:szCs w:val="28"/>
        </w:rPr>
        <w:t xml:space="preserve">the proper </w:t>
      </w:r>
      <w:r w:rsidR="00EB78C7">
        <w:rPr>
          <w:rStyle w:val="BodyTextChar"/>
          <w:sz w:val="28"/>
          <w:szCs w:val="28"/>
        </w:rPr>
        <w:t>maint</w:t>
      </w:r>
      <w:r w:rsidR="000F7038">
        <w:rPr>
          <w:rStyle w:val="BodyTextChar"/>
          <w:sz w:val="28"/>
          <w:szCs w:val="28"/>
        </w:rPr>
        <w:t xml:space="preserve">enance and handling of trust account funds and </w:t>
      </w:r>
      <w:r w:rsidR="00F72CA9">
        <w:rPr>
          <w:rStyle w:val="BodyTextChar"/>
          <w:sz w:val="28"/>
          <w:szCs w:val="28"/>
        </w:rPr>
        <w:t>re</w:t>
      </w:r>
      <w:r w:rsidR="00EB78C7">
        <w:rPr>
          <w:rStyle w:val="BodyTextChar"/>
          <w:sz w:val="28"/>
          <w:szCs w:val="28"/>
        </w:rPr>
        <w:t xml:space="preserve">cords.   </w:t>
      </w:r>
      <w:r w:rsidR="00296B8A">
        <w:rPr>
          <w:rStyle w:val="BodyTextChar"/>
          <w:sz w:val="28"/>
          <w:szCs w:val="28"/>
        </w:rPr>
        <w:t xml:space="preserve">Because of the remedial nature of the random audit, it is considered to be a proactive approach to regulation and therefore a program incorporated into proactive management based regulation (“PMBR”).  </w:t>
      </w:r>
    </w:p>
    <w:p w:rsidR="000C48A9" w:rsidRPr="006F63FD" w:rsidRDefault="007A3F0F" w:rsidP="00F72CA9">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rsidR="004B1D38" w:rsidRDefault="006D7491" w:rsidP="00B35D64">
      <w:pPr>
        <w:pStyle w:val="Body"/>
        <w:widowControl w:val="0"/>
        <w:tabs>
          <w:tab w:val="left" w:pos="720"/>
        </w:tabs>
        <w:spacing w:line="480" w:lineRule="auto"/>
        <w:ind w:firstLine="0"/>
        <w:jc w:val="both"/>
        <w:rPr>
          <w:sz w:val="28"/>
          <w:szCs w:val="28"/>
        </w:rPr>
      </w:pPr>
      <w:r>
        <w:rPr>
          <w:sz w:val="28"/>
          <w:szCs w:val="28"/>
        </w:rPr>
        <w:tab/>
      </w:r>
      <w:r w:rsidR="001D7072">
        <w:rPr>
          <w:sz w:val="28"/>
          <w:szCs w:val="28"/>
        </w:rPr>
        <w:t>For the reasons cited above, t</w:t>
      </w:r>
      <w:r w:rsidR="000F7C13" w:rsidRPr="006F63FD">
        <w:rPr>
          <w:sz w:val="28"/>
          <w:szCs w:val="28"/>
        </w:rPr>
        <w:t xml:space="preserve">he </w:t>
      </w:r>
      <w:r w:rsidR="005321CE">
        <w:rPr>
          <w:sz w:val="28"/>
          <w:szCs w:val="28"/>
        </w:rPr>
        <w:t xml:space="preserve">Supreme Court Attorney Regulation Advisory Committee </w:t>
      </w:r>
      <w:r w:rsidR="000F7C13" w:rsidRPr="006F63FD">
        <w:rPr>
          <w:sz w:val="28"/>
          <w:szCs w:val="28"/>
        </w:rPr>
        <w:t xml:space="preserve">respectfully requests that </w:t>
      </w:r>
      <w:r w:rsidR="004B1D38">
        <w:rPr>
          <w:sz w:val="28"/>
          <w:szCs w:val="28"/>
        </w:rPr>
        <w:t xml:space="preserve">the Court </w:t>
      </w:r>
      <w:r w:rsidR="005321CE">
        <w:rPr>
          <w:sz w:val="28"/>
          <w:szCs w:val="28"/>
        </w:rPr>
        <w:t>deny the petition to modify Rule 43</w:t>
      </w:r>
      <w:r w:rsidR="004B1D38">
        <w:rPr>
          <w:sz w:val="28"/>
          <w:szCs w:val="28"/>
        </w:rPr>
        <w:t xml:space="preserve">.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Default="000C48A9" w:rsidP="000C48A9">
      <w:pPr>
        <w:pStyle w:val="Body"/>
        <w:widowControl w:val="0"/>
        <w:tabs>
          <w:tab w:val="left" w:pos="720"/>
        </w:tabs>
        <w:ind w:firstLine="0"/>
        <w:rPr>
          <w:szCs w:val="26"/>
        </w:rPr>
      </w:pPr>
    </w:p>
    <w:p w:rsidR="00DD4E0A" w:rsidRPr="000F7A7F" w:rsidRDefault="00DD4E0A" w:rsidP="00DD4E0A">
      <w:pPr>
        <w:pStyle w:val="Body"/>
        <w:widowControl w:val="0"/>
        <w:tabs>
          <w:tab w:val="left" w:pos="720"/>
        </w:tabs>
        <w:spacing w:line="240" w:lineRule="auto"/>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t>__________________________</w:t>
      </w:r>
    </w:p>
    <w:p w:rsidR="000C48A9" w:rsidRPr="005321CE" w:rsidRDefault="00DD4E0A" w:rsidP="00DD4E0A">
      <w:pPr>
        <w:pStyle w:val="Body"/>
        <w:widowControl w:val="0"/>
        <w:tabs>
          <w:tab w:val="left" w:pos="720"/>
        </w:tabs>
        <w:spacing w:line="240" w:lineRule="auto"/>
        <w:ind w:firstLine="0"/>
        <w:rPr>
          <w:sz w:val="28"/>
          <w:szCs w:val="28"/>
        </w:rPr>
      </w:pPr>
      <w:r>
        <w:rPr>
          <w:szCs w:val="26"/>
        </w:rPr>
        <w:tab/>
      </w:r>
      <w:r>
        <w:rPr>
          <w:szCs w:val="26"/>
        </w:rPr>
        <w:tab/>
      </w:r>
      <w:r>
        <w:rPr>
          <w:szCs w:val="26"/>
        </w:rPr>
        <w:tab/>
      </w:r>
      <w:r>
        <w:rPr>
          <w:szCs w:val="26"/>
        </w:rPr>
        <w:tab/>
      </w:r>
      <w:r>
        <w:rPr>
          <w:szCs w:val="26"/>
        </w:rPr>
        <w:tab/>
      </w:r>
      <w:r>
        <w:rPr>
          <w:szCs w:val="26"/>
        </w:rPr>
        <w:tab/>
      </w:r>
      <w:r>
        <w:rPr>
          <w:szCs w:val="26"/>
        </w:rPr>
        <w:tab/>
      </w:r>
      <w:r w:rsidR="00A05D67" w:rsidRPr="00A05D67">
        <w:rPr>
          <w:sz w:val="28"/>
          <w:szCs w:val="28"/>
        </w:rPr>
        <w:t>Hon.</w:t>
      </w:r>
      <w:r w:rsidR="002D1788" w:rsidRPr="005321CE">
        <w:rPr>
          <w:sz w:val="28"/>
          <w:szCs w:val="28"/>
        </w:rPr>
        <w:t xml:space="preserve"> Ann Scott </w:t>
      </w:r>
      <w:proofErr w:type="spellStart"/>
      <w:r w:rsidR="002D1788" w:rsidRPr="005321CE">
        <w:rPr>
          <w:sz w:val="28"/>
          <w:szCs w:val="28"/>
        </w:rPr>
        <w:t>Timmer</w:t>
      </w:r>
      <w:proofErr w:type="spellEnd"/>
      <w:r w:rsidR="00A05D67">
        <w:rPr>
          <w:sz w:val="28"/>
          <w:szCs w:val="28"/>
        </w:rPr>
        <w:t>, Chair</w:t>
      </w:r>
    </w:p>
    <w:p w:rsidR="00DD4E0A" w:rsidRPr="000F7A7F" w:rsidRDefault="00DD4E0A" w:rsidP="00DD4E0A">
      <w:pPr>
        <w:pStyle w:val="Body"/>
        <w:widowControl w:val="0"/>
        <w:tabs>
          <w:tab w:val="left" w:pos="720"/>
        </w:tabs>
        <w:spacing w:line="240" w:lineRule="auto"/>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p>
    <w:p w:rsidR="00DD4E0A" w:rsidRDefault="00DD4E0A" w:rsidP="004331B2">
      <w:pPr>
        <w:widowControl w:val="0"/>
        <w:spacing w:line="240" w:lineRule="auto"/>
        <w:ind w:right="4140"/>
        <w:rPr>
          <w:sz w:val="28"/>
          <w:szCs w:val="28"/>
        </w:rPr>
      </w:pPr>
    </w:p>
    <w:p w:rsidR="00DA2471" w:rsidRDefault="00DA2471"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52372" w:rsidRPr="000F7A7F" w:rsidRDefault="000C48A9" w:rsidP="001D7072">
      <w:pPr>
        <w:spacing w:line="240" w:lineRule="auto"/>
        <w:ind w:right="4572"/>
        <w:rPr>
          <w:sz w:val="26"/>
          <w:szCs w:val="26"/>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0C3" w:rsidRDefault="00F240C3">
      <w:r>
        <w:separator/>
      </w:r>
    </w:p>
  </w:endnote>
  <w:endnote w:type="continuationSeparator" w:id="0">
    <w:p w:rsidR="00F240C3" w:rsidRDefault="00F2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137A3C">
          <w:rPr>
            <w:noProof/>
            <w:sz w:val="26"/>
            <w:szCs w:val="26"/>
          </w:rPr>
          <w:t>5</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0C3" w:rsidRDefault="00F240C3">
      <w:r>
        <w:separator/>
      </w:r>
    </w:p>
  </w:footnote>
  <w:footnote w:type="continuationSeparator" w:id="0">
    <w:p w:rsidR="00F240C3" w:rsidRDefault="00F24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7B02E"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DA9F1"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8A14E"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D4C5A"/>
    <w:multiLevelType w:val="hybridMultilevel"/>
    <w:tmpl w:val="2F6EEE6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136B"/>
    <w:rsid w:val="00006194"/>
    <w:rsid w:val="00014002"/>
    <w:rsid w:val="00027DEF"/>
    <w:rsid w:val="00032C98"/>
    <w:rsid w:val="000410B3"/>
    <w:rsid w:val="00043D4D"/>
    <w:rsid w:val="00052372"/>
    <w:rsid w:val="00053A93"/>
    <w:rsid w:val="000560A7"/>
    <w:rsid w:val="00057935"/>
    <w:rsid w:val="000666D1"/>
    <w:rsid w:val="00072B1A"/>
    <w:rsid w:val="0008121F"/>
    <w:rsid w:val="00087CD5"/>
    <w:rsid w:val="000917C0"/>
    <w:rsid w:val="000A1D6B"/>
    <w:rsid w:val="000A51AD"/>
    <w:rsid w:val="000B3A18"/>
    <w:rsid w:val="000C48A9"/>
    <w:rsid w:val="000C7D20"/>
    <w:rsid w:val="000D224C"/>
    <w:rsid w:val="000E7A0D"/>
    <w:rsid w:val="000F0591"/>
    <w:rsid w:val="000F0D7E"/>
    <w:rsid w:val="000F6828"/>
    <w:rsid w:val="000F7038"/>
    <w:rsid w:val="000F7A7F"/>
    <w:rsid w:val="000F7C13"/>
    <w:rsid w:val="00135326"/>
    <w:rsid w:val="001379FA"/>
    <w:rsid w:val="00137A3C"/>
    <w:rsid w:val="001523BC"/>
    <w:rsid w:val="00154463"/>
    <w:rsid w:val="001A2520"/>
    <w:rsid w:val="001B3EF2"/>
    <w:rsid w:val="001C2DBF"/>
    <w:rsid w:val="001C39E5"/>
    <w:rsid w:val="001D6AE1"/>
    <w:rsid w:val="001D7072"/>
    <w:rsid w:val="001F57AF"/>
    <w:rsid w:val="001F591C"/>
    <w:rsid w:val="001F74B5"/>
    <w:rsid w:val="00201C56"/>
    <w:rsid w:val="00221518"/>
    <w:rsid w:val="00244307"/>
    <w:rsid w:val="00244D7F"/>
    <w:rsid w:val="00274D6A"/>
    <w:rsid w:val="0027713F"/>
    <w:rsid w:val="00296B8A"/>
    <w:rsid w:val="00297C57"/>
    <w:rsid w:val="002A4FB1"/>
    <w:rsid w:val="002C2478"/>
    <w:rsid w:val="002D1788"/>
    <w:rsid w:val="002E6336"/>
    <w:rsid w:val="002F4C3F"/>
    <w:rsid w:val="002F69A5"/>
    <w:rsid w:val="00306A08"/>
    <w:rsid w:val="003270DA"/>
    <w:rsid w:val="003417CA"/>
    <w:rsid w:val="00342D41"/>
    <w:rsid w:val="00352347"/>
    <w:rsid w:val="0035330A"/>
    <w:rsid w:val="003566D6"/>
    <w:rsid w:val="00357F4D"/>
    <w:rsid w:val="003617D1"/>
    <w:rsid w:val="0037572F"/>
    <w:rsid w:val="00377199"/>
    <w:rsid w:val="00380B90"/>
    <w:rsid w:val="00384342"/>
    <w:rsid w:val="00384A6C"/>
    <w:rsid w:val="003A28AC"/>
    <w:rsid w:val="003C2014"/>
    <w:rsid w:val="003E0326"/>
    <w:rsid w:val="003E3B91"/>
    <w:rsid w:val="003E4851"/>
    <w:rsid w:val="0040424D"/>
    <w:rsid w:val="00407E2D"/>
    <w:rsid w:val="00411D74"/>
    <w:rsid w:val="00417A2D"/>
    <w:rsid w:val="004331B2"/>
    <w:rsid w:val="00434FE4"/>
    <w:rsid w:val="00435710"/>
    <w:rsid w:val="00440E4C"/>
    <w:rsid w:val="004421C5"/>
    <w:rsid w:val="00444DFC"/>
    <w:rsid w:val="00452BEA"/>
    <w:rsid w:val="00454C24"/>
    <w:rsid w:val="00463734"/>
    <w:rsid w:val="00466BA6"/>
    <w:rsid w:val="00490BC3"/>
    <w:rsid w:val="00494BDF"/>
    <w:rsid w:val="0049557F"/>
    <w:rsid w:val="004B1D38"/>
    <w:rsid w:val="004C3AE3"/>
    <w:rsid w:val="004C6290"/>
    <w:rsid w:val="004E3982"/>
    <w:rsid w:val="004E5076"/>
    <w:rsid w:val="00504E1E"/>
    <w:rsid w:val="00506859"/>
    <w:rsid w:val="00511867"/>
    <w:rsid w:val="00520F93"/>
    <w:rsid w:val="005321CE"/>
    <w:rsid w:val="00566856"/>
    <w:rsid w:val="005677BD"/>
    <w:rsid w:val="005878A0"/>
    <w:rsid w:val="005A21B0"/>
    <w:rsid w:val="005A4875"/>
    <w:rsid w:val="005A736D"/>
    <w:rsid w:val="005A7BE9"/>
    <w:rsid w:val="005B5161"/>
    <w:rsid w:val="005D6AD4"/>
    <w:rsid w:val="005F62C3"/>
    <w:rsid w:val="00611473"/>
    <w:rsid w:val="0061316D"/>
    <w:rsid w:val="006167A2"/>
    <w:rsid w:val="00616D7D"/>
    <w:rsid w:val="006338C1"/>
    <w:rsid w:val="00636F5E"/>
    <w:rsid w:val="00665CCF"/>
    <w:rsid w:val="006666D1"/>
    <w:rsid w:val="006721EC"/>
    <w:rsid w:val="006766BF"/>
    <w:rsid w:val="00692391"/>
    <w:rsid w:val="006932BA"/>
    <w:rsid w:val="006A245C"/>
    <w:rsid w:val="006B1928"/>
    <w:rsid w:val="006B382E"/>
    <w:rsid w:val="006B4F9A"/>
    <w:rsid w:val="006C27BC"/>
    <w:rsid w:val="006C6271"/>
    <w:rsid w:val="006C6F8C"/>
    <w:rsid w:val="006D7491"/>
    <w:rsid w:val="006D75FD"/>
    <w:rsid w:val="006E0490"/>
    <w:rsid w:val="006E6F59"/>
    <w:rsid w:val="006F3297"/>
    <w:rsid w:val="006F63FD"/>
    <w:rsid w:val="007008D7"/>
    <w:rsid w:val="00703CE4"/>
    <w:rsid w:val="007053AC"/>
    <w:rsid w:val="00713FA2"/>
    <w:rsid w:val="007249DA"/>
    <w:rsid w:val="00732169"/>
    <w:rsid w:val="00735659"/>
    <w:rsid w:val="007414D2"/>
    <w:rsid w:val="007427C6"/>
    <w:rsid w:val="00745DA5"/>
    <w:rsid w:val="007500D4"/>
    <w:rsid w:val="00761CC9"/>
    <w:rsid w:val="00762B95"/>
    <w:rsid w:val="0077110E"/>
    <w:rsid w:val="007870CB"/>
    <w:rsid w:val="00790453"/>
    <w:rsid w:val="007A3F0F"/>
    <w:rsid w:val="007B3D13"/>
    <w:rsid w:val="007D5C49"/>
    <w:rsid w:val="007D5ECB"/>
    <w:rsid w:val="007D73FF"/>
    <w:rsid w:val="007E3CCB"/>
    <w:rsid w:val="007F2627"/>
    <w:rsid w:val="008006ED"/>
    <w:rsid w:val="00807E99"/>
    <w:rsid w:val="00822598"/>
    <w:rsid w:val="00822F2C"/>
    <w:rsid w:val="00823AA9"/>
    <w:rsid w:val="008336C2"/>
    <w:rsid w:val="008360A1"/>
    <w:rsid w:val="00840353"/>
    <w:rsid w:val="008406B9"/>
    <w:rsid w:val="00854B05"/>
    <w:rsid w:val="00861563"/>
    <w:rsid w:val="00871AAA"/>
    <w:rsid w:val="00876A05"/>
    <w:rsid w:val="00876F57"/>
    <w:rsid w:val="00883B8E"/>
    <w:rsid w:val="00891AAA"/>
    <w:rsid w:val="008978ED"/>
    <w:rsid w:val="008A5297"/>
    <w:rsid w:val="008C5C8A"/>
    <w:rsid w:val="008D77A1"/>
    <w:rsid w:val="008F1F25"/>
    <w:rsid w:val="00904126"/>
    <w:rsid w:val="009065FB"/>
    <w:rsid w:val="0092235F"/>
    <w:rsid w:val="00933EA1"/>
    <w:rsid w:val="00951416"/>
    <w:rsid w:val="00953EE3"/>
    <w:rsid w:val="00960D21"/>
    <w:rsid w:val="00970BFA"/>
    <w:rsid w:val="00972327"/>
    <w:rsid w:val="0097398E"/>
    <w:rsid w:val="00981D29"/>
    <w:rsid w:val="00981E11"/>
    <w:rsid w:val="009835B6"/>
    <w:rsid w:val="009A5382"/>
    <w:rsid w:val="009B36C3"/>
    <w:rsid w:val="009C534E"/>
    <w:rsid w:val="009D541A"/>
    <w:rsid w:val="009E4F8F"/>
    <w:rsid w:val="00A05D67"/>
    <w:rsid w:val="00A1564B"/>
    <w:rsid w:val="00A40DF7"/>
    <w:rsid w:val="00A5194F"/>
    <w:rsid w:val="00A636C8"/>
    <w:rsid w:val="00A871D6"/>
    <w:rsid w:val="00A93A7C"/>
    <w:rsid w:val="00AA1357"/>
    <w:rsid w:val="00AB76B5"/>
    <w:rsid w:val="00AC14C9"/>
    <w:rsid w:val="00AC6ADA"/>
    <w:rsid w:val="00AD0244"/>
    <w:rsid w:val="00AD6D12"/>
    <w:rsid w:val="00AE75D5"/>
    <w:rsid w:val="00AF1F83"/>
    <w:rsid w:val="00AF282C"/>
    <w:rsid w:val="00AF3FF7"/>
    <w:rsid w:val="00B04468"/>
    <w:rsid w:val="00B1491D"/>
    <w:rsid w:val="00B16C64"/>
    <w:rsid w:val="00B3530D"/>
    <w:rsid w:val="00B35D64"/>
    <w:rsid w:val="00B40C64"/>
    <w:rsid w:val="00B47B7D"/>
    <w:rsid w:val="00B545C5"/>
    <w:rsid w:val="00B65A50"/>
    <w:rsid w:val="00B664F0"/>
    <w:rsid w:val="00BA40B9"/>
    <w:rsid w:val="00BC3044"/>
    <w:rsid w:val="00BC554A"/>
    <w:rsid w:val="00BD12E4"/>
    <w:rsid w:val="00BE0BB8"/>
    <w:rsid w:val="00BE4266"/>
    <w:rsid w:val="00BF25CE"/>
    <w:rsid w:val="00BF615E"/>
    <w:rsid w:val="00C02A00"/>
    <w:rsid w:val="00C03E0F"/>
    <w:rsid w:val="00C1212E"/>
    <w:rsid w:val="00C222CC"/>
    <w:rsid w:val="00C45A6B"/>
    <w:rsid w:val="00C52E56"/>
    <w:rsid w:val="00C5407A"/>
    <w:rsid w:val="00C55F18"/>
    <w:rsid w:val="00C660BE"/>
    <w:rsid w:val="00C662B0"/>
    <w:rsid w:val="00C67C92"/>
    <w:rsid w:val="00C73390"/>
    <w:rsid w:val="00C81B7E"/>
    <w:rsid w:val="00C84FD4"/>
    <w:rsid w:val="00C958EE"/>
    <w:rsid w:val="00CA29C0"/>
    <w:rsid w:val="00CB4663"/>
    <w:rsid w:val="00CB6E23"/>
    <w:rsid w:val="00CD21FB"/>
    <w:rsid w:val="00CE5CD9"/>
    <w:rsid w:val="00D20023"/>
    <w:rsid w:val="00D34634"/>
    <w:rsid w:val="00D423FE"/>
    <w:rsid w:val="00D442E4"/>
    <w:rsid w:val="00D56916"/>
    <w:rsid w:val="00D6112B"/>
    <w:rsid w:val="00D73D94"/>
    <w:rsid w:val="00D80EDC"/>
    <w:rsid w:val="00DA1303"/>
    <w:rsid w:val="00DA2471"/>
    <w:rsid w:val="00DA490B"/>
    <w:rsid w:val="00DB39B1"/>
    <w:rsid w:val="00DC5FB0"/>
    <w:rsid w:val="00DD4E0A"/>
    <w:rsid w:val="00DE4A00"/>
    <w:rsid w:val="00DF3843"/>
    <w:rsid w:val="00DF4F15"/>
    <w:rsid w:val="00E047D3"/>
    <w:rsid w:val="00E049D5"/>
    <w:rsid w:val="00E23F51"/>
    <w:rsid w:val="00E266B7"/>
    <w:rsid w:val="00E321C5"/>
    <w:rsid w:val="00E436B4"/>
    <w:rsid w:val="00E447F1"/>
    <w:rsid w:val="00E44B9C"/>
    <w:rsid w:val="00E5772B"/>
    <w:rsid w:val="00E66C5F"/>
    <w:rsid w:val="00E67511"/>
    <w:rsid w:val="00E75BE6"/>
    <w:rsid w:val="00E7618D"/>
    <w:rsid w:val="00E82D0F"/>
    <w:rsid w:val="00E84CB6"/>
    <w:rsid w:val="00E90A32"/>
    <w:rsid w:val="00E929A2"/>
    <w:rsid w:val="00E950B5"/>
    <w:rsid w:val="00EA6A1A"/>
    <w:rsid w:val="00EB78C7"/>
    <w:rsid w:val="00EC2F30"/>
    <w:rsid w:val="00EC7830"/>
    <w:rsid w:val="00ED7A3C"/>
    <w:rsid w:val="00F05879"/>
    <w:rsid w:val="00F06C86"/>
    <w:rsid w:val="00F06F5B"/>
    <w:rsid w:val="00F11F4E"/>
    <w:rsid w:val="00F240C3"/>
    <w:rsid w:val="00F2485D"/>
    <w:rsid w:val="00F33926"/>
    <w:rsid w:val="00F34239"/>
    <w:rsid w:val="00F573E9"/>
    <w:rsid w:val="00F57F27"/>
    <w:rsid w:val="00F60C61"/>
    <w:rsid w:val="00F64B52"/>
    <w:rsid w:val="00F654E9"/>
    <w:rsid w:val="00F72CA9"/>
    <w:rsid w:val="00F77867"/>
    <w:rsid w:val="00F850BE"/>
    <w:rsid w:val="00F92D09"/>
    <w:rsid w:val="00FA0999"/>
    <w:rsid w:val="00FA50C8"/>
    <w:rsid w:val="00FB5291"/>
    <w:rsid w:val="00FB5E84"/>
    <w:rsid w:val="00FC5733"/>
    <w:rsid w:val="00FD226B"/>
    <w:rsid w:val="00FD5298"/>
    <w:rsid w:val="00FD76C8"/>
    <w:rsid w:val="00FF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uiPriority w:val="22"/>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9D5F1-6A6D-4088-A6F5-D7BAA8A2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5</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Maret Vessella</cp:lastModifiedBy>
  <cp:revision>2</cp:revision>
  <cp:lastPrinted>2018-04-10T20:02:00Z</cp:lastPrinted>
  <dcterms:created xsi:type="dcterms:W3CDTF">2018-04-30T22:08:00Z</dcterms:created>
  <dcterms:modified xsi:type="dcterms:W3CDTF">2018-04-30T22:08:00Z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